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E20DEC">
      <w:pPr>
        <w:rPr>
          <w:rFonts w:hint="default" w:asci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Style w:val="8"/>
        <w:tblW w:w="306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  <w:gridCol w:w="15306"/>
      </w:tblGrid>
      <w:tr w14:paraId="5D1B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0D05D">
            <w:pPr>
              <w:spacing w:line="1110" w:lineRule="exact"/>
              <w:ind w:left="20"/>
              <w:jc w:val="center"/>
              <w:rPr>
                <w:rFonts w:hint="eastAsia" w:ascii="微软雅黑" w:hAnsi="Times New Roman" w:eastAsia="微软雅黑" w:cs="微软雅黑"/>
                <w:b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sz w:val="84"/>
                <w:szCs w:val="84"/>
              </w:rPr>
              <w:t>岳阳市教育科学技术研究院2024年度</w:t>
            </w:r>
          </w:p>
          <w:p w14:paraId="2C707961">
            <w:pPr>
              <w:spacing w:line="1110" w:lineRule="exact"/>
              <w:ind w:left="20"/>
              <w:jc w:val="center"/>
              <w:rPr>
                <w:rFonts w:hint="eastAsia"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sz w:val="84"/>
                <w:szCs w:val="84"/>
              </w:rPr>
              <w:t>单位预算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FF853">
            <w:pPr>
              <w:spacing w:line="1110" w:lineRule="exact"/>
              <w:ind w:left="20"/>
              <w:jc w:val="center"/>
              <w:rPr>
                <w:rFonts w:hint="eastAsia" w:ascii="微软雅黑" w:hAnsi="Times New Roman" w:eastAsia="微软雅黑" w:cs="微软雅黑"/>
                <w:b/>
                <w:sz w:val="84"/>
                <w:szCs w:val="84"/>
              </w:rPr>
            </w:pPr>
          </w:p>
        </w:tc>
      </w:tr>
      <w:tr w14:paraId="49D9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78279">
            <w:pPr>
              <w:spacing w:line="525" w:lineRule="exact"/>
              <w:ind w:left="20"/>
              <w:jc w:val="center"/>
              <w:rPr>
                <w:rFonts w:hint="eastAsia" w:ascii="Dialog" w:hAnsi="Times New Roman" w:cs="Dialog"/>
                <w:sz w:val="44"/>
                <w:szCs w:val="44"/>
              </w:rPr>
            </w:pPr>
            <w:r>
              <w:rPr>
                <w:rFonts w:hint="default" w:hAnsi="Times New Roman" w:cs="Dialog"/>
                <w:sz w:val="44"/>
                <w:szCs w:val="44"/>
              </w:rPr>
              <w:t>目录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9D22B">
            <w:pPr>
              <w:spacing w:line="525" w:lineRule="exact"/>
              <w:ind w:left="20"/>
              <w:jc w:val="center"/>
              <w:rPr>
                <w:rFonts w:hint="default" w:hAnsi="Times New Roman" w:cs="Dialog"/>
                <w:sz w:val="44"/>
                <w:szCs w:val="44"/>
              </w:rPr>
            </w:pPr>
          </w:p>
        </w:tc>
      </w:tr>
      <w:tr w14:paraId="4A5E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A74F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085AE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ABA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FB8304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第一部分  2024年单位预算说明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9424FB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059E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96101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第二部分  2024年单位预算公开表格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4F5A47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2453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833092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1、收支总表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EC2AD8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70ED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64328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2、收入总表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1D07F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383B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986070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3、支出总表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698DA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0174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7D9B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4、支出预算分类汇总表（按政府预算经济分类）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212748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75EA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0ED7C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5、支出预算分类汇总表（按部门预算经济分类）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5E406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12CF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278AD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6、财政拨款收支总表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C7A298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4AE0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95C3B3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7、一般公共预算支出表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529A8F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0CF1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C1B1F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8、一般公共预算基本支出表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-</w:t>
            </w:r>
            <w:r>
              <w:rPr>
                <w:rFonts w:hint="default" w:hAnsi="Times New Roman" w:cs="Dialog"/>
                <w:sz w:val="32"/>
                <w:szCs w:val="32"/>
              </w:rPr>
              <w:t>人员经费（工资福利支出）（按政府预算经济分类）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918F1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6AAA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3C070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9、一般公共预算基本支出表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-</w:t>
            </w:r>
            <w:r>
              <w:rPr>
                <w:rFonts w:hint="default" w:hAnsi="Times New Roman" w:cs="Dialog"/>
                <w:sz w:val="32"/>
                <w:szCs w:val="32"/>
              </w:rPr>
              <w:t>人员经费（工资福利支出）（按部门预算经济分类）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C0789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2CEC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A5343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10、一般公共预算基本支出表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-</w:t>
            </w:r>
            <w:r>
              <w:rPr>
                <w:rFonts w:hint="default" w:hAnsi="Times New Roman" w:cs="Dialog"/>
                <w:sz w:val="32"/>
                <w:szCs w:val="32"/>
              </w:rPr>
              <w:t>人员经费（对个人和家庭的补助）（按政府预算经济分类）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CEAE1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60AB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0D5621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11、一般公共预算基本支出表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-</w:t>
            </w:r>
            <w:r>
              <w:rPr>
                <w:rFonts w:hint="default" w:hAnsi="Times New Roman" w:cs="Dialog"/>
                <w:sz w:val="32"/>
                <w:szCs w:val="32"/>
              </w:rPr>
              <w:t>人员经费（对个人和家庭的补助）（按部门预算经济分类）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11F0AF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0F70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ACCDF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12、一般公共预算基本支出表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-</w:t>
            </w:r>
            <w:r>
              <w:rPr>
                <w:rFonts w:hint="default" w:hAnsi="Times New Roman" w:cs="Dialog"/>
                <w:sz w:val="32"/>
                <w:szCs w:val="32"/>
              </w:rPr>
              <w:t>公用经费（商品和服务支出）（按政府预算经济分类）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86798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1743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4295B5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13、一般公共预算基本支出表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-</w:t>
            </w:r>
            <w:r>
              <w:rPr>
                <w:rFonts w:hint="default" w:hAnsi="Times New Roman" w:cs="Dialog"/>
                <w:sz w:val="32"/>
                <w:szCs w:val="32"/>
              </w:rPr>
              <w:t>公用经费（商品和服务支出）（按部门预算经济分类）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C76568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2146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6870F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14、一般公共预算“三公”经费支出表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A6ADD0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2981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1640C4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15、政府性基金预算支出表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770D6C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1509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37F78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16、政府性基金预算支出分类汇总表（按政府预算经济分类）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44CD1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5C65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D9AADA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17、政府性基金预算支出分类汇总表（按部门预算经济分类）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EEB15C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314E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920CD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18、国有资本经营预算支出表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C5861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19CA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906D0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19、财政专户管理资金预算支出表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29B6E5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0D46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56B9F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20、专项资金预算汇总表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248011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450E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F1F865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21、项目支出绩效目标表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E56FAE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33B2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8B969F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22、单位整体支出绩效目标表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C27E2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7B9A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A8D9F0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23、一般公共预算基本支出表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851C7A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769E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A46BE">
            <w:pPr>
              <w:spacing w:line="375" w:lineRule="exact"/>
              <w:ind w:left="20"/>
              <w:rPr>
                <w:rFonts w:hint="eastAsia" w:ascii="Dialog" w:hAnsi="Times New Roman" w:cs="Dialog"/>
                <w:color w:val="FF0000"/>
                <w:sz w:val="32"/>
                <w:szCs w:val="32"/>
              </w:rPr>
            </w:pPr>
            <w:r>
              <w:rPr>
                <w:rFonts w:hint="default" w:hAnsi="Times New Roman" w:cs="Dialog"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958EFB">
            <w:pPr>
              <w:spacing w:line="375" w:lineRule="exact"/>
              <w:ind w:left="20"/>
              <w:rPr>
                <w:rFonts w:hint="default" w:hAnsi="Times New Roman" w:cs="Dialog"/>
                <w:color w:val="FF0000"/>
                <w:sz w:val="32"/>
                <w:szCs w:val="32"/>
              </w:rPr>
            </w:pPr>
          </w:p>
        </w:tc>
      </w:tr>
      <w:tr w14:paraId="7F64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E9F382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BCF1C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A65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BE7B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9D015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567C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501F51">
            <w:pPr>
              <w:spacing w:line="375" w:lineRule="exact"/>
              <w:ind w:left="20"/>
              <w:jc w:val="center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第一部分  2024年单位预算说明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353480">
            <w:pPr>
              <w:spacing w:line="375" w:lineRule="exact"/>
              <w:ind w:left="20"/>
              <w:jc w:val="center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40A0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CE00D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EF2F1A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F0F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3091B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一、单位基本概况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1A1148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4DC3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92F104">
            <w:pPr>
              <w:spacing w:line="375" w:lineRule="exact"/>
              <w:ind w:left="20"/>
              <w:rPr>
                <w:rFonts w:hint="default" w:hAnsi="Times New Roman" w:cs="宋体"/>
                <w:color w:val="0000FF"/>
                <w:sz w:val="32"/>
                <w:szCs w:val="32"/>
              </w:rPr>
            </w:pPr>
            <w:r>
              <w:rPr>
                <w:rFonts w:hint="default" w:hAnsi="Times New Roman" w:cs="宋体"/>
                <w:color w:val="0000FF"/>
                <w:sz w:val="32"/>
                <w:szCs w:val="32"/>
              </w:rPr>
              <w:t xml:space="preserve">  </w:t>
            </w:r>
            <w:r>
              <w:rPr>
                <w:rFonts w:hint="default" w:hAnsi="Times New Roman" w:cs="宋体"/>
                <w:color w:val="auto"/>
                <w:sz w:val="32"/>
                <w:szCs w:val="32"/>
              </w:rPr>
              <w:t>（一）职能职责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254D06">
            <w:pPr>
              <w:spacing w:line="375" w:lineRule="exact"/>
              <w:ind w:left="20"/>
              <w:rPr>
                <w:rFonts w:hint="default" w:hAnsi="Times New Roman" w:cs="宋体"/>
                <w:color w:val="0000FF"/>
                <w:sz w:val="32"/>
                <w:szCs w:val="32"/>
              </w:rPr>
            </w:pPr>
          </w:p>
        </w:tc>
      </w:tr>
      <w:tr w14:paraId="6DD9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FC7EAE">
            <w:pPr>
              <w:spacing w:line="375" w:lineRule="exact"/>
              <w:ind w:firstLine="640" w:firstLineChars="200"/>
              <w:rPr>
                <w:rFonts w:hint="default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1.负责全市教育科学发展的规划、管理、指导以及教育科研成果的推广与应用；</w:t>
            </w:r>
          </w:p>
          <w:p w14:paraId="39CFE9FA">
            <w:pPr>
              <w:spacing w:line="375" w:lineRule="exact"/>
              <w:ind w:left="20" w:firstLine="640" w:firstLineChars="200"/>
              <w:rPr>
                <w:rFonts w:hint="default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2.负责全市中小学教学研究和学科教学业务管理；</w:t>
            </w:r>
          </w:p>
          <w:p w14:paraId="461FDB9C">
            <w:pPr>
              <w:spacing w:line="375" w:lineRule="exact"/>
              <w:ind w:left="20" w:firstLine="640" w:firstLineChars="200"/>
              <w:rPr>
                <w:rFonts w:hint="default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3.负责规划、指导、管理全市实验教学及装备工作，统筹指导市直学校实验教学及装备工作；</w:t>
            </w:r>
          </w:p>
          <w:p w14:paraId="430082A1">
            <w:pPr>
              <w:spacing w:line="375" w:lineRule="exact"/>
              <w:ind w:left="20" w:firstLine="640" w:firstLineChars="200"/>
              <w:rPr>
                <w:rFonts w:hint="default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4.负责全市教育信息化建设的研究与指导，构建统一、开放、规范的教育信息化运行服务体系；</w:t>
            </w:r>
          </w:p>
          <w:p w14:paraId="77419E81">
            <w:pPr>
              <w:spacing w:line="375" w:lineRule="exact"/>
              <w:ind w:left="20" w:firstLine="640" w:firstLineChars="200"/>
              <w:rPr>
                <w:rFonts w:hint="default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5.负责全市职业教育与成人教育的研究与指导；</w:t>
            </w:r>
          </w:p>
          <w:p w14:paraId="467E432E">
            <w:pPr>
              <w:spacing w:line="375" w:lineRule="exact"/>
              <w:ind w:left="20" w:firstLine="640" w:firstLineChars="200"/>
              <w:rPr>
                <w:rFonts w:hint="default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6.负责全市中小学教师继续教育工作，建立健全研训一体的教师培养新机制；</w:t>
            </w:r>
          </w:p>
          <w:p w14:paraId="144E8BAD">
            <w:pPr>
              <w:spacing w:line="375" w:lineRule="exact"/>
              <w:ind w:left="20" w:firstLine="640" w:firstLineChars="200"/>
              <w:rPr>
                <w:rFonts w:hint="default" w:hAnsi="Times New Roman" w:cs="宋体"/>
                <w:color w:val="0000FF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7.负责全市基础教育质量监测与语言文字培训测试工作。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0CD61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2CA6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280B48">
            <w:pPr>
              <w:spacing w:line="375" w:lineRule="exact"/>
              <w:ind w:left="20"/>
              <w:rPr>
                <w:rFonts w:hint="default" w:hAnsi="Times New Roman" w:cs="宋体"/>
                <w:color w:val="0000FF"/>
                <w:sz w:val="32"/>
                <w:szCs w:val="32"/>
              </w:rPr>
            </w:pPr>
            <w:r>
              <w:rPr>
                <w:rFonts w:hint="default" w:hAnsi="Times New Roman" w:cs="宋体"/>
                <w:color w:val="0000FF"/>
                <w:sz w:val="32"/>
                <w:szCs w:val="32"/>
              </w:rPr>
              <w:t xml:space="preserve">  </w:t>
            </w:r>
            <w:r>
              <w:rPr>
                <w:rFonts w:hint="default" w:hAnsi="Times New Roman" w:cs="宋体"/>
                <w:color w:val="auto"/>
                <w:sz w:val="32"/>
                <w:szCs w:val="32"/>
              </w:rPr>
              <w:t>（二）机构设置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77FA73">
            <w:pPr>
              <w:spacing w:line="375" w:lineRule="exact"/>
              <w:ind w:left="20"/>
              <w:rPr>
                <w:rFonts w:hint="default" w:hAnsi="Times New Roman" w:cs="宋体"/>
                <w:color w:val="0000FF"/>
                <w:sz w:val="32"/>
                <w:szCs w:val="32"/>
              </w:rPr>
            </w:pPr>
          </w:p>
        </w:tc>
      </w:tr>
      <w:tr w14:paraId="0463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1643B">
            <w:pPr>
              <w:widowControl/>
              <w:adjustRightInd/>
              <w:ind w:firstLine="640" w:firstLineChars="200"/>
              <w:rPr>
                <w:rFonts w:hint="default" w:hAnsi="Times New Roman" w:cs="宋体"/>
                <w:color w:val="0000FF"/>
                <w:sz w:val="32"/>
                <w:szCs w:val="32"/>
              </w:rPr>
            </w:pPr>
            <w:r>
              <w:rPr>
                <w:rFonts w:hint="default" w:hAnsi="Times New Roman" w:cs="宋体"/>
                <w:color w:val="0000FF"/>
                <w:sz w:val="32"/>
                <w:szCs w:val="32"/>
              </w:rPr>
              <w:t xml:space="preserve">  </w:t>
            </w:r>
            <w:r>
              <w:rPr>
                <w:rFonts w:hint="default" w:hAnsi="Times New Roman" w:cs="Dialog"/>
                <w:sz w:val="32"/>
                <w:szCs w:val="32"/>
              </w:rPr>
              <w:t>内设办公室、高中室、义教室、信息中心、装备办、质量监测中心、职成室、工会、综合室等九个内设科室。现有在职在编员工44人，其中中共党员32人、研究生学历9人、硕士学位15人，本科学历31人、正高级教师2人、副高级及以上教师25人，特级教师4人、省级网络名师工作室3人、岳阳名师4人、岳阳名师工作室主持6人、湖南理工学院硕士研究生导师15人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15174E">
            <w:pPr>
              <w:spacing w:line="375" w:lineRule="exact"/>
              <w:ind w:left="20"/>
              <w:rPr>
                <w:rFonts w:hint="default" w:hAnsi="Times New Roman" w:cs="宋体"/>
                <w:color w:val="0000FF"/>
                <w:sz w:val="32"/>
                <w:szCs w:val="32"/>
              </w:rPr>
            </w:pPr>
          </w:p>
        </w:tc>
      </w:tr>
      <w:tr w14:paraId="09CB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EC321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二、单位预算单位构成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4C0C11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7EF4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80357E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本单位预算仅含本级预算。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61C057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7BAE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52F30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三、单位收支总体情况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8A03F7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1EC3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7491C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本单位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D7C192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765D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0E6032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（一）收入预算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3F00C5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390D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2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71D14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包括一般公共预算、政府性基金、国有资本经营预算等财政拨款收入，以及经营收入、事业收入等单位资金。2024年度本单位收入预算1233.06万元，其中，一般公共预算拨款1233.06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2024年收入较去年增加57.87万元，主要是因为年中省拨专项经费增加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E7A01E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5815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A793DF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（二）支出预算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122CE5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5E4A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AD78A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2024年本单位支出预算1233.06万元，其中，205教育支出1005.36万元，208社会保障和就业支出89.27万元，210卫生健康支出78.78万元，221住房保障支出59.65万元，支出较去年增加57.87万元，主要是因为年中省拨专项经费增加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981174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1BD9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69A2D2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四、一般公共预算拨款支出预算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676C7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313C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81247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2024年一般公共预算拨款支出预算1233.06万元，其中，205教育支出1005.36万元，占81.53%；208社会保障和就业支出89.27万元，占7.24%；210卫生健康支出78.78万元，占6.39%；221住房保障支出59.65万元，占4.84%；具体安排情况如下：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90B46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44A2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F2480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（一）基本支出：2024年基本支出年初预算数为988.06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F1F59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19D0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2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427B12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（二）项目支出：2024年项目支出年初预算数为245.00万元（数据来源见表20），是指单位为完成特定行政工作任务或事业发展目标而发生的支出，包括有关业务工作经费、运行维护经费、其他事业发展资金等。其中：基础教育课程教学改革研究与指导专项支出80.00万元，主要用于</w:t>
            </w:r>
            <w:r>
              <w:rPr>
                <w:rFonts w:hint="default" w:hAnsi="Times New Roman" w:cs="宋体"/>
                <w:color w:val="auto"/>
                <w:sz w:val="32"/>
                <w:szCs w:val="32"/>
              </w:rPr>
              <w:t>深化课程教学改革，加强机制创新，指导、发动各地和学校深化育人关键环节和重点领域改革，更新教育理念，转变育人方式，坚决扭转片面应试教育倾向，切实提高育人水平，全面提升我市基础教育课程教学改革研究与指导质量，促进基础教育高质量发展。</w:t>
            </w:r>
            <w:r>
              <w:rPr>
                <w:rFonts w:hint="default" w:hAnsi="Times New Roman" w:cs="宋体"/>
                <w:sz w:val="32"/>
                <w:szCs w:val="32"/>
              </w:rPr>
              <w:t>教育科研成果培育与推广专项支出75.00万元，主要用于通过加强课题研究、中职教育研究、思政研究、心理健康研究成果的推广应用，巩固并发挥研究成果的作用。进一步立足课堂教学实践，解决教学实践中出现的新问题、新现象，服务教学实践和课改工作需要，促进教师专业发展和学生知识成长，营造科研兴教的氛围，提高教学教学质量。教育数字化应用与科技活动专项支出30.00万元，主要用于全面落实全国全省教育工作会议要求，积极响应世界数字教育大会倡议，强化应用带动，以深化国家智慧教育平台应用为主线，突出基础支撑、数字资源供给和安全保障，整体提升教育教学、教育管理、教育公共服务数字化水平，为深入推进教育数字化转型，助推基础教育高质量发展和教育现代化建设。中小学教学质量监测与评估专项支出60.00万元，主要用</w:t>
            </w:r>
            <w:r>
              <w:rPr>
                <w:rFonts w:hint="default" w:hAnsi="Times New Roman" w:cs="宋体"/>
                <w:color w:val="auto"/>
                <w:sz w:val="32"/>
                <w:szCs w:val="32"/>
              </w:rPr>
              <w:t>于全面了解我市基础教育中小学各阶段教育教学的基本情况，加强教育教学的有效性、针对性和指导性。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307183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7822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0F33A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五、政府性基金预算支出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E39B0F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375F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3C871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2024年度本单位无政府性基金安排的支出，所以公开的附件15-17（政府性基金预算）为空。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F5B9F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5FC5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A60762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六、其他重要事项的情况说明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FE144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09D4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B9F717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（一）机关运行经费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E60E23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3716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8BB16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本单位2024年机关运行经费当年一般公共预算拨款77.96万元（数据来源见表12），比上一年减少4.06万元，降低4%。主要原因是人员退休，减少了人员经费。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C7848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1859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756FBC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（二）“三公”经费预算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DAF12B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7131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FCF650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本单位2024年“三公”经费预算数0.00万元（数据来源见表14），其中，公务接待费0.00万元，因公出国（境）费0.00万元，公务用车购置及运行费0.00万元（其中，公务用车购置费0.00万元，公务用车运行费0.00万元）。2024年三公经费预算较上年增加0万元，主要原因是本单位没有三公支出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0A8EE9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0999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6D0733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（三）一般性支出情况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6D27AA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243B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0AA69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本单位2024年会议费预算0.00万元（数据来源见表13会议费、培训费），拟召开0次会议，人数0人，内容为无；培训费预算0.00万元，拟开展0次培训，人数0人，内容为无；计划举办节庆、晚会、论坛、赛事活动0万元，内容为无。2024年度本单位未计划安排会议、培训，未计划举办节庆、晚会、论坛、赛事活动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77D3D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6A8C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CA98E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（四）政府采购情况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8D9567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4DFB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9B3AC0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本单位2024年政府采购预算总</w:t>
            </w:r>
            <w:r>
              <w:rPr>
                <w:rFonts w:hint="default" w:hAnsi="Times New Roman" w:cs="宋体"/>
                <w:color w:val="auto"/>
                <w:sz w:val="32"/>
                <w:szCs w:val="32"/>
              </w:rPr>
              <w:t>额142.3万元，其中工程类0万元，货物类21.3万元，服务类121万元</w:t>
            </w:r>
            <w:r>
              <w:rPr>
                <w:rFonts w:hint="default" w:hAnsi="Times New Roman" w:cs="宋体"/>
                <w:sz w:val="32"/>
                <w:szCs w:val="32"/>
              </w:rPr>
              <w:t>。（没有政府采购预算的也需要说明：2024年度本单位未安排政府采购预算。）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593A77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3766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7F254C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（五）国有资产占有使用及新增资产配置情况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2A63A1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5A03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7B1F4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截至上年底，本单位共有车辆0辆，其中领导干部用车0辆，一般公务用车0辆，其他用车0辆。单位价值50万元以上通用设备0台，单位价值100万元以上专用设备0台。 </w:t>
            </w:r>
          </w:p>
          <w:p w14:paraId="754F971D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2024年拟报废处置车辆0辆，其中：报废处置领导干部用车0辆，报废处置一般公务用车0辆，报废处置其他用车0辆，报废处置单位价值50万元以上通用设备0台，报废处置单位价值100万元以上通用设备0台。拟新增配置车辆0辆，其中领导干部用车0辆，一般公务用车0辆，其他用车0辆，主要用于无，资金来源为无。</w:t>
            </w:r>
          </w:p>
          <w:p w14:paraId="5FDE67A8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2024年拟新增配备领导干部用车0辆，一般公务用车0辆，其他用车0辆，新增配备单位价值50万元以上通用设备0台，单位价值100万元以上专用设备0台。2024年度本单位未计划处置或新增车辆、设备等。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F6A4A5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45D5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5ACD57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（六）预算绩效目标说明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BC3C35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62CE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459047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  本单位所有支出实行绩效目标管理。纳入2024年单位整体支出绩效目标的金额为1233.06万元，其中，基本支出988.06万元，项目支出245.00万元，详见文尾附表中单位预算公开表格的表21-22。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54EB9C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29B9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D13EF">
            <w:pPr>
              <w:spacing w:line="375" w:lineRule="exact"/>
              <w:ind w:left="20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 xml:space="preserve">  七、名词解释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50903">
            <w:pPr>
              <w:spacing w:line="375" w:lineRule="exact"/>
              <w:ind w:left="20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4C46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D057B1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1B554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7C8E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C45F29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DCBD0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5093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64E09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200D0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1C3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0B4B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F8AD1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672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5DF86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73397"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396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63149">
            <w:pPr>
              <w:spacing w:line="375" w:lineRule="exact"/>
              <w:ind w:left="20"/>
              <w:jc w:val="center"/>
              <w:rPr>
                <w:rFonts w:hint="eastAsia" w:ascii="Dialog" w:hAnsi="Times New Roman" w:cs="Dialog"/>
                <w:sz w:val="32"/>
                <w:szCs w:val="32"/>
              </w:rPr>
            </w:pPr>
            <w:r>
              <w:rPr>
                <w:rFonts w:hint="default" w:hAnsi="Times New Roman" w:cs="Dialog"/>
                <w:sz w:val="32"/>
                <w:szCs w:val="32"/>
              </w:rPr>
              <w:t>第二部分  2024年单位预算公开表格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FEBA3">
            <w:pPr>
              <w:spacing w:line="375" w:lineRule="exact"/>
              <w:ind w:left="20"/>
              <w:jc w:val="center"/>
              <w:rPr>
                <w:rFonts w:hint="default" w:hAnsi="Times New Roman" w:cs="Dialog"/>
                <w:sz w:val="32"/>
                <w:szCs w:val="32"/>
              </w:rPr>
            </w:pPr>
          </w:p>
        </w:tc>
      </w:tr>
      <w:tr w14:paraId="7450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37D40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1、收支总表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DA8DE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7D14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C2C448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2、收入总表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CF98BA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30E7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D58FF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3、支出总表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24DD37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3419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F8ADB9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4、支出预算分类汇总表（按政府预算经济分类）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38EDCF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2279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503B0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5、支出预算分类汇总表（按部门预算经济分类）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C25C9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2482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9683D3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6、财政拨款收支总表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A25E5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07B9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9688FC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7、一般公共预算支出表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59D71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0AD7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A888F3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8、一般公共预算基本支出表-人员经费（工资福利支出）（按政府预算经济分类）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988A3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687C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C9A59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9、一般公共预算基本支出表-人员经费（工资福利支出）（按部门预算经济分类）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06D774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618B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BACF6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10、一般公共预算基本支出表-人员经费（对个人和家庭的补助）（按政府预算经济分类）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C5676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0F00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8B5DD3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11、一般公共预算基本支出表-人员经费（对个人和家庭的补助）（按部门预算经济分类）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F5F904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4CC7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A06335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12、一般公共预算基本支出表-公用经费（商品和服务支出）（按政府预算经济分类）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3BFFD8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71D4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A8144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13、一般公共预算基本支出表-公用经费（商品和服务支出）（按部门预算经济分类）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EE736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5147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F77BB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14、一般公共预算“三公”经费支出表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15AFF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54A2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F459D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15、政府性基金预算支出表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E1CFF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6044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A240BD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16、政府性基金预算支出分类汇总表（按政府预算经济分类）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616E8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3FAE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0F793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17、政府性基金预算支出分类汇总表（按部门预算经济分类）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3A46DF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2D28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1BE46F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18、国有资本经营预算支出表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E1ACA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25D5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1D7AB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19、财政专户管理资金预算支出表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A51DA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4C50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A0A27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20、专项资金预算汇总表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209534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11B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E9E55B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21、项目支出绩效目标表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136C7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4F90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A8179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22、单位整体支出绩效目标表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43CDBA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2249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FC2E6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  <w:r>
              <w:rPr>
                <w:rFonts w:hint="default" w:hAnsi="Times New Roman" w:cs="宋体"/>
                <w:sz w:val="32"/>
                <w:szCs w:val="32"/>
              </w:rPr>
              <w:t>23、一般公共预算基本支出表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5715AA">
            <w:pPr>
              <w:spacing w:line="375" w:lineRule="exact"/>
              <w:ind w:left="20"/>
              <w:rPr>
                <w:rFonts w:hint="default" w:hAnsi="Times New Roman" w:cs="宋体"/>
                <w:sz w:val="32"/>
                <w:szCs w:val="32"/>
              </w:rPr>
            </w:pPr>
          </w:p>
        </w:tc>
      </w:tr>
      <w:tr w14:paraId="53DF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C9D11">
            <w:pPr>
              <w:spacing w:line="375" w:lineRule="exact"/>
              <w:ind w:left="20"/>
              <w:rPr>
                <w:rFonts w:hint="default" w:hAnsi="Times New Roman" w:cs="宋体"/>
                <w:color w:val="FF0000"/>
                <w:sz w:val="32"/>
                <w:szCs w:val="32"/>
              </w:rPr>
            </w:pPr>
            <w:r>
              <w:rPr>
                <w:rFonts w:hint="default" w:hAnsi="Times New Roman" w:cs="宋体"/>
                <w:b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D106A4">
            <w:pPr>
              <w:spacing w:line="375" w:lineRule="exact"/>
              <w:ind w:left="20"/>
              <w:rPr>
                <w:rFonts w:hint="default" w:hAnsi="Times New Roman" w:cs="宋体"/>
                <w:b/>
                <w:color w:val="FF0000"/>
                <w:sz w:val="32"/>
                <w:szCs w:val="32"/>
              </w:rPr>
            </w:pPr>
          </w:p>
        </w:tc>
      </w:tr>
    </w:tbl>
    <w:p w14:paraId="5BF56586">
      <w:pPr>
        <w:rPr>
          <w:rFonts w:hint="default" w:ascii="Arial"/>
          <w:sz w:val="24"/>
          <w:szCs w:val="24"/>
        </w:rPr>
      </w:pPr>
    </w:p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GM2ZmY0YTgwNzNkNTA2ZjZiMDg1MzMyZmVhNGIifQ=="/>
  </w:docVars>
  <w:rsids>
    <w:rsidRoot w:val="00172A27"/>
    <w:rsid w:val="4365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autoSpaceDE w:val="0"/>
      <w:autoSpaceDN w:val="0"/>
      <w:adjustRightInd w:val="0"/>
    </w:pPr>
    <w:rPr>
      <w:rFonts w:hint="default" w:ascii="宋体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unhideWhenUsed/>
    <w:qFormat/>
    <w:uiPriority w:val="9"/>
    <w:pPr>
      <w:outlineLvl w:val="0"/>
    </w:pPr>
    <w:rPr>
      <w:rFonts w:hint="default"/>
      <w:b/>
      <w:sz w:val="32"/>
      <w:szCs w:val="32"/>
    </w:rPr>
  </w:style>
  <w:style w:type="paragraph" w:styleId="4">
    <w:name w:val="heading 2"/>
    <w:basedOn w:val="1"/>
    <w:next w:val="1"/>
    <w:link w:val="11"/>
    <w:unhideWhenUsed/>
    <w:qFormat/>
    <w:uiPriority w:val="99"/>
    <w:pPr>
      <w:outlineLvl w:val="1"/>
    </w:pPr>
    <w:rPr>
      <w:rFonts w:hint="default"/>
      <w:b/>
      <w:i/>
      <w:sz w:val="28"/>
      <w:szCs w:val="28"/>
    </w:rPr>
  </w:style>
  <w:style w:type="paragraph" w:styleId="5">
    <w:name w:val="heading 3"/>
    <w:basedOn w:val="1"/>
    <w:next w:val="1"/>
    <w:link w:val="12"/>
    <w:unhideWhenUsed/>
    <w:qFormat/>
    <w:uiPriority w:val="99"/>
    <w:pPr>
      <w:outlineLvl w:val="2"/>
    </w:pPr>
    <w:rPr>
      <w:rFonts w:hint="default"/>
      <w:b/>
      <w:sz w:val="26"/>
      <w:szCs w:val="26"/>
    </w:rPr>
  </w:style>
  <w:style w:type="character" w:default="1" w:styleId="9">
    <w:name w:val="Default Paragraph Font"/>
    <w:unhideWhenUsed/>
    <w:uiPriority w:val="1"/>
    <w:rPr>
      <w:rFonts w:hint="default"/>
      <w:sz w:val="24"/>
      <w:szCs w:val="24"/>
    </w:rPr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00" w:line="276" w:lineRule="auto"/>
    </w:pPr>
    <w:rPr>
      <w:rFonts w:hint="default" w:hAnsi="Arial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character" w:customStyle="1" w:styleId="10">
    <w:name w:val="标题 1 Char"/>
    <w:basedOn w:val="9"/>
    <w:link w:val="3"/>
    <w:unhideWhenUsed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1">
    <w:name w:val="标题 2 Char"/>
    <w:basedOn w:val="9"/>
    <w:link w:val="4"/>
    <w:unhideWhenUsed/>
    <w:locked/>
    <w:uiPriority w:val="9"/>
    <w:rPr>
      <w:rFonts w:hint="default" w:ascii="宋体" w:hAnsi="Cambria" w:eastAsia="宋体" w:cs="Times New Roman"/>
      <w:b/>
      <w:sz w:val="32"/>
      <w:szCs w:val="32"/>
    </w:rPr>
  </w:style>
  <w:style w:type="character" w:customStyle="1" w:styleId="12">
    <w:name w:val="标题 3 Char"/>
    <w:basedOn w:val="9"/>
    <w:link w:val="5"/>
    <w:unhideWhenUsed/>
    <w:locked/>
    <w:uiPriority w:val="9"/>
    <w:rPr>
      <w:rFonts w:hint="default" w:cs="Times New Roman"/>
      <w:b/>
      <w:sz w:val="32"/>
      <w:szCs w:val="32"/>
    </w:rPr>
  </w:style>
  <w:style w:type="character" w:customStyle="1" w:styleId="13">
    <w:name w:val="页眉 Char"/>
    <w:basedOn w:val="9"/>
    <w:link w:val="7"/>
    <w:unhideWhenUsed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4">
    <w:name w:val="页脚 Char"/>
    <w:basedOn w:val="9"/>
    <w:link w:val="6"/>
    <w:unhideWhenUsed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3980</Words>
  <Characters>4326</Characters>
  <TotalTime>0</TotalTime>
  <ScaleCrop>false</ScaleCrop>
  <LinksUpToDate>false</LinksUpToDate>
  <CharactersWithSpaces>4409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2025-10-15T08:47:47Z</dcterms:created>
  <dc:creator>Administrator</dc:creator>
  <cp:lastModifiedBy>alias</cp:lastModifiedBy>
  <dcterms:modified xsi:type="dcterms:W3CDTF">2025-10-15T08:48:01Z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E5C69E5360CF40D7A28A153A60238C0A_13</vt:lpwstr>
  </property>
</Properties>
</file>