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岳阳市第一中学</w:t>
      </w:r>
      <w:r>
        <w:rPr>
          <w:rFonts w:hint="eastAsia" w:ascii="方正小标宋_GBK" w:hAnsi="方正小标宋_GBK" w:eastAsia="方正小标宋_GBK" w:cs="方正小标宋_GBK"/>
          <w:sz w:val="84"/>
          <w:szCs w:val="84"/>
        </w:rPr>
        <w:t>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6311DFC7">
      <w:pPr>
        <w:pStyle w:val="12"/>
        <w:jc w:val="center"/>
        <w:rPr>
          <w:sz w:val="32"/>
          <w:szCs w:val="32"/>
        </w:rPr>
      </w:pPr>
    </w:p>
    <w:p w14:paraId="50228290">
      <w:pPr>
        <w:pStyle w:val="12"/>
        <w:spacing w:line="540" w:lineRule="exact"/>
        <w:jc w:val="center"/>
        <w:rPr>
          <w:sz w:val="56"/>
          <w:szCs w:val="56"/>
        </w:rPr>
      </w:pPr>
    </w:p>
    <w:p w14:paraId="459C483D">
      <w:pPr>
        <w:pStyle w:val="12"/>
        <w:spacing w:line="500" w:lineRule="exact"/>
        <w:jc w:val="both"/>
        <w:rPr>
          <w:b/>
          <w:sz w:val="36"/>
          <w:szCs w:val="28"/>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ind w:left="9520" w:hanging="9520" w:hangingChars="3400"/>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岳阳市第一中学</w:t>
      </w:r>
      <w:r>
        <w:rPr>
          <w:rFonts w:hint="eastAsia" w:ascii="黑体" w:hAnsi="黑体" w:eastAsia="黑体" w:cs="黑体"/>
          <w:b w:val="0"/>
          <w:bCs/>
          <w:sz w:val="28"/>
          <w:szCs w:val="28"/>
        </w:rPr>
        <w:t>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岳阳市第一中学</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2FEF2EC">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（一）、负责贯彻执行《教育法》、《教师法》等法规政策；</w:t>
      </w:r>
    </w:p>
    <w:p w14:paraId="67203A17">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（二）、负责在校学生的科学知识、思想品德、体育、美育及劳动技能教育；</w:t>
      </w:r>
    </w:p>
    <w:p w14:paraId="24F075B9">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（三）、负责学校教师的政治思想教育和业务培训；</w:t>
      </w:r>
    </w:p>
    <w:p w14:paraId="3B294247">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（四）、负责在校师生的安全保卫及后勤服务；</w:t>
      </w:r>
    </w:p>
    <w:p w14:paraId="0CBD82AE">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（五）、完成省委、省政府及市委、市政府交办的民族教育任务；</w:t>
      </w:r>
    </w:p>
    <w:p w14:paraId="3FD6AA54">
      <w:pPr>
        <w:keepNext/>
        <w:keepLines/>
        <w:shd w:val="clear" w:color="auto" w:fill="FFFFFF"/>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（六）、完成市教育局安排的其他工作。</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0A5B1DA">
      <w:pPr>
        <w:widowControl/>
        <w:spacing w:line="600" w:lineRule="exact"/>
        <w:ind w:firstLine="640" w:firstLineChars="200"/>
        <w:rPr>
          <w:rFonts w:hint="eastAsia"/>
        </w:rPr>
      </w:pPr>
      <w:r>
        <w:rPr>
          <w:rFonts w:hint="eastAsia" w:ascii="Times New Roman" w:hAnsi="Times New Roman" w:eastAsia="仿宋_GB2312" w:cs="仿宋_GB2312"/>
          <w:bCs/>
          <w:kern w:val="0"/>
          <w:sz w:val="32"/>
          <w:szCs w:val="32"/>
        </w:rPr>
        <w:t>（一）内设机构设置。岳阳市第一中学单位内设机构包括：办公室、西藏部、教务处、政教处、教科室、总务处、督导室，共计7个部门。学校人员编制数285人，实有在职在编教职员工</w:t>
      </w:r>
      <w:r>
        <w:rPr>
          <w:rFonts w:hint="eastAsia" w:ascii="Times New Roman" w:hAnsi="Times New Roman" w:eastAsia="仿宋_GB2312" w:cs="仿宋_GB2312"/>
          <w:bCs/>
          <w:kern w:val="0"/>
          <w:sz w:val="32"/>
          <w:szCs w:val="32"/>
          <w:lang w:val="en-US" w:eastAsia="zh-CN"/>
        </w:rPr>
        <w:t>280</w:t>
      </w:r>
      <w:r>
        <w:rPr>
          <w:rFonts w:hint="eastAsia" w:ascii="Times New Roman" w:hAnsi="Times New Roman" w:eastAsia="仿宋_GB2312" w:cs="仿宋_GB2312"/>
          <w:bCs/>
          <w:kern w:val="0"/>
          <w:sz w:val="32"/>
          <w:szCs w:val="32"/>
        </w:rPr>
        <w:t>人</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退休人数208人</w:t>
      </w:r>
      <w:r>
        <w:rPr>
          <w:rFonts w:hint="eastAsia" w:ascii="Times New Roman" w:hAnsi="Times New Roman" w:eastAsia="仿宋_GB2312" w:cs="仿宋_GB2312"/>
          <w:bCs/>
          <w:kern w:val="0"/>
          <w:sz w:val="32"/>
          <w:szCs w:val="32"/>
        </w:rPr>
        <w:t>。</w:t>
      </w:r>
    </w:p>
    <w:p w14:paraId="6EE6B6AE">
      <w:pPr>
        <w:widowControl/>
        <w:spacing w:line="600" w:lineRule="exact"/>
        <w:ind w:firstLine="640" w:firstLineChars="200"/>
        <w:rPr>
          <w:rFonts w:ascii="仿宋_GB2312" w:hAnsi="宋体" w:eastAsia="仿宋_GB2312"/>
          <w:sz w:val="28"/>
          <w:szCs w:val="32"/>
        </w:rPr>
      </w:pPr>
      <w:r>
        <w:rPr>
          <w:rFonts w:hint="eastAsia" w:ascii="Times New Roman" w:hAnsi="Times New Roman" w:eastAsia="仿宋_GB2312" w:cs="仿宋_GB2312"/>
          <w:bCs/>
          <w:kern w:val="0"/>
          <w:sz w:val="32"/>
          <w:szCs w:val="32"/>
        </w:rPr>
        <w:t>（二）决算单位构成。本单位无独立核算的下属单位，202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年度部门决算汇总公开单位仅包括</w:t>
      </w:r>
      <w:r>
        <w:rPr>
          <w:rFonts w:hint="eastAsia" w:ascii="Times New Roman" w:hAnsi="Times New Roman" w:eastAsia="仿宋_GB2312" w:cs="仿宋_GB2312"/>
          <w:bCs/>
          <w:kern w:val="0"/>
          <w:sz w:val="32"/>
          <w:szCs w:val="32"/>
          <w:lang w:val="en-US" w:eastAsia="zh-CN"/>
        </w:rPr>
        <w:t>岳阳市第一中学</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62EA5E89">
      <w:pPr>
        <w:pStyle w:val="12"/>
        <w:jc w:val="center"/>
        <w:rPr>
          <w:rFonts w:hint="eastAsia" w:ascii="仿宋_GB2312" w:hAnsi="仿宋_GB2312" w:eastAsia="仿宋_GB2312" w:cs="仿宋_GB2312"/>
          <w:b w:val="0"/>
          <w:bCs w:val="0"/>
          <w:sz w:val="72"/>
          <w:szCs w:val="72"/>
          <w:lang w:eastAsia="zh-CN"/>
        </w:rPr>
      </w:pPr>
    </w:p>
    <w:p w14:paraId="63BFFD84">
      <w:pPr>
        <w:pStyle w:val="12"/>
        <w:jc w:val="center"/>
        <w:rPr>
          <w:rFonts w:hint="eastAsia" w:ascii="仿宋_GB2312" w:hAnsi="仿宋_GB2312" w:eastAsia="仿宋_GB2312" w:cs="仿宋_GB2312"/>
          <w:b w:val="0"/>
          <w:bCs w:val="0"/>
          <w:sz w:val="72"/>
          <w:szCs w:val="72"/>
          <w:lang w:eastAsia="zh-CN"/>
        </w:rPr>
      </w:pPr>
    </w:p>
    <w:p w14:paraId="4565BABE">
      <w:pPr>
        <w:pStyle w:val="12"/>
        <w:jc w:val="center"/>
        <w:rPr>
          <w:rFonts w:hint="eastAsia" w:ascii="仿宋_GB2312" w:hAnsi="仿宋_GB2312" w:eastAsia="仿宋_GB2312" w:cs="仿宋_GB2312"/>
          <w:b w:val="0"/>
          <w:bCs w:val="0"/>
          <w:sz w:val="72"/>
          <w:szCs w:val="72"/>
          <w:lang w:eastAsia="zh-CN"/>
        </w:rPr>
      </w:pPr>
    </w:p>
    <w:p w14:paraId="6EEAB3EF">
      <w:pPr>
        <w:pStyle w:val="12"/>
        <w:jc w:val="center"/>
        <w:rPr>
          <w:rFonts w:hint="eastAsia" w:ascii="仿宋_GB2312" w:hAnsi="仿宋_GB2312" w:eastAsia="仿宋_GB2312" w:cs="仿宋_GB2312"/>
          <w:b w:val="0"/>
          <w:bCs w:val="0"/>
          <w:sz w:val="72"/>
          <w:szCs w:val="72"/>
          <w:lang w:eastAsia="zh-CN"/>
        </w:rPr>
      </w:pP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6EEC30AB">
      <w:pPr>
        <w:pStyle w:val="12"/>
        <w:jc w:val="center"/>
        <w:rPr>
          <w:rFonts w:hint="eastAsia" w:ascii="方正小标宋_GBK" w:hAnsi="方正小标宋_GBK" w:eastAsia="方正小标宋_GBK" w:cs="方正小标宋_GBK"/>
          <w:sz w:val="70"/>
          <w:szCs w:val="70"/>
        </w:rPr>
      </w:pPr>
    </w:p>
    <w:p w14:paraId="417367C1">
      <w:pPr>
        <w:pStyle w:val="12"/>
        <w:jc w:val="center"/>
        <w:rPr>
          <w:rFonts w:hint="eastAsia" w:ascii="方正小标宋_GBK" w:hAnsi="方正小标宋_GBK" w:eastAsia="方正小标宋_GBK" w:cs="方正小标宋_GBK"/>
          <w:sz w:val="70"/>
          <w:szCs w:val="70"/>
        </w:rPr>
      </w:pPr>
    </w:p>
    <w:p w14:paraId="514C0722">
      <w:pPr>
        <w:pStyle w:val="12"/>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9153.31</w:t>
      </w:r>
      <w:r>
        <w:rPr>
          <w:rFonts w:hint="eastAsia" w:ascii="仿宋_GB2312" w:hAnsi="仿宋_GB2312" w:eastAsia="仿宋_GB2312" w:cs="仿宋_GB2312"/>
          <w:sz w:val="32"/>
          <w:szCs w:val="32"/>
        </w:rPr>
        <w:t>万元。与上年相比，增加</w:t>
      </w:r>
      <w:r>
        <w:rPr>
          <w:rFonts w:hint="eastAsia" w:ascii="仿宋_GB2312" w:hAnsi="仿宋" w:eastAsia="仿宋_GB2312"/>
          <w:sz w:val="32"/>
          <w:szCs w:val="32"/>
          <w:lang w:val="en-US" w:eastAsia="zh-CN"/>
        </w:rPr>
        <w:t>409.35</w:t>
      </w:r>
      <w:r>
        <w:rPr>
          <w:rFonts w:hint="eastAsia" w:ascii="仿宋_GB2312" w:hAnsi="仿宋_GB2312" w:eastAsia="仿宋_GB2312" w:cs="仿宋_GB2312"/>
          <w:sz w:val="32"/>
          <w:szCs w:val="32"/>
        </w:rPr>
        <w:t>万元，增长</w:t>
      </w:r>
      <w:r>
        <w:rPr>
          <w:rFonts w:hint="eastAsia" w:ascii="仿宋_GB2312" w:hAnsi="仿宋" w:eastAsia="仿宋_GB2312"/>
          <w:sz w:val="32"/>
          <w:szCs w:val="32"/>
          <w:lang w:val="en-US" w:eastAsia="zh-CN"/>
        </w:rPr>
        <w:t>4.68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年中省财政下达“我的韶山行”省级补助资金80.43万元，市财政下达西藏班公寓维修、安全隐患排除、危房检测及防雷、高考考点建设补助等资金173.52万元，发放2023年秋季学期西藏班课后服务费50.50万元。</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9153.31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7327.04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80.05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 w:eastAsia="仿宋_GB2312"/>
          <w:sz w:val="32"/>
          <w:szCs w:val="32"/>
          <w:lang w:val="en-US" w:eastAsia="zh-CN"/>
        </w:rPr>
        <w:t>346.23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3.78</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1480.03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16.17</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9153.31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7109.89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77.68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2043.41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22.32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2"/>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7327.04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307.21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4.38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 xml:space="preserve">年中省财政下达“我的韶山行”省级补助资金80.43万元，市财政下达西藏班公寓维修、安全隐患排除、危房检测及防雷、高考考点建设补助等资金173.52万元，发放2023年秋季学期西藏班课后服务费50.50万元。                                                                                                                                                                                                                                                                                                                                                                                                                                                                                                                                                                                                                                                                                                                                                                                                                                                                                                                                                                                                                                                                                                                                                                                                                                                                                                                                                                                                                                                                                                                                                                                                                                                                                                                                                                                                                                                                                                                                                    </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7300.95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79.76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281.12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年中省财政下达“我的韶山行”省级补助资金80.43万元，市财政下达西藏班公寓维修、安全隐患排除、危房检测及防雷、高考考点建设补助等资金173.52万元，发放2023年秋季学期西藏班课后服务费50.50万元。</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6D672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7300.95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0.14</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6315.67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科学技术（类）支出2万元，占0.03%；社会保障和就业（类）支出628.46万元，占8.61%；住房保障（类）支出344.82万元，占4.72%。</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5770.92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7300.95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126.51</w:t>
      </w:r>
      <w:r>
        <w:rPr>
          <w:rFonts w:hint="eastAsia" w:ascii="仿宋_GB2312" w:hAnsi="仿宋_GB2312" w:eastAsia="仿宋_GB2312" w:cs="仿宋_GB2312"/>
          <w:sz w:val="32"/>
          <w:szCs w:val="32"/>
        </w:rPr>
        <w:t>%，其中：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民族事务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民族工作专项</w:t>
      </w:r>
      <w:r>
        <w:rPr>
          <w:rFonts w:hint="eastAsia" w:ascii="仿宋_GB2312" w:hAnsi="仿宋_GB2312" w:eastAsia="仿宋_GB2312" w:cs="仿宋_GB2312"/>
          <w:sz w:val="32"/>
          <w:szCs w:val="32"/>
        </w:rPr>
        <w:t>（项）。</w:t>
      </w:r>
    </w:p>
    <w:p w14:paraId="752360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财政下拨西藏班少数民族工作专项资金。</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教育管理事务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6D40D85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242.36</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市财政下拨2023年绩效考核奖。</w:t>
      </w:r>
    </w:p>
    <w:p w14:paraId="51E2DA8C">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教育管理事务</w:t>
      </w:r>
      <w:r>
        <w:rPr>
          <w:rFonts w:hint="eastAsia" w:ascii="仿宋_GB2312" w:hAnsi="仿宋_GB2312" w:eastAsia="仿宋_GB2312" w:cs="仿宋_GB2312"/>
          <w:sz w:val="32"/>
          <w:szCs w:val="32"/>
        </w:rPr>
        <w:t>（款）一般行政管理事务（项）</w:t>
      </w:r>
    </w:p>
    <w:p w14:paraId="44D8D2C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40.38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市财政下拨2024年退休教师第十三个月工资。</w:t>
      </w:r>
    </w:p>
    <w:p w14:paraId="78FFFCF0">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普通教育（款）高中教育（项）</w:t>
      </w:r>
    </w:p>
    <w:p w14:paraId="61B935D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4451.17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5048.86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113.43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省财政年中下拨教育综合发展专项资金、“我的韶山行”红色研学补助资金、高考考点建设补助资金。</w:t>
      </w:r>
    </w:p>
    <w:p w14:paraId="06F0B3FD">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普通教育（款）其他普通教育支出（项）</w:t>
      </w:r>
    </w:p>
    <w:p w14:paraId="3F58D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35.26</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省财政下拨</w:t>
      </w:r>
      <w:r>
        <w:rPr>
          <w:rFonts w:hint="eastAsia" w:ascii="仿宋_GB2312" w:hAnsi="仿宋_GB2312" w:eastAsia="仿宋_GB2312" w:cs="仿宋_GB2312"/>
          <w:sz w:val="32"/>
          <w:szCs w:val="32"/>
        </w:rPr>
        <w:t>青少年足球活动发展</w:t>
      </w:r>
      <w:r>
        <w:rPr>
          <w:rFonts w:hint="eastAsia" w:ascii="仿宋_GB2312" w:hAnsi="仿宋_GB2312" w:eastAsia="仿宋_GB2312" w:cs="仿宋_GB2312"/>
          <w:sz w:val="32"/>
          <w:szCs w:val="32"/>
          <w:lang w:val="en-US" w:eastAsia="zh-CN"/>
        </w:rPr>
        <w:t>资金、市财政下拨人员经费补差。</w:t>
      </w:r>
    </w:p>
    <w:p w14:paraId="05687278">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教育（类）教育费附加安排的支出（款）其他教育费附加安排的支出（项）</w:t>
      </w:r>
    </w:p>
    <w:p w14:paraId="3CD19FA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948.81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295.95</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市财政下拨高中生均经费、西藏班公寓维修、安全隐患排除、危房检测及防雷资金、从教30年教师一次性退休经费补贴等资金。</w:t>
      </w:r>
    </w:p>
    <w:p w14:paraId="1E0F200F">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科学技术支出（类）其他科学技术支出（款）其他科学技术支出（项）</w:t>
      </w:r>
    </w:p>
    <w:p w14:paraId="14C6401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市财政下拨教师校长培训经费。</w:t>
      </w:r>
    </w:p>
    <w:p w14:paraId="498399B5">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社会保障和就业（类）行政事业单位养老支出（款）事业单位离退休（项）</w:t>
      </w:r>
    </w:p>
    <w:p w14:paraId="1023197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137.15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市财政下拨离退休人员综合绩效奖和平安岳阳建设奖。</w:t>
      </w:r>
    </w:p>
    <w:p w14:paraId="75B05CEA">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w:t>
      </w:r>
    </w:p>
    <w:p w14:paraId="5FF795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496.04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477.23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96.21</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本年度高级职称退休教师较多。</w:t>
      </w:r>
    </w:p>
    <w:p w14:paraId="7463D413">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社会保障和就业（类）抚恤（款）其他优抚支出（项）</w:t>
      </w:r>
    </w:p>
    <w:p w14:paraId="077D617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市财政下拨一次性抚恤及遗嘱费。</w:t>
      </w:r>
    </w:p>
    <w:p w14:paraId="0FBD67CA">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社会保障和就业（类）其他社会保障和就业支出（款）其他社会保障和就业支出（项）</w:t>
      </w:r>
    </w:p>
    <w:p w14:paraId="56B2600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我单位严格按预算执行决算。</w:t>
      </w:r>
    </w:p>
    <w:p w14:paraId="45DBBC70">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住房保障支出（类）住房改革支出（款）住房公积金（项）</w:t>
      </w:r>
    </w:p>
    <w:p w14:paraId="4C46517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356.76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344.82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96.65</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本年度高级职称退休教师较多。</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5569.61</w:t>
      </w:r>
      <w:r>
        <w:rPr>
          <w:rFonts w:hint="eastAsia" w:ascii="仿宋_GB2312" w:hAnsi="仿宋_GB2312" w:eastAsia="仿宋_GB2312" w:cs="仿宋_GB2312"/>
          <w:sz w:val="32"/>
          <w:szCs w:val="32"/>
        </w:rPr>
        <w:t>万元，其中：</w:t>
      </w:r>
    </w:p>
    <w:p w14:paraId="763B78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5329.20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95.68</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绩效工资、机关事业单位基本养老保险缴费、职工基本医疗保险缴费、其他社会保障缴费、住房公积金、退休费、抚恤金、医疗费补助、其他对个人和家庭的补助</w:t>
      </w:r>
      <w:r>
        <w:rPr>
          <w:rFonts w:hint="eastAsia" w:ascii="仿宋_GB2312" w:hAnsi="仿宋_GB2312" w:eastAsia="仿宋_GB2312" w:cs="仿宋_GB2312"/>
          <w:sz w:val="32"/>
          <w:szCs w:val="32"/>
          <w:lang w:eastAsia="zh-CN"/>
        </w:rPr>
        <w:t>。</w:t>
      </w:r>
    </w:p>
    <w:p w14:paraId="4A7CE8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240.41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4.32</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eastAsia="zh-CN"/>
        </w:rPr>
        <w:t>培训费、工会经费、福利费、其他交通费用、其他商品和服务支出</w:t>
      </w:r>
      <w:r>
        <w:rPr>
          <w:rFonts w:hint="eastAsia" w:ascii="仿宋_GB2312" w:hAnsi="仿宋_GB2312" w:eastAsia="仿宋_GB2312" w:cs="仿宋_GB2312"/>
          <w:sz w:val="32"/>
          <w:szCs w:val="32"/>
        </w:rPr>
        <w:t>。</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26.09</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26.09</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5325FC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其他支出</w:t>
      </w:r>
      <w:r>
        <w:rPr>
          <w:rFonts w:hint="eastAsia" w:ascii="仿宋_GB2312" w:hAnsi="仿宋_GB2312" w:eastAsia="仿宋_GB2312" w:cs="仿宋_GB2312"/>
          <w:sz w:val="32"/>
          <w:szCs w:val="32"/>
        </w:rPr>
        <w:t>（类）彩票公益金安排的支出（款）用于体育事业的彩票公益金支出（项）。</w:t>
      </w:r>
    </w:p>
    <w:p w14:paraId="1BAE16F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26.09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财政年中下拨体彩公益金。</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4CC7F4F">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53.33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严格执行中央八项规定</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val="en-US" w:eastAsia="zh-CN"/>
        </w:rPr>
        <w:t>按有关政策厉行节约，严控“三公经费”支出</w:t>
      </w:r>
      <w:r>
        <w:rPr>
          <w:rFonts w:ascii="Times New Roman" w:hAnsi="Times New Roman" w:eastAsia="仿宋_GB2312" w:cs="Times New Roman"/>
          <w:sz w:val="32"/>
          <w:szCs w:val="32"/>
        </w:rPr>
        <w:t>。</w:t>
      </w:r>
    </w:p>
    <w:p w14:paraId="352D03A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2"/>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563B498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公务用车购置费及运行维护费支出预算为0万元，支出决算为0万元，决算数等于预算数；与上年一致，无增减变动。其中：</w:t>
      </w:r>
    </w:p>
    <w:p w14:paraId="240739C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14:paraId="75A272CE">
      <w:pPr>
        <w:pStyle w:val="12"/>
        <w:overflowPunct w:val="0"/>
        <w:autoSpaceDE/>
        <w:autoSpaceDN/>
        <w:spacing w:line="600" w:lineRule="exact"/>
        <w:ind w:firstLine="640" w:firstLineChars="200"/>
        <w:jc w:val="both"/>
        <w:rPr>
          <w:rFonts w:ascii="Times New Roman" w:hAnsi="Times New Roman" w:eastAsia="仿宋_GB2312" w:cs="Times New Roman"/>
          <w:b/>
          <w:bCs/>
          <w:i/>
          <w:color w:val="FF0000"/>
          <w:sz w:val="32"/>
          <w:szCs w:val="32"/>
        </w:rPr>
      </w:pPr>
      <w:r>
        <w:rPr>
          <w:rFonts w:hint="eastAsia" w:ascii="Times New Roman" w:hAnsi="Times New Roman" w:eastAsia="仿宋_GB2312" w:cs="Times New Roman"/>
          <w:sz w:val="32"/>
          <w:szCs w:val="32"/>
        </w:rPr>
        <w:t>公务用车运行维护费支出预算为0万元，支出决算为0万元，决算数等于预算数，主要原因是我单位严格按预算执行决算；与上年一致，无增减变动，主要原因是两年均无公务用车需要运行维护。 截止到2024年12月31日，我单位开支财政拨款的公务用车保有量为0辆。</w:t>
      </w:r>
    </w:p>
    <w:p w14:paraId="039328FA">
      <w:pPr>
        <w:numPr>
          <w:ilvl w:val="0"/>
          <w:numId w:val="3"/>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53.33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严格执行中央八项规定</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按有关政策厉行节约，严控公务接待支出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w:t>
      </w:r>
      <w:r>
        <w:rPr>
          <w:rFonts w:ascii="Times New Roman" w:hAnsi="Times New Roman" w:eastAsia="仿宋_GB2312" w:cs="Times New Roman"/>
          <w:sz w:val="32"/>
          <w:szCs w:val="32"/>
          <w:highlight w:val="none"/>
        </w:rPr>
        <w:t>来宾</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人次，主要是</w:t>
      </w:r>
      <w:r>
        <w:rPr>
          <w:rFonts w:hint="eastAsia" w:ascii="Times New Roman" w:hAnsi="Times New Roman" w:eastAsia="仿宋_GB2312" w:cs="Times New Roman"/>
          <w:sz w:val="32"/>
          <w:szCs w:val="32"/>
          <w:highlight w:val="none"/>
          <w:lang w:val="en-US" w:eastAsia="zh-CN"/>
        </w:rPr>
        <w:t>教育局民族教育司来校调研西藏班办学</w:t>
      </w:r>
      <w:r>
        <w:rPr>
          <w:rFonts w:ascii="Times New Roman" w:hAnsi="Times New Roman" w:eastAsia="仿宋_GB2312" w:cs="Times New Roman"/>
          <w:sz w:val="32"/>
          <w:szCs w:val="32"/>
          <w:highlight w:val="none"/>
        </w:rPr>
        <w:t>发生的接待支出。</w:t>
      </w: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本级和所属单位均为事业单位，按照机关运行经费的口径，本年度机关运行经费为0。</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本单位无会议费的预算和支出决算数</w:t>
      </w:r>
      <w:r>
        <w:rPr>
          <w:rFonts w:hint="eastAsia" w:ascii="仿宋_GB2312" w:hAnsi="仿宋_GB2312" w:eastAsia="仿宋_GB2312" w:cs="仿宋_GB2312"/>
          <w:sz w:val="32"/>
          <w:szCs w:val="32"/>
          <w:lang w:eastAsia="zh-CN"/>
        </w:rPr>
        <w:t>。</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培训费年初预算0万元，支出决算为17.66万元。</w:t>
      </w:r>
      <w:r>
        <w:rPr>
          <w:rFonts w:hint="eastAsia" w:ascii="仿宋_GB2312" w:hAnsi="仿宋_GB2312" w:eastAsia="仿宋_GB2312" w:cs="仿宋_GB2312"/>
          <w:color w:val="000000"/>
          <w:kern w:val="0"/>
          <w:sz w:val="32"/>
          <w:szCs w:val="32"/>
          <w:highlight w:val="none"/>
          <w:lang w:val="en-US" w:eastAsia="zh-CN" w:bidi="ar-SA"/>
        </w:rPr>
        <w:t>用于开展学校教师各类外出培训，人数几百人次，内容为教师业务培训等。</w:t>
      </w:r>
    </w:p>
    <w:p w14:paraId="12704CD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593.43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593.43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593.43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593.43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2024年12月31日，本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1066.28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1040.19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14.25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26.09</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6630CB40">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本单位年度内各项核心业务有序落地，预算资金使用合规高效，资产管理规范有序，整体实现“支出有管控、业务有成效、绩效有达标”的目标。</w:t>
      </w:r>
    </w:p>
    <w:p w14:paraId="7C65853C">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kern w:val="0"/>
          <w:sz w:val="32"/>
          <w:szCs w:val="32"/>
        </w:rPr>
        <w:t>本单位为二级预算单位，部门评价开展情况可详见上级部门决算公开说明</w:t>
      </w:r>
      <w:r>
        <w:rPr>
          <w:rFonts w:hint="eastAsia" w:ascii="Times New Roman" w:hAnsi="Times New Roman" w:eastAsia="仿宋_GB2312" w:cs="Times New Roman"/>
          <w:kern w:val="0"/>
          <w:sz w:val="32"/>
          <w:szCs w:val="32"/>
          <w:lang w:eastAsia="zh-CN"/>
        </w:rPr>
        <w:t>。</w:t>
      </w:r>
    </w:p>
    <w:p w14:paraId="004D01B3">
      <w:pPr>
        <w:overflowPunct w:val="0"/>
        <w:spacing w:line="600" w:lineRule="exact"/>
        <w:ind w:firstLine="640"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rPr>
        <w:t>本单位为二级预算单位，事前绩效评估开展情况可详见上级部门决算公开说明</w:t>
      </w:r>
      <w:r>
        <w:rPr>
          <w:rFonts w:hint="eastAsia" w:ascii="Times New Roman" w:hAnsi="Times New Roman" w:eastAsia="仿宋_GB2312" w:cs="Times New Roman"/>
          <w:kern w:val="0"/>
          <w:sz w:val="32"/>
          <w:szCs w:val="32"/>
          <w:lang w:eastAsia="zh-CN"/>
        </w:rPr>
        <w:t>。</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5770.93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9153.31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158.61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一是确保了单位的正常运转，各项工作任务顺利完成。在人员经费支出、公共支出上，本单位严格执行财政的各项制度；在项目经费的使用上，各项资金本着专款专用的原则，严格执行资金批准的使用计划和批复内容，不擅自调项、扩项、缩项，不拆借、挪用、挤占，资金拨付动向按不同资金的要求执行。同时对每笔资金的支付，严格执行财务制度，落实资金审核程序。在保证各项任务顺利完成的同时，严格落实厉行节约的原则；三公经费的使用严格控制在预算申报的范围内。二是确保了学校教育教学正常开展，包括民族教育在内的教学质量稳步提升。</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val="0"/>
          <w:bCs w:val="0"/>
          <w:sz w:val="32"/>
          <w:szCs w:val="32"/>
          <w:lang w:val="en-US" w:eastAsia="zh-CN"/>
        </w:rPr>
        <w:t>一是在预算及预算绩效管理方面，绩效管理意识有待加强，部分绩效目标设置不够明确，可量化性有待提高。二是在财务和资产管理方面，固定资产的管理有待加强。对固定资产的定期盘点清查工作落实还不到位。</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sz w:val="32"/>
          <w:szCs w:val="32"/>
          <w:lang w:val="en-US" w:eastAsia="zh-CN"/>
        </w:rPr>
        <w:t>一是进一步规范绩效目标编制。绩效目标设置要结合本单位职能职责和年度总体工作目标，提高各项指标的科学性、合理性，可实施性、可考核性。二是完善固定资产管理相关制度，定期开展盘点工作。三是进一步强化绩效管理意识。加强部门绩效管理的培训力度，切实提高经办人员业务素质，增强工作能力。</w:t>
      </w:r>
    </w:p>
    <w:p w14:paraId="1F555EDA">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rPr>
        <w:t>本单位为二级预算单位，部门评价结果可详见上级部门决算公开说明</w:t>
      </w:r>
      <w:r>
        <w:rPr>
          <w:rFonts w:hint="eastAsia" w:ascii="Times New Roman" w:hAnsi="Times New Roman" w:eastAsia="仿宋_GB2312" w:cs="Times New Roman"/>
          <w:sz w:val="32"/>
          <w:szCs w:val="32"/>
          <w:lang w:eastAsia="zh-CN"/>
        </w:rPr>
        <w:t>。</w:t>
      </w:r>
    </w:p>
    <w:p w14:paraId="5DC4775D">
      <w:pPr>
        <w:overflowPunct w:val="0"/>
        <w:spacing w:line="600" w:lineRule="exact"/>
        <w:ind w:firstLine="640" w:firstLineChars="200"/>
        <w:rPr>
          <w:rFonts w:hint="eastAsia" w:ascii="Times New Roman" w:hAnsi="Times New Roman" w:eastAsia="仿宋_GB2312"/>
          <w:color w:val="FF0000"/>
          <w:sz w:val="32"/>
          <w:szCs w:val="32"/>
          <w:lang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rPr>
        <w:t>本单位为二级预算单位，事前绩效评估结果可详见上级部门决算公开说明</w:t>
      </w:r>
      <w:r>
        <w:rPr>
          <w:rFonts w:hint="eastAsia" w:ascii="Times New Roman" w:hAnsi="Times New Roman" w:eastAsia="仿宋_GB2312" w:cs="Times New Roman"/>
          <w:kern w:val="0"/>
          <w:sz w:val="32"/>
          <w:szCs w:val="32"/>
          <w:highlight w:val="none"/>
          <w:lang w:eastAsia="zh-CN"/>
        </w:rPr>
        <w:t>。</w:t>
      </w:r>
    </w:p>
    <w:p w14:paraId="2C89E516">
      <w:pPr>
        <w:numPr>
          <w:ilvl w:val="0"/>
          <w:numId w:val="4"/>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6F254650">
      <w:pPr>
        <w:numPr>
          <w:ilvl w:val="0"/>
          <w:numId w:val="0"/>
        </w:numPr>
        <w:autoSpaceDE w:val="0"/>
        <w:autoSpaceDN w:val="0"/>
        <w:adjustRightInd w:val="0"/>
        <w:ind w:firstLine="640" w:firstLineChars="200"/>
        <w:jc w:val="left"/>
      </w:pPr>
      <w:r>
        <w:rPr>
          <w:rFonts w:hint="eastAsia" w:ascii="Times New Roman" w:hAnsi="Times New Roman" w:eastAsia="仿宋_GB2312" w:cs="Times New Roman"/>
          <w:color w:val="auto"/>
          <w:sz w:val="32"/>
          <w:szCs w:val="32"/>
          <w:highlight w:val="none"/>
        </w:rPr>
        <w:t>基于2024年度绩效自评结果，结合发现的问题与改进方向，本</w:t>
      </w:r>
      <w:r>
        <w:rPr>
          <w:rFonts w:hint="eastAsia" w:ascii="Times New Roman" w:hAnsi="Times New Roman"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rPr>
        <w:t>2025年度在预算安排、支出结构、资金管理及制度建设方面的结果运用如下：</w:t>
      </w:r>
      <w:r>
        <w:rPr>
          <w:rFonts w:hint="eastAsia" w:ascii="Times New Roman" w:hAnsi="Times New Roman" w:eastAsia="仿宋_GB2312" w:cs="Times New Roman"/>
          <w:color w:val="auto"/>
          <w:sz w:val="32"/>
          <w:szCs w:val="32"/>
          <w:highlight w:val="none"/>
          <w:lang w:val="en-US" w:eastAsia="zh-CN"/>
        </w:rPr>
        <w:t>一是支出结构调整。在保障基本运转和教育教学重点需求的前提下，压缩非急需、非刚性支出，加大对民族教育、教学质量提升等核心任务的投入，确保资金向绩效目标明确、效益显著的项目倾斜。二是资金管理强化。坚持专款专用原则，强化支付审核流程，确保资金使用合规、高效。三是制度建设与完善。健全绩效管理、资产管理制度。明确责任部门与流程，提升管理精细化水平。</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2"/>
        <w:jc w:val="both"/>
        <w:rPr>
          <w:rFonts w:hint="eastAsia" w:ascii="方正小标宋_GBK" w:hAnsi="方正小标宋_GBK" w:eastAsia="方正小标宋_GBK" w:cs="方正小标宋_GBK"/>
          <w:sz w:val="24"/>
          <w:szCs w:val="24"/>
        </w:rPr>
      </w:pPr>
    </w:p>
    <w:p w14:paraId="03BB3C61">
      <w:pPr>
        <w:pStyle w:val="12"/>
        <w:jc w:val="both"/>
        <w:rPr>
          <w:rFonts w:hint="eastAsia" w:ascii="方正小标宋_GBK" w:hAnsi="方正小标宋_GBK" w:eastAsia="方正小标宋_GBK" w:cs="方正小标宋_GBK"/>
          <w:sz w:val="24"/>
          <w:szCs w:val="24"/>
        </w:rPr>
      </w:pPr>
    </w:p>
    <w:p w14:paraId="0B3D76A1">
      <w:pPr>
        <w:pStyle w:val="12"/>
        <w:jc w:val="both"/>
        <w:rPr>
          <w:rFonts w:hint="eastAsia" w:ascii="方正小标宋_GBK" w:hAnsi="方正小标宋_GBK" w:eastAsia="方正小标宋_GBK" w:cs="方正小标宋_GBK"/>
          <w:sz w:val="24"/>
          <w:szCs w:val="24"/>
        </w:rPr>
      </w:pPr>
    </w:p>
    <w:p w14:paraId="67C8EE71">
      <w:pPr>
        <w:pStyle w:val="12"/>
        <w:jc w:val="both"/>
        <w:rPr>
          <w:rFonts w:hint="eastAsia" w:ascii="方正小标宋_GBK" w:hAnsi="方正小标宋_GBK" w:eastAsia="方正小标宋_GBK" w:cs="方正小标宋_GBK"/>
          <w:sz w:val="24"/>
          <w:szCs w:val="24"/>
        </w:rPr>
      </w:pPr>
    </w:p>
    <w:p w14:paraId="0AADCFC2">
      <w:pPr>
        <w:pStyle w:val="12"/>
        <w:jc w:val="both"/>
        <w:rPr>
          <w:rFonts w:hint="eastAsia" w:ascii="方正小标宋_GBK" w:hAnsi="方正小标宋_GBK" w:eastAsia="方正小标宋_GBK" w:cs="方正小标宋_GBK"/>
          <w:sz w:val="24"/>
          <w:szCs w:val="24"/>
        </w:rPr>
      </w:pPr>
    </w:p>
    <w:p w14:paraId="29CD4921">
      <w:pPr>
        <w:pStyle w:val="12"/>
        <w:jc w:val="both"/>
        <w:rPr>
          <w:rFonts w:hint="eastAsia" w:ascii="方正小标宋_GBK" w:hAnsi="方正小标宋_GBK" w:eastAsia="方正小标宋_GBK" w:cs="方正小标宋_GBK"/>
          <w:sz w:val="24"/>
          <w:szCs w:val="24"/>
        </w:rPr>
      </w:pPr>
    </w:p>
    <w:p w14:paraId="07C4BB02">
      <w:pPr>
        <w:pStyle w:val="12"/>
        <w:jc w:val="both"/>
        <w:rPr>
          <w:rFonts w:hint="eastAsia" w:ascii="方正小标宋_GBK" w:hAnsi="方正小标宋_GBK" w:eastAsia="方正小标宋_GBK" w:cs="方正小标宋_GBK"/>
          <w:sz w:val="24"/>
          <w:szCs w:val="24"/>
        </w:rPr>
      </w:pPr>
    </w:p>
    <w:p w14:paraId="6FC704B7">
      <w:pPr>
        <w:pStyle w:val="12"/>
        <w:jc w:val="both"/>
        <w:rPr>
          <w:rFonts w:hint="eastAsia" w:ascii="方正小标宋_GBK" w:hAnsi="方正小标宋_GBK" w:eastAsia="方正小标宋_GBK" w:cs="方正小标宋_GBK"/>
          <w:sz w:val="24"/>
          <w:szCs w:val="24"/>
        </w:rPr>
      </w:pPr>
    </w:p>
    <w:p w14:paraId="5A04333D">
      <w:pPr>
        <w:pStyle w:val="12"/>
        <w:jc w:val="both"/>
        <w:rPr>
          <w:rFonts w:hint="eastAsia" w:ascii="方正小标宋_GBK" w:hAnsi="方正小标宋_GBK" w:eastAsia="方正小标宋_GBK" w:cs="方正小标宋_GBK"/>
          <w:sz w:val="24"/>
          <w:szCs w:val="24"/>
        </w:rPr>
      </w:pPr>
    </w:p>
    <w:p w14:paraId="3EF54F8B">
      <w:pPr>
        <w:pStyle w:val="12"/>
        <w:jc w:val="both"/>
        <w:rPr>
          <w:rFonts w:hint="eastAsia" w:ascii="方正小标宋_GBK" w:hAnsi="方正小标宋_GBK" w:eastAsia="方正小标宋_GBK" w:cs="方正小标宋_GBK"/>
          <w:sz w:val="24"/>
          <w:szCs w:val="24"/>
        </w:rPr>
      </w:pPr>
    </w:p>
    <w:p w14:paraId="1B6068AB">
      <w:pPr>
        <w:pStyle w:val="12"/>
        <w:jc w:val="both"/>
        <w:rPr>
          <w:rFonts w:hint="eastAsia" w:ascii="方正小标宋_GBK" w:hAnsi="方正小标宋_GBK" w:eastAsia="方正小标宋_GBK" w:cs="方正小标宋_GBK"/>
          <w:sz w:val="24"/>
          <w:szCs w:val="24"/>
        </w:rPr>
      </w:pPr>
    </w:p>
    <w:p w14:paraId="05F87528">
      <w:pPr>
        <w:pStyle w:val="12"/>
        <w:jc w:val="both"/>
        <w:rPr>
          <w:rFonts w:hint="eastAsia" w:ascii="方正小标宋_GBK" w:hAnsi="方正小标宋_GBK" w:eastAsia="方正小标宋_GBK" w:cs="方正小标宋_GBK"/>
          <w:sz w:val="24"/>
          <w:szCs w:val="24"/>
        </w:rPr>
      </w:pPr>
    </w:p>
    <w:p w14:paraId="0F9F054A">
      <w:pPr>
        <w:pStyle w:val="12"/>
        <w:jc w:val="both"/>
        <w:rPr>
          <w:rFonts w:hint="eastAsia" w:ascii="方正小标宋_GBK" w:hAnsi="方正小标宋_GBK" w:eastAsia="方正小标宋_GBK" w:cs="方正小标宋_GBK"/>
          <w:sz w:val="24"/>
          <w:szCs w:val="24"/>
        </w:rPr>
      </w:pPr>
    </w:p>
    <w:p w14:paraId="6A5F400D">
      <w:pPr>
        <w:pStyle w:val="12"/>
        <w:jc w:val="both"/>
        <w:rPr>
          <w:rFonts w:hint="eastAsia" w:ascii="方正小标宋_GBK" w:hAnsi="方正小标宋_GBK" w:eastAsia="方正小标宋_GBK" w:cs="方正小标宋_GBK"/>
          <w:sz w:val="24"/>
          <w:szCs w:val="24"/>
        </w:rPr>
      </w:pPr>
    </w:p>
    <w:p w14:paraId="5DF42B8E">
      <w:pPr>
        <w:pStyle w:val="12"/>
        <w:jc w:val="both"/>
        <w:rPr>
          <w:rFonts w:hint="eastAsia" w:ascii="方正小标宋_GBK" w:hAnsi="方正小标宋_GBK" w:eastAsia="方正小标宋_GBK" w:cs="方正小标宋_GBK"/>
          <w:sz w:val="24"/>
          <w:szCs w:val="24"/>
        </w:rPr>
      </w:pP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7903F7E0">
      <w:pPr>
        <w:pStyle w:val="12"/>
        <w:jc w:val="both"/>
        <w:rPr>
          <w:rFonts w:hint="eastAsia" w:ascii="方正小标宋_GBK" w:hAnsi="方正小标宋_GBK" w:eastAsia="方正小标宋_GBK" w:cs="方正小标宋_GBK"/>
          <w:sz w:val="72"/>
          <w:szCs w:val="72"/>
        </w:rPr>
      </w:pPr>
    </w:p>
    <w:p w14:paraId="4CC16EEF">
      <w:pPr>
        <w:pStyle w:val="12"/>
        <w:jc w:val="both"/>
        <w:rPr>
          <w:rFonts w:hint="eastAsia" w:ascii="方正小标宋_GBK" w:hAnsi="方正小标宋_GBK" w:eastAsia="方正小标宋_GBK" w:cs="方正小标宋_GBK"/>
          <w:sz w:val="72"/>
          <w:szCs w:val="72"/>
        </w:rPr>
      </w:pP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27EA844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三、一般预算财政拨款(补助)收入:指财政部门拨入的各类经费。</w:t>
      </w:r>
    </w:p>
    <w:p w14:paraId="55D47F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四、财政拨款收入:指本级财政当年拨付的资金。</w:t>
      </w:r>
    </w:p>
    <w:p w14:paraId="0D992F1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A596E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六、预算绩效:即政府预算资金实施所产生的效益、效率和效果。</w:t>
      </w:r>
    </w:p>
    <w:p w14:paraId="16CDAA5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七、基本支出:指保障机构正常运转、完成日常工作任务而发生的人员支出和公用支出。</w:t>
      </w:r>
    </w:p>
    <w:p w14:paraId="2AE81C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八、项目支出:指在基本支出之外为完成特定行政任务和事业发展目标所发生的支出。</w:t>
      </w: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E3CBC331"/>
    <w:multiLevelType w:val="singleLevel"/>
    <w:tmpl w:val="E3CBC331"/>
    <w:lvl w:ilvl="0" w:tentative="0">
      <w:start w:val="3"/>
      <w:numFmt w:val="decimal"/>
      <w:lvlText w:val="%1."/>
      <w:lvlJc w:val="left"/>
      <w:pPr>
        <w:tabs>
          <w:tab w:val="left" w:pos="312"/>
        </w:tabs>
      </w:pPr>
    </w:lvl>
  </w:abstractNum>
  <w:abstractNum w:abstractNumId="2">
    <w:nsid w:val="1EEC9893"/>
    <w:multiLevelType w:val="singleLevel"/>
    <w:tmpl w:val="1EEC9893"/>
    <w:lvl w:ilvl="0" w:tentative="0">
      <w:start w:val="3"/>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74F0CF1"/>
    <w:rsid w:val="18D20DF5"/>
    <w:rsid w:val="1D97DEFF"/>
    <w:rsid w:val="1DFF72E5"/>
    <w:rsid w:val="1EFC6F07"/>
    <w:rsid w:val="1F0527A6"/>
    <w:rsid w:val="22AC03C2"/>
    <w:rsid w:val="242E360E"/>
    <w:rsid w:val="24D7677F"/>
    <w:rsid w:val="283B15FE"/>
    <w:rsid w:val="2A510485"/>
    <w:rsid w:val="2AD8242F"/>
    <w:rsid w:val="2FDF85B8"/>
    <w:rsid w:val="2FFFEE04"/>
    <w:rsid w:val="31C95635"/>
    <w:rsid w:val="34DF85B0"/>
    <w:rsid w:val="3B8F36BC"/>
    <w:rsid w:val="42C27D1A"/>
    <w:rsid w:val="43EB5BA5"/>
    <w:rsid w:val="491FF225"/>
    <w:rsid w:val="4C321D6F"/>
    <w:rsid w:val="4EC310A1"/>
    <w:rsid w:val="4EF83B3E"/>
    <w:rsid w:val="4FFD214C"/>
    <w:rsid w:val="5352765A"/>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4C17F8"/>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CF04D2"/>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6508</Words>
  <Characters>7102</Characters>
  <Lines>63</Lines>
  <Paragraphs>18</Paragraphs>
  <TotalTime>6</TotalTime>
  <ScaleCrop>false</ScaleCrop>
  <LinksUpToDate>false</LinksUpToDate>
  <CharactersWithSpaces>8997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刘雪纯</cp:lastModifiedBy>
  <cp:lastPrinted>2024-08-11T02:20:00Z</cp:lastPrinted>
  <dcterms:modified xsi:type="dcterms:W3CDTF">2025-09-19T02:04:37Z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D9F571C65E334EE5BE23B4B9E91659AD_13</vt:lpwstr>
  </property>
  <property fmtid="{D5CDD505-2E9C-101B-9397-08002B2CF9AE}" pid="4" name="KSOTemplateDocerSaveRecord">
    <vt:lpwstr>eyJoZGlkIjoiMzg4MTEyZDQzY2I3NzdkZGMzZGYxOWFkYTY4MmJiZGIiLCJ1c2VySWQiOiI1NTAzNTIyOTMifQ==</vt:lpwstr>
  </property>
</Properties>
</file>