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DCFF1">
      <w:pPr>
        <w:pStyle w:val="12"/>
        <w:jc w:val="center"/>
        <w:rPr>
          <w:sz w:val="56"/>
          <w:szCs w:val="56"/>
        </w:rPr>
      </w:pPr>
    </w:p>
    <w:p w14:paraId="3BDF5AB8">
      <w:pPr>
        <w:pStyle w:val="12"/>
        <w:jc w:val="center"/>
        <w:rPr>
          <w:sz w:val="56"/>
          <w:szCs w:val="56"/>
        </w:rPr>
      </w:pPr>
    </w:p>
    <w:p w14:paraId="60CA4575">
      <w:pPr>
        <w:pStyle w:val="12"/>
        <w:jc w:val="center"/>
        <w:rPr>
          <w:sz w:val="84"/>
          <w:szCs w:val="84"/>
        </w:rPr>
      </w:pPr>
    </w:p>
    <w:p w14:paraId="215EB31D">
      <w:pPr>
        <w:pStyle w:val="12"/>
        <w:jc w:val="center"/>
        <w:rPr>
          <w:sz w:val="84"/>
          <w:szCs w:val="84"/>
        </w:rPr>
      </w:pPr>
    </w:p>
    <w:p w14:paraId="376C8602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 w14:paraId="6934EBE9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岳阳市第十四中学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 w14:paraId="3A699C16">
      <w:pPr>
        <w:pStyle w:val="12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 w14:paraId="72C8FB58">
      <w:pPr>
        <w:pStyle w:val="12"/>
        <w:jc w:val="center"/>
        <w:rPr>
          <w:sz w:val="56"/>
          <w:szCs w:val="56"/>
        </w:rPr>
      </w:pPr>
    </w:p>
    <w:p w14:paraId="25018D25">
      <w:pPr>
        <w:pStyle w:val="12"/>
        <w:jc w:val="center"/>
        <w:rPr>
          <w:sz w:val="56"/>
          <w:szCs w:val="56"/>
        </w:rPr>
      </w:pPr>
    </w:p>
    <w:p w14:paraId="5EE73A38">
      <w:pPr>
        <w:pStyle w:val="12"/>
        <w:jc w:val="center"/>
        <w:rPr>
          <w:sz w:val="56"/>
          <w:szCs w:val="56"/>
        </w:rPr>
      </w:pPr>
    </w:p>
    <w:p w14:paraId="297571C5">
      <w:pPr>
        <w:pStyle w:val="12"/>
        <w:jc w:val="center"/>
        <w:rPr>
          <w:sz w:val="32"/>
          <w:szCs w:val="32"/>
        </w:rPr>
      </w:pPr>
    </w:p>
    <w:p w14:paraId="08493D1E">
      <w:pPr>
        <w:pStyle w:val="12"/>
        <w:jc w:val="center"/>
        <w:rPr>
          <w:sz w:val="32"/>
          <w:szCs w:val="32"/>
        </w:rPr>
      </w:pPr>
    </w:p>
    <w:p w14:paraId="5BD6E8BD">
      <w:pPr>
        <w:pStyle w:val="12"/>
        <w:jc w:val="center"/>
        <w:rPr>
          <w:sz w:val="32"/>
          <w:szCs w:val="32"/>
        </w:rPr>
      </w:pPr>
    </w:p>
    <w:p w14:paraId="1062A3B4">
      <w:pPr>
        <w:pStyle w:val="12"/>
        <w:jc w:val="center"/>
        <w:rPr>
          <w:sz w:val="32"/>
          <w:szCs w:val="32"/>
        </w:rPr>
      </w:pPr>
    </w:p>
    <w:p w14:paraId="6311DFC7">
      <w:pPr>
        <w:pStyle w:val="12"/>
        <w:jc w:val="center"/>
        <w:rPr>
          <w:sz w:val="32"/>
          <w:szCs w:val="32"/>
        </w:rPr>
      </w:pPr>
    </w:p>
    <w:p w14:paraId="50228290">
      <w:pPr>
        <w:pStyle w:val="12"/>
        <w:spacing w:line="540" w:lineRule="exact"/>
        <w:jc w:val="center"/>
        <w:rPr>
          <w:sz w:val="56"/>
          <w:szCs w:val="56"/>
        </w:rPr>
      </w:pPr>
    </w:p>
    <w:p w14:paraId="459C483D">
      <w:pPr>
        <w:pStyle w:val="12"/>
        <w:spacing w:line="500" w:lineRule="exact"/>
        <w:jc w:val="both"/>
        <w:rPr>
          <w:b/>
          <w:sz w:val="36"/>
          <w:szCs w:val="28"/>
        </w:rPr>
      </w:pPr>
    </w:p>
    <w:p w14:paraId="24F3309B">
      <w:pPr>
        <w:pStyle w:val="12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14:paraId="6CBD0C22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val="en-US" w:eastAsia="zh-CN"/>
        </w:rPr>
        <w:t>岳阳市第十四中学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 w14:paraId="060CB1DC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 w14:paraId="315E49DA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及决算单位构成</w:t>
      </w:r>
    </w:p>
    <w:p w14:paraId="3CE431DD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 w14:paraId="4B1DE222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 w14:paraId="28DAEA9B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 w14:paraId="4189E141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 w14:paraId="0621647E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 w14:paraId="28E0B171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 w14:paraId="0A1DA969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 w14:paraId="62E9A333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 w14:paraId="316661B6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 w14:paraId="23827588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 w14:paraId="69B4707F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 w14:paraId="30D2819C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 w14:paraId="2F99AFEC"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 w14:paraId="69796A8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 w14:paraId="42F5763D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14:paraId="4551B6B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14:paraId="0BC2CE30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14:paraId="11D85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 w14:paraId="5F6B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情况</w:t>
      </w:r>
    </w:p>
    <w:p w14:paraId="71D9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 w14:paraId="371B6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 w14:paraId="1624E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 w14:paraId="6C86A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 w14:paraId="5E15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 w14:paraId="5BD7D26C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绩效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情况的说明</w:t>
      </w:r>
    </w:p>
    <w:p w14:paraId="51852483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 w14:paraId="7D866A9C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 w14:paraId="2E7F14A9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095DEAB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0DEEC249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 w14:paraId="5C6A94F8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EF69A9D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岳阳市第十四中学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 w14:paraId="77A0C778">
      <w:pPr>
        <w:pStyle w:val="2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97AC3FB"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3F2C40A">
      <w:pPr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28B0AE2">
      <w:pPr>
        <w:pStyle w:val="2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469560B"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5E857AF">
      <w:pPr>
        <w:pStyle w:val="13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 w14:paraId="0752AE14">
      <w:pPr>
        <w:pStyle w:val="13"/>
        <w:ind w:left="720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1.负责贯彻执行《教育法》，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 xml:space="preserve">教师法》等法规政策。 </w:t>
      </w:r>
    </w:p>
    <w:p w14:paraId="25FFC5EA">
      <w:pPr>
        <w:pStyle w:val="13"/>
        <w:ind w:left="720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2.负责在校学生的文化科学知识，思想品德，体育，美育及劳动技能教育。 </w:t>
      </w:r>
    </w:p>
    <w:p w14:paraId="53E0EA97">
      <w:pPr>
        <w:pStyle w:val="13"/>
        <w:ind w:left="720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3.负责学校教师的政治思想教育和业务培训。 </w:t>
      </w:r>
    </w:p>
    <w:p w14:paraId="5D53D012">
      <w:pPr>
        <w:pStyle w:val="13"/>
        <w:ind w:left="720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4.负责在校师生的安全保卫及后勤服务。 </w:t>
      </w:r>
    </w:p>
    <w:p w14:paraId="30307305">
      <w:pPr>
        <w:pStyle w:val="13"/>
        <w:ind w:left="720" w:firstLine="0" w:firstLineChars="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5.完成市教育局交办的其他工作。</w:t>
      </w:r>
    </w:p>
    <w:p w14:paraId="2DC82B10"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 w14:paraId="40F6EBCF">
      <w:pPr>
        <w:widowControl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岳阳市第十四中学内设机构包括：办公室、教务处、督导室、教研处、政教处、总务处。</w:t>
      </w:r>
    </w:p>
    <w:p w14:paraId="3F2B51CC"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本单位无独立核算的下属单位，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2024年度部门决算汇总公开单位仅包括岳阳市第十四中学单位本级。</w:t>
      </w:r>
    </w:p>
    <w:p w14:paraId="7635BF3C"/>
    <w:p w14:paraId="3CE56614">
      <w:pPr>
        <w:pStyle w:val="2"/>
      </w:pPr>
    </w:p>
    <w:p w14:paraId="70B4D569">
      <w:pPr>
        <w:pStyle w:val="3"/>
      </w:pPr>
    </w:p>
    <w:p w14:paraId="5B1D6CBC"/>
    <w:p w14:paraId="7D6C31E4">
      <w:pPr>
        <w:pStyle w:val="2"/>
      </w:pPr>
    </w:p>
    <w:p w14:paraId="056E4ECA">
      <w:pPr>
        <w:pStyle w:val="3"/>
      </w:pPr>
    </w:p>
    <w:p w14:paraId="3288C9C5"/>
    <w:p w14:paraId="14507043">
      <w:pPr>
        <w:pStyle w:val="2"/>
      </w:pPr>
    </w:p>
    <w:p w14:paraId="465EA8BD">
      <w:pPr>
        <w:pStyle w:val="3"/>
      </w:pPr>
    </w:p>
    <w:p w14:paraId="49E51758"/>
    <w:p w14:paraId="3DC8C6CD">
      <w:pPr>
        <w:pStyle w:val="2"/>
      </w:pPr>
    </w:p>
    <w:p w14:paraId="36E702E5">
      <w:pPr>
        <w:pStyle w:val="3"/>
      </w:pPr>
    </w:p>
    <w:p w14:paraId="0416550A"/>
    <w:p w14:paraId="28B49BCE">
      <w:pPr>
        <w:pStyle w:val="2"/>
      </w:pPr>
    </w:p>
    <w:p w14:paraId="43291855">
      <w:pPr>
        <w:pStyle w:val="3"/>
      </w:pPr>
    </w:p>
    <w:p w14:paraId="7CD92489"/>
    <w:p w14:paraId="5267F12B">
      <w:pPr>
        <w:pStyle w:val="2"/>
      </w:pPr>
    </w:p>
    <w:p w14:paraId="28828498">
      <w:pPr>
        <w:pStyle w:val="3"/>
      </w:pPr>
    </w:p>
    <w:p w14:paraId="04E62672"/>
    <w:p w14:paraId="1D6D7A8B">
      <w:pPr>
        <w:pStyle w:val="2"/>
      </w:pPr>
    </w:p>
    <w:p w14:paraId="2E47952B">
      <w:pPr>
        <w:pStyle w:val="3"/>
      </w:pPr>
    </w:p>
    <w:p w14:paraId="18A19BE5"/>
    <w:p w14:paraId="7CCBF86D">
      <w:pPr>
        <w:pStyle w:val="2"/>
      </w:pPr>
    </w:p>
    <w:p w14:paraId="0017F5EC">
      <w:pPr>
        <w:pStyle w:val="3"/>
      </w:pPr>
    </w:p>
    <w:p w14:paraId="76181D4E"/>
    <w:p w14:paraId="1A174866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2B49F2B7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661BBFC8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 w14:paraId="5FB02ED5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860F185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 w14:paraId="50A5962C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 w14:paraId="325AF5B5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0568D1B8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5C65B646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2EA5E89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3BFFD84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4565BABE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EEAB3EF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03C04A7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A44A82E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6211665">
      <w:pPr>
        <w:pStyle w:val="12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804FBAA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 w14:paraId="7D53C949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4F77A5A6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 w14:paraId="17862F93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6EEC30AB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417367C1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5EF1049C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7E4B3CF9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514C0722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111D7AB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决算编制时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至“金额单位：元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本套部门决算文字说明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和公开表格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取数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转换为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万元”，可能导致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中的各项数据取数之间存在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0.01的尾数差异。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完成年初预算的XX%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2411C08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 w14:paraId="5CDCBAD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5461.22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582.54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11.94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本年度学校开展了安全隐患整改项目，对学校电路系统以及防水系统进行维修改造升级。同时，对教师周转房燃气设备也进行了更换。</w:t>
      </w:r>
    </w:p>
    <w:p w14:paraId="07DA9E3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 w14:paraId="3128467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5461.22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4098.94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75.06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433.43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7.94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928.85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2D1A2B4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 w14:paraId="306115A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5461.23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4703.34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86.12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757.89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13.88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6985752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 w14:paraId="4ED35F4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4098.94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375.71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10.09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本年度学校开展了安全隐患整改项目，对学校电路系统以及防水系统进行维修改造升级。同时，对教师周转房燃气设备也进行了更换。</w:t>
      </w:r>
    </w:p>
    <w:p w14:paraId="75EEE207"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楷体" w:hAnsi="楷体" w:eastAsia="楷体" w:cs="楷体"/>
          <w:i/>
          <w:iCs/>
          <w:color w:val="000000"/>
          <w:kern w:val="0"/>
          <w:sz w:val="32"/>
          <w:szCs w:val="32"/>
          <w:lang w:val="en-US" w:eastAsia="zh-CN" w:bidi="ar-SA"/>
        </w:rPr>
      </w:pPr>
    </w:p>
    <w:p w14:paraId="4BB30A6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 w14:paraId="6023283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 w14:paraId="36F15B1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4091.08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74.91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367.85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9.88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本年度学校开展了安全隐患整改项目，对学校电路系统以及防水系统进行维修改造升级。同时，对教师周转房燃气设备和教室讲台也进行了更换。</w:t>
      </w:r>
    </w:p>
    <w:p w14:paraId="66C54C8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 w14:paraId="100B560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4091.08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万元，主要用于以下方面：教育（类）支出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3279.26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80.16</w:t>
      </w:r>
      <w:r>
        <w:rPr>
          <w:rFonts w:hint="eastAsia" w:ascii="仿宋_GB2312" w:hAnsi="仿宋_GB2312" w:eastAsia="仿宋_GB2312" w:cs="仿宋_GB2312"/>
          <w:sz w:val="32"/>
          <w:szCs w:val="32"/>
        </w:rPr>
        <w:t>%;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科学技术（类）支出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4.00万元，占0.10%；社会保障和就业（类）支出451.47万元，占11.03%；卫生健康（类）支出150.95万元，占3.69%；住房保障（类）支出205.41万元，占5.02%。</w:t>
      </w:r>
    </w:p>
    <w:p w14:paraId="5CDBADF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 w14:paraId="5B07DAE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3252.14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4091.08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125.80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</w:t>
      </w:r>
    </w:p>
    <w:p w14:paraId="237A4D6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教育管理事务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一般行政管理事务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 w14:paraId="7523608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192.34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财政年中追加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2023年度市级基础绩效考核奖励，年终追加退休人员年终一个月工资奖。</w:t>
      </w:r>
    </w:p>
    <w:p w14:paraId="237F910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2、教育（类）普通教育（款）高中教育（项）</w:t>
      </w:r>
    </w:p>
    <w:p w14:paraId="6D40D85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2537.63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2577.69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101.58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财政年中追加分管副市长协调经费、高考考点建设补助资金、红色研学补助资金、改善普通高中学校办学条件补助资金。</w:t>
      </w:r>
    </w:p>
    <w:p w14:paraId="1DE11CF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3、教育（类）普通教育（款）其他普通教育（项）</w:t>
      </w:r>
    </w:p>
    <w:p w14:paraId="39FA0FD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财政年终追加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2024年第五批教育综合发展专项资金（全省教育数字化基础设施改善和推广应用），以及财政追加人员经费补差。</w:t>
      </w:r>
    </w:p>
    <w:p w14:paraId="4EFC0F2B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教育（类）教育费附加（款）其他教育费附加（项）</w:t>
      </w:r>
    </w:p>
    <w:p w14:paraId="5C40561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预算为21.00万元，支出决算为482.17万元，完成年初预算的2296.05%，决算数大于年初预算数的主要原因是：财政年中追加两期普通高中生均经费、教师体检经费、红色研学补助资金、教师周转房燃气设备更换资金、教师讲台更换资金、安全隐患排除资金、从教30年教师一次性退休补贴经费。</w:t>
      </w:r>
    </w:p>
    <w:p w14:paraId="0AD0566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5、科学技术（类）其他科学技术（款）其他科学技术（项）</w:t>
      </w:r>
    </w:p>
    <w:p w14:paraId="13F5D60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年初预算为0万元，支出决算为4.00万元，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财政年中追加名师工作室经费。</w:t>
      </w:r>
    </w:p>
    <w:p w14:paraId="58FC4B27"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社会保障和就业（类）行政事业单位养老（款）事业单位离退休（项）</w:t>
      </w:r>
    </w:p>
    <w:p w14:paraId="58B4CA0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年初预算为0万元，支出决算为101.50万元，决算数大于年初预算数的主要原因是：财政年中追加2023年市直行政事业单位退休人员基础绩效考评奖励经费。</w:t>
      </w:r>
    </w:p>
    <w:p w14:paraId="63B4FD1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7、社会保障和就业（类）行政事业单位养老（款）</w:t>
      </w:r>
      <w:r>
        <w:rPr>
          <w:rFonts w:hint="eastAsia" w:ascii="仿宋" w:hAnsi="仿宋" w:eastAsia="仿宋" w:cs="仿宋"/>
          <w:sz w:val="32"/>
          <w:szCs w:val="32"/>
        </w:rPr>
        <w:t>机关事业单位基本养老保险缴费（项）</w:t>
      </w:r>
    </w:p>
    <w:p w14:paraId="170E193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年初预算为273.29万元，支出决算为273.29万元，完成年初预算的100%，决算数等于年初预算数的主要原因是：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严格执行预决算制度。</w:t>
      </w:r>
    </w:p>
    <w:p w14:paraId="63055E0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</w:rPr>
        <w:t>社会保障和就业（类）抚恤（款）其他优抚（项）</w:t>
      </w:r>
    </w:p>
    <w:p w14:paraId="79A9363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年初预算为0万元，支出决算为12.82万元，决算数大于年初预算数的主要原因是：</w:t>
      </w:r>
      <w:r>
        <w:rPr>
          <w:rFonts w:hint="eastAsia" w:ascii="仿宋" w:hAnsi="仿宋" w:eastAsia="仿宋" w:cs="仿宋"/>
          <w:sz w:val="32"/>
          <w:szCs w:val="32"/>
        </w:rPr>
        <w:t>年中财政追加抚恤金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2FA05C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社会保障和就业（类）其他社会保障和就业（款）其他社会保障和就业（项）</w:t>
      </w:r>
    </w:p>
    <w:p w14:paraId="7566BC4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年初预算为63.86万元，支出决算为63.86万元，完成年初预算的100%，决算数等于年初预算数的主要原因是：严格执行预决算制度。</w:t>
      </w:r>
    </w:p>
    <w:p w14:paraId="3B6549C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left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eastAsia" w:ascii="仿宋" w:hAnsi="仿宋" w:eastAsia="仿宋" w:cs="仿宋"/>
          <w:sz w:val="32"/>
          <w:szCs w:val="32"/>
        </w:rPr>
        <w:t>卫生健康（类）行政事业单位医疗（款）事业单位医疗（项）</w:t>
      </w:r>
    </w:p>
    <w:p w14:paraId="496EDC5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年初预算为150.95万元，支出决算为150.95万元，完成年初预算的100%，决算数等于年初预算数的主要原因是：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严格执行预决算制度。</w:t>
      </w:r>
    </w:p>
    <w:p w14:paraId="1F782A8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11、住房保障（类）住房改革（款）住房公积金（项）</w:t>
      </w:r>
    </w:p>
    <w:p w14:paraId="3165180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年初预算数为205.41万元，支出决算为205.41万元，完成年初预算的100%，决算数等于年初预算数的主要原因是：严格执行预决算制度。</w:t>
      </w:r>
    </w:p>
    <w:p w14:paraId="373E8BA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 w14:paraId="293AEB6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3341.05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 w14:paraId="763B784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3194.64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95.62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%,主要包括基本工资、津贴补贴、奖金、伙食补助费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绩效工资、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机关事业单位基本养老保险缴费、职工基本医疗保险缴费、其他社会保障缴费</w:t>
      </w:r>
      <w:r>
        <w:rPr>
          <w:rFonts w:hint="eastAsia" w:ascii="宋体" w:hAnsi="宋体" w:eastAsia="宋体"/>
          <w:sz w:val="32"/>
          <w:szCs w:val="32"/>
          <w:lang w:val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住房公积金、退休费、抚恤金、医疗费补助、奖励金、其他对个人和家庭的补助。</w:t>
      </w:r>
    </w:p>
    <w:p w14:paraId="48A9DFB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146.41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4.38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%，主要包括办公费、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差旅费、维修（护）费、培训费、委托业务费、工会经费、福利费、其他交通费用、其他商品和服务支出、文物和陈列品购置。</w:t>
      </w:r>
    </w:p>
    <w:p w14:paraId="238B276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 w14:paraId="1259255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年度政府性基金预算财政拨款收入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7.86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万元；年初结转和结余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7.86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7.86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万元；年末结转和结余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万元。具体情况如下：</w:t>
      </w:r>
    </w:p>
    <w:p w14:paraId="5325FC7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彩票公益金安排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用于体育事业的彩票公益金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 w14:paraId="7B96C24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仿宋_GB2312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7.86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财政年中追加体彩公益金。</w:t>
      </w:r>
    </w:p>
    <w:p w14:paraId="28BDC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 w14:paraId="64D19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color w:val="auto"/>
          <w:kern w:val="0"/>
          <w:sz w:val="32"/>
          <w:szCs w:val="32"/>
          <w:lang w:val="en-US" w:eastAsia="zh-CN" w:bidi="ar-SA"/>
        </w:rPr>
        <w:t>2024年度国有资本经营预算财政拨款收入0万元；年初结转和结余0万；支出0万元，其中：基本支出0万元，项目支出0万元；年末结转和结余0万元。</w:t>
      </w:r>
    </w:p>
    <w:p w14:paraId="56061CD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i w:val="0"/>
          <w:iCs/>
          <w:color w:val="FF0000"/>
          <w:kern w:val="0"/>
          <w:sz w:val="36"/>
          <w:szCs w:val="36"/>
          <w:lang w:val="en-US" w:eastAsia="zh-CN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 w14:paraId="693D9B5D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>经费财政拨款支出决算总体情况说明</w:t>
      </w:r>
    </w:p>
    <w:p w14:paraId="14B2BA2F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2024年度“三公”经费财政拨款支出预算为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决算数等于预算数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，主要原因是我单位严格按预算执行决算；与上年一致，无增减变动，主要原因是按有关政策厉行节约，严控“三公经费”支出。</w:t>
      </w:r>
    </w:p>
    <w:p w14:paraId="0C0A7EC3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>经费财政拨款支出决算具体情况说明</w:t>
      </w:r>
    </w:p>
    <w:p w14:paraId="0266805D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1.因公出国（境）费支出预算为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决算数等于预算数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，主要原因是我单位严格按预算执行决算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与上年一致，无增减变动，主要原因是未安排因公出国（境）活动。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2024年度安排因公出国（境）团组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个，累计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26DFFE3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2.公务用车购置费及运行维护费支出预算为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决算数等于预算数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与上年一致，无增减变动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。其中：</w:t>
      </w:r>
    </w:p>
    <w:p w14:paraId="707B63F8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决算数等于预算数，主要原因是我单位严格按预算执行决算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与上年一致，无增减变动，主要原因是两年均未购置公务用车。本单位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更新公务用车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EB2C260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务用车运行维护费支出预算为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决算数等于预算数，主要原因是我单位严格按预算执行决算；与上年一致，无增减变动，主要原因是两年均无公务用车需要运行维护。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截止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2024年12月31日，我单位开支财政拨款的公务用车保有量为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辆。</w:t>
      </w:r>
    </w:p>
    <w:p w14:paraId="0B7C7128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决算数等于预算数，主要原因是严格执行中央八项规定；与上年一致，无增减变动，主要原因是按有关政策厉行节约，严控公务接待支出。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2024年度共接待来访团组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个、来宾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039328F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</w:pPr>
    </w:p>
    <w:p w14:paraId="3D06ACE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 w14:paraId="38BA3ACD">
      <w:pPr>
        <w:pStyle w:val="12"/>
        <w:ind w:firstLine="64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/>
          <w:color w:val="auto"/>
          <w:sz w:val="32"/>
          <w:szCs w:val="32"/>
          <w:lang w:val="en-US" w:eastAsia="zh-CN"/>
        </w:rPr>
        <w:t>本单位为事业单位，按照机关运行经费的口径，本年度机关运行经费为0。</w:t>
      </w:r>
    </w:p>
    <w:p w14:paraId="39684EF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 w14:paraId="5E588319"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本单位无会议费的预算和支出决算数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BF19328"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培训费年初预算0万元，支出决算为3.92万元。用于开展教师远程培训，人数330人次，内容为中小学教师远程培训。</w:t>
      </w:r>
    </w:p>
    <w:p w14:paraId="2A014DC3"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b/>
          <w:bCs/>
          <w:i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本单位无举办节庆、晚会、论坛、赛事等活动的预算和支出决算数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252D0BE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 w14:paraId="4120C9C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年度政府采购支出总额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353.20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142.20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万元。授予中小企业合同金额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353.20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万元，占政府采购支出总额的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%，其中：授予小微企业合同金额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授予中小企业合同金额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27.29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%。货物采购授予中小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企业合同金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额占货物支出金额的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246A0DF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 w14:paraId="37C9D95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共有车辆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机要通信用车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辆；单位价值100万元以上设备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台（套）。</w:t>
      </w:r>
    </w:p>
    <w:p w14:paraId="0A8224A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绩效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情况的说明</w:t>
      </w:r>
    </w:p>
    <w:p w14:paraId="0EB60D67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（一）绩效评价工作开展情况</w:t>
      </w:r>
    </w:p>
    <w:p w14:paraId="2559DDC6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绩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效自评开展情况。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组织对2024年度本单位整体支出开展绩效自评，涉及项目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个，共涉及资金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207.23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</w:t>
      </w: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32"/>
          <w:szCs w:val="32"/>
        </w:rPr>
        <w:t>其中，一般公共预算项目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199.37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万元，占一般公共预算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项目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26.31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对政府性基金预算项目支出开展绩效自评，项目1个，共涉及资金7.86万元，占政府性基金预算项目支出总额的100%。组织对国有资本经营预算项目支出开展绩效自评，项目0个，共涉及资金0万元（由于国有资本经营预算项目支出总额为0，故无法计算占国有资本经营预算项目支出总额的比重）。从评价情况来看，项目绩效自评得分96.25分，评价结果等次为优秀。</w:t>
      </w:r>
    </w:p>
    <w:p w14:paraId="05E71086">
      <w:pPr>
        <w:numPr>
          <w:ilvl w:val="0"/>
          <w:numId w:val="4"/>
        </w:num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部门评价开展情况</w:t>
      </w:r>
    </w:p>
    <w:p w14:paraId="7C65853C">
      <w:pPr>
        <w:numPr>
          <w:ilvl w:val="0"/>
          <w:numId w:val="0"/>
        </w:num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本单位为二级预算单位，部门评价开展情况可详见上级部门决算公开说明。</w:t>
      </w:r>
    </w:p>
    <w:p w14:paraId="100D295C">
      <w:pPr>
        <w:numPr>
          <w:ilvl w:val="0"/>
          <w:numId w:val="4"/>
        </w:numPr>
        <w:overflowPunct w:val="0"/>
        <w:spacing w:line="600" w:lineRule="exact"/>
        <w:ind w:left="0" w:leftChars="0" w:firstLine="640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事前绩效评估开展情况</w:t>
      </w:r>
    </w:p>
    <w:p w14:paraId="004D01B3">
      <w:pPr>
        <w:numPr>
          <w:ilvl w:val="0"/>
          <w:numId w:val="0"/>
        </w:numPr>
        <w:overflowPunct w:val="0"/>
        <w:spacing w:line="600" w:lineRule="exact"/>
        <w:ind w:leftChars="0" w:firstLine="640" w:firstLineChars="200"/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本单位为二级预算单位，事前绩效评估开展情况可详见上级部门决算公开说明。</w:t>
      </w:r>
    </w:p>
    <w:p w14:paraId="6FC8205B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（二）绩效评价结果</w:t>
      </w:r>
    </w:p>
    <w:p w14:paraId="3F323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绩效自评结果。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2024年度本单位整体支出</w:t>
      </w:r>
      <w:r>
        <w:rPr>
          <w:rFonts w:ascii="Times New Roman" w:hAnsi="Times New Roman" w:eastAsia="仿宋_GB2312" w:cs="Times New Roman"/>
          <w:sz w:val="32"/>
          <w:szCs w:val="32"/>
        </w:rPr>
        <w:t>全年预算数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3252.14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4091.08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125.80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，绩效自评得分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95.75</w:t>
      </w:r>
      <w:r>
        <w:rPr>
          <w:rFonts w:ascii="Times New Roman" w:hAnsi="Times New Roman" w:eastAsia="仿宋_GB2312" w:cs="Times New Roman"/>
          <w:sz w:val="32"/>
          <w:szCs w:val="32"/>
        </w:rPr>
        <w:t>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，评价等级为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优秀</w:t>
      </w:r>
      <w:r>
        <w:rPr>
          <w:rFonts w:ascii="Times New Roman" w:hAnsi="Times New Roman" w:eastAsia="仿宋_GB2312" w:cs="Times New Roman"/>
          <w:sz w:val="32"/>
          <w:szCs w:val="32"/>
        </w:rPr>
        <w:t>”。绩效目标完成情况：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一是已完成2024年部门综合绩效考核工作；二是已完成年度正常教育教学进度。</w:t>
      </w:r>
      <w:r>
        <w:rPr>
          <w:rFonts w:ascii="Times New Roman" w:hAnsi="Times New Roman" w:eastAsia="仿宋_GB2312" w:cs="Times New Roman"/>
          <w:sz w:val="32"/>
          <w:szCs w:val="32"/>
        </w:rPr>
        <w:t>发现的主要问题及原因：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由于年末集中下达各项资金，有的资金未及时利用，导致有不少资金结转到下年，资金使用率有所降低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。下一步改进措施：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资金使用效益进一步提高，绩效目标进一步明确、细化和量化。二是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编制不细化、预算支出执行率低、专项资金结余闲置、滞留专项资金等。原因分析：主要是因为管理制度不完善，导致执行不力；监督机制缺失，导致预算执行不严格；部门间协调不足，导致预算管理执行中出现脱节；信息透明度不足，导致社会监督作用难以发挥。</w:t>
      </w:r>
    </w:p>
    <w:p w14:paraId="1B8976B4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部门评价结果</w:t>
      </w:r>
    </w:p>
    <w:p w14:paraId="1F555EDA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本单位为二级预算单位，部门评价结果可详见上级部门决算公开说明。</w:t>
      </w:r>
    </w:p>
    <w:p w14:paraId="4D906D56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事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前绩效评估结果</w:t>
      </w:r>
    </w:p>
    <w:p w14:paraId="5DC4775D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本单位为二级预算单位，事前绩效评估结果可详见上级部门决算公开说明。</w:t>
      </w:r>
    </w:p>
    <w:p w14:paraId="2C89E516">
      <w:pPr>
        <w:numPr>
          <w:ilvl w:val="0"/>
          <w:numId w:val="5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评价结果应用情况</w:t>
      </w:r>
    </w:p>
    <w:p w14:paraId="799418AB">
      <w:pPr>
        <w:autoSpaceDE w:val="0"/>
        <w:autoSpaceDN w:val="0"/>
        <w:adjustRightInd w:val="0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一是预算安排方面，要强化绩效导向，压减无效低效支出，优化新增项目准入。二是支出结构调整方面，要聚焦核心职能与重点任务， 调整公用经费与项目支出比例，促进跨部门资金整合。三是资金管理方面，要加快执行进度与强化监督，完善动态调整机制。四是制度建设方面，要健全绩效管理制度体系，强化评价结果应用刚性约束。</w:t>
      </w:r>
    </w:p>
    <w:p w14:paraId="5E8AD5A5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预算绩效管理开展情况、绩效目标和绩效评价报告等，已在市政府部门财政预决算公开平台上向社会公开，详见附件。</w:t>
      </w:r>
    </w:p>
    <w:p w14:paraId="62BEA247">
      <w:pPr>
        <w:pStyle w:val="2"/>
        <w:rPr>
          <w:rFonts w:hint="eastAsia"/>
          <w:lang w:val="en-US" w:eastAsia="zh-CN"/>
        </w:rPr>
      </w:pPr>
    </w:p>
    <w:p w14:paraId="47586AB8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楷体" w:hAnsi="楷体" w:eastAsia="楷体" w:cs="楷体"/>
          <w:b/>
          <w:bCs/>
          <w:i w:val="0"/>
          <w:iCs w:val="0"/>
          <w:color w:val="FF0000"/>
          <w:kern w:val="0"/>
          <w:sz w:val="36"/>
          <w:szCs w:val="36"/>
          <w:lang w:val="en-US" w:eastAsia="zh-CN"/>
        </w:rPr>
      </w:pPr>
    </w:p>
    <w:p w14:paraId="147E06D0">
      <w:pPr>
        <w:pStyle w:val="12"/>
        <w:jc w:val="both"/>
        <w:rPr>
          <w:rFonts w:hint="eastAsia" w:ascii="方正小标宋_GBK" w:hAnsi="方正小标宋_GBK" w:eastAsia="方正小标宋_GBK" w:cs="方正小标宋_GBK"/>
          <w:sz w:val="24"/>
          <w:szCs w:val="24"/>
        </w:rPr>
      </w:pPr>
    </w:p>
    <w:p w14:paraId="3D83FDA1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FB6F211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A01B6B0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475C1000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0F1B32E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2A1FCA1B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65FD8D3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142B9B8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6672BB7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CDF689E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A32830A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A5A782C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 w14:paraId="2DDD6447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 w14:paraId="41992F86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 w14:paraId="571298D0">
      <w:pPr>
        <w:pStyle w:val="2"/>
      </w:pPr>
    </w:p>
    <w:p w14:paraId="5331F884">
      <w:pPr>
        <w:pStyle w:val="3"/>
      </w:pPr>
    </w:p>
    <w:p w14:paraId="2CCAD852"/>
    <w:p w14:paraId="440E89DF">
      <w:pPr>
        <w:pStyle w:val="2"/>
      </w:pPr>
    </w:p>
    <w:p w14:paraId="645B9B76">
      <w:pPr>
        <w:pStyle w:val="3"/>
      </w:pPr>
    </w:p>
    <w:p w14:paraId="539F25AC"/>
    <w:p w14:paraId="47AFAB8F">
      <w:pPr>
        <w:pStyle w:val="2"/>
      </w:pPr>
    </w:p>
    <w:p w14:paraId="479D6353">
      <w:pPr>
        <w:pStyle w:val="3"/>
      </w:pPr>
    </w:p>
    <w:p w14:paraId="648103ED"/>
    <w:p w14:paraId="08A5EA8F">
      <w:pPr>
        <w:pStyle w:val="2"/>
      </w:pPr>
    </w:p>
    <w:p w14:paraId="47BB4B82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54BC716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575346AC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2AE81CE8">
      <w:pPr>
        <w:pStyle w:val="1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3F57D2">
      <w:pPr>
        <w:pStyle w:val="1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47518A">
      <w:pPr>
        <w:pStyle w:val="3"/>
      </w:pPr>
    </w:p>
    <w:p w14:paraId="580CF8E4"/>
    <w:p w14:paraId="0C17744C">
      <w:pPr>
        <w:pStyle w:val="2"/>
      </w:pPr>
    </w:p>
    <w:p w14:paraId="7B8BABF4">
      <w:pPr>
        <w:pStyle w:val="3"/>
      </w:pPr>
    </w:p>
    <w:p w14:paraId="1942C0DC"/>
    <w:p w14:paraId="6E2D1EEF">
      <w:pPr>
        <w:pStyle w:val="2"/>
      </w:pPr>
    </w:p>
    <w:p w14:paraId="5F6ABC3B">
      <w:pPr>
        <w:pStyle w:val="3"/>
      </w:pPr>
    </w:p>
    <w:p w14:paraId="51BE6437"/>
    <w:p w14:paraId="05344CBA">
      <w:pPr>
        <w:pStyle w:val="2"/>
      </w:pPr>
    </w:p>
    <w:p w14:paraId="5C9170AD">
      <w:pPr>
        <w:pStyle w:val="3"/>
      </w:pPr>
    </w:p>
    <w:p w14:paraId="29D3A91E"/>
    <w:p w14:paraId="0D2A994E">
      <w:pPr>
        <w:pStyle w:val="2"/>
      </w:pPr>
    </w:p>
    <w:p w14:paraId="59CBCCA7">
      <w:pPr>
        <w:pStyle w:val="3"/>
      </w:pPr>
    </w:p>
    <w:p w14:paraId="67806EBD"/>
    <w:p w14:paraId="7C18BB03">
      <w:pPr>
        <w:pStyle w:val="2"/>
      </w:pPr>
    </w:p>
    <w:p w14:paraId="29230CAD">
      <w:pPr>
        <w:pStyle w:val="3"/>
      </w:pPr>
    </w:p>
    <w:p w14:paraId="724E0A54"/>
    <w:p w14:paraId="496F732E">
      <w:pPr>
        <w:pStyle w:val="2"/>
      </w:pPr>
    </w:p>
    <w:p w14:paraId="354ECFD8">
      <w:pPr>
        <w:pStyle w:val="3"/>
      </w:pPr>
    </w:p>
    <w:p w14:paraId="51C67B38"/>
    <w:p w14:paraId="4D131F3E"/>
    <w:p w14:paraId="7CFBCE3C">
      <w:pPr>
        <w:pStyle w:val="2"/>
      </w:pPr>
    </w:p>
    <w:p w14:paraId="5C3DE094">
      <w:pPr>
        <w:pStyle w:val="12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C6449CA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9493161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132B0F50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C1858E3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 w14:paraId="592BF6CA">
      <w:pPr>
        <w:pStyle w:val="12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490142D3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 w14:paraId="3243C04E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 w14:paraId="4EAC9354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年部门决算公开表格</w:t>
      </w:r>
    </w:p>
    <w:p w14:paraId="27E2EE8B"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 w14:paraId="045AD96C"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ECFD4"/>
    <w:multiLevelType w:val="singleLevel"/>
    <w:tmpl w:val="8EDECFD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BA3B6CE"/>
    <w:multiLevelType w:val="singleLevel"/>
    <w:tmpl w:val="9BA3B6CE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3C37D8"/>
    <w:multiLevelType w:val="singleLevel"/>
    <w:tmpl w:val="593C37D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4DE733B"/>
    <w:multiLevelType w:val="singleLevel"/>
    <w:tmpl w:val="74DE733B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2CB7C5F"/>
    <w:rsid w:val="044657B4"/>
    <w:rsid w:val="051F457C"/>
    <w:rsid w:val="053706BC"/>
    <w:rsid w:val="059958AD"/>
    <w:rsid w:val="06C857E7"/>
    <w:rsid w:val="08057A5A"/>
    <w:rsid w:val="08C24A73"/>
    <w:rsid w:val="0A0F696E"/>
    <w:rsid w:val="0BA27521"/>
    <w:rsid w:val="0C7D0E5F"/>
    <w:rsid w:val="0D8473B5"/>
    <w:rsid w:val="0D9312FE"/>
    <w:rsid w:val="0E277F52"/>
    <w:rsid w:val="0FFA2365"/>
    <w:rsid w:val="10E8035D"/>
    <w:rsid w:val="11944E2C"/>
    <w:rsid w:val="12583BA5"/>
    <w:rsid w:val="12A34203"/>
    <w:rsid w:val="13BA5B9C"/>
    <w:rsid w:val="15512EAD"/>
    <w:rsid w:val="16675F39"/>
    <w:rsid w:val="174A7FCE"/>
    <w:rsid w:val="17DD454F"/>
    <w:rsid w:val="19681D01"/>
    <w:rsid w:val="1A2B035E"/>
    <w:rsid w:val="1A530AF8"/>
    <w:rsid w:val="1C273FEB"/>
    <w:rsid w:val="1D97DEFF"/>
    <w:rsid w:val="1DFF72E5"/>
    <w:rsid w:val="1ECD45D7"/>
    <w:rsid w:val="1EFC6F07"/>
    <w:rsid w:val="1F0527A6"/>
    <w:rsid w:val="20030942"/>
    <w:rsid w:val="22AC03C2"/>
    <w:rsid w:val="27F03E2A"/>
    <w:rsid w:val="283B15FE"/>
    <w:rsid w:val="28472BB5"/>
    <w:rsid w:val="2934156A"/>
    <w:rsid w:val="2C474446"/>
    <w:rsid w:val="2F37233F"/>
    <w:rsid w:val="2FDF85B8"/>
    <w:rsid w:val="2FFFEE04"/>
    <w:rsid w:val="31C81FA8"/>
    <w:rsid w:val="31C95635"/>
    <w:rsid w:val="33520DCD"/>
    <w:rsid w:val="34DF85B0"/>
    <w:rsid w:val="37B40E53"/>
    <w:rsid w:val="37D558D4"/>
    <w:rsid w:val="37EA43F2"/>
    <w:rsid w:val="37F91943"/>
    <w:rsid w:val="3879116C"/>
    <w:rsid w:val="3B8F36BC"/>
    <w:rsid w:val="3D110F65"/>
    <w:rsid w:val="401A4D5C"/>
    <w:rsid w:val="43E57FAA"/>
    <w:rsid w:val="43EB5BA5"/>
    <w:rsid w:val="4504286C"/>
    <w:rsid w:val="45287D7E"/>
    <w:rsid w:val="491FF225"/>
    <w:rsid w:val="4A407EA2"/>
    <w:rsid w:val="4CD31983"/>
    <w:rsid w:val="4CF33F27"/>
    <w:rsid w:val="4EC310A1"/>
    <w:rsid w:val="4FFD214C"/>
    <w:rsid w:val="50E266F6"/>
    <w:rsid w:val="5352765A"/>
    <w:rsid w:val="54DF5597"/>
    <w:rsid w:val="55AE2AAB"/>
    <w:rsid w:val="55E06024"/>
    <w:rsid w:val="5777D4F5"/>
    <w:rsid w:val="57E85E12"/>
    <w:rsid w:val="57F22B6F"/>
    <w:rsid w:val="58E56B63"/>
    <w:rsid w:val="59DD8326"/>
    <w:rsid w:val="5B2829B8"/>
    <w:rsid w:val="5D3A4E8B"/>
    <w:rsid w:val="5DEF592A"/>
    <w:rsid w:val="5E644509"/>
    <w:rsid w:val="5FC6BB1E"/>
    <w:rsid w:val="5FF720F1"/>
    <w:rsid w:val="60F61D19"/>
    <w:rsid w:val="622964C1"/>
    <w:rsid w:val="62457A71"/>
    <w:rsid w:val="63696264"/>
    <w:rsid w:val="644C4B02"/>
    <w:rsid w:val="67FF5C0B"/>
    <w:rsid w:val="682F5FF9"/>
    <w:rsid w:val="69F21CB2"/>
    <w:rsid w:val="6BAA4A2F"/>
    <w:rsid w:val="6BE566A3"/>
    <w:rsid w:val="6DDEC5C0"/>
    <w:rsid w:val="6EFC0924"/>
    <w:rsid w:val="6F42529D"/>
    <w:rsid w:val="6FB74722"/>
    <w:rsid w:val="6FEF8B7E"/>
    <w:rsid w:val="708A3179"/>
    <w:rsid w:val="70CA3E8B"/>
    <w:rsid w:val="717FE77F"/>
    <w:rsid w:val="71A6591B"/>
    <w:rsid w:val="72610F10"/>
    <w:rsid w:val="737D59BA"/>
    <w:rsid w:val="737F32B1"/>
    <w:rsid w:val="73824E73"/>
    <w:rsid w:val="73BD3FCA"/>
    <w:rsid w:val="7420471D"/>
    <w:rsid w:val="757C5983"/>
    <w:rsid w:val="766C14B7"/>
    <w:rsid w:val="776BDA01"/>
    <w:rsid w:val="77C37683"/>
    <w:rsid w:val="79FF515B"/>
    <w:rsid w:val="7ABC61A7"/>
    <w:rsid w:val="7B8657AD"/>
    <w:rsid w:val="7DFBFF20"/>
    <w:rsid w:val="7E4159BB"/>
    <w:rsid w:val="7E5F5E41"/>
    <w:rsid w:val="7E9E1962"/>
    <w:rsid w:val="7E9F11B4"/>
    <w:rsid w:val="7EA67F14"/>
    <w:rsid w:val="7F37EC1E"/>
    <w:rsid w:val="7F7C0DDA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B6BE5A03"/>
    <w:rsid w:val="B8C93228"/>
    <w:rsid w:val="C3B4DA5A"/>
    <w:rsid w:val="C4FF458C"/>
    <w:rsid w:val="C7BBD038"/>
    <w:rsid w:val="CBFF70E0"/>
    <w:rsid w:val="CFF50B82"/>
    <w:rsid w:val="CFFFAD89"/>
    <w:rsid w:val="DFFE359E"/>
    <w:rsid w:val="DFFE4FFD"/>
    <w:rsid w:val="DFFF5403"/>
    <w:rsid w:val="EBC3E00A"/>
    <w:rsid w:val="EDFBE100"/>
    <w:rsid w:val="EEABED75"/>
    <w:rsid w:val="EF7E8003"/>
    <w:rsid w:val="F56FDF51"/>
    <w:rsid w:val="F5F3EE78"/>
    <w:rsid w:val="F6B69F17"/>
    <w:rsid w:val="F6E5BB3A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94102"/>
    <w:rsid w:val="FFFF1C8B"/>
    <w:rsid w:val="FF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5637</Words>
  <Characters>6186</Characters>
  <Lines>63</Lines>
  <Paragraphs>18</Paragraphs>
  <TotalTime>89</TotalTime>
  <ScaleCrop>false</ScaleCrop>
  <LinksUpToDate>false</LinksUpToDate>
  <CharactersWithSpaces>6214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2020-07-10T18:32:00Z</dcterms:created>
  <dc:creator>李航 null</dc:creator>
  <cp:lastModifiedBy>羊毛团子。</cp:lastModifiedBy>
  <cp:lastPrinted>2024-08-11T02:20:00Z</cp:lastPrinted>
  <dcterms:modified xsi:type="dcterms:W3CDTF">2025-09-19T08:28:18Z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98623D6660B449428EB8E073C6C952EA</vt:lpwstr>
  </property>
  <property fmtid="{D5CDD505-2E9C-101B-9397-08002B2CF9AE}" pid="4" name="KSOTemplateDocerSaveRecord">
    <vt:lpwstr>eyJoZGlkIjoiMjYyMjhlZDNjZTNjZmU1MGJiMDViNDA0NGVjOTVkMzUiLCJ1c2VySWQiOiIyOTcyODU5NDYifQ==</vt:lpwstr>
  </property>
</Properties>
</file>