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岳阳市第十五中学部门决算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1062A3B4">
      <w:pPr>
        <w:pStyle w:val="12"/>
        <w:jc w:val="center"/>
        <w:rPr>
          <w:sz w:val="32"/>
          <w:szCs w:val="32"/>
        </w:rPr>
      </w:pPr>
    </w:p>
    <w:p w14:paraId="6311DFC7">
      <w:pPr>
        <w:pStyle w:val="12"/>
        <w:jc w:val="center"/>
        <w:rPr>
          <w:sz w:val="32"/>
          <w:szCs w:val="32"/>
        </w:rPr>
      </w:pPr>
    </w:p>
    <w:p w14:paraId="50228290">
      <w:pPr>
        <w:pStyle w:val="12"/>
        <w:spacing w:line="540" w:lineRule="exact"/>
        <w:jc w:val="center"/>
        <w:rPr>
          <w:sz w:val="56"/>
          <w:szCs w:val="56"/>
        </w:rPr>
      </w:pPr>
    </w:p>
    <w:p w14:paraId="459C483D">
      <w:pPr>
        <w:pStyle w:val="12"/>
        <w:spacing w:line="500" w:lineRule="exact"/>
        <w:jc w:val="both"/>
        <w:rPr>
          <w:b/>
          <w:sz w:val="36"/>
          <w:szCs w:val="28"/>
        </w:rPr>
      </w:pPr>
    </w:p>
    <w:p w14:paraId="24F3309B">
      <w:pPr>
        <w:pStyle w:val="12"/>
        <w:spacing w:line="500" w:lineRule="exact"/>
        <w:jc w:val="center"/>
        <w:rPr>
          <w:b/>
          <w:sz w:val="36"/>
          <w:szCs w:val="28"/>
        </w:rPr>
      </w:pPr>
      <w:r>
        <w:rPr>
          <w:rFonts w:hint="eastAsia"/>
          <w:b/>
          <w:sz w:val="36"/>
          <w:szCs w:val="28"/>
        </w:rPr>
        <w:t>目录</w:t>
      </w:r>
    </w:p>
    <w:p w14:paraId="6CBD0C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bCs/>
          <w:sz w:val="28"/>
          <w:szCs w:val="28"/>
        </w:rPr>
        <w:t>岳阳市第十五中学</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岳阳市第十五中学概况</w:t>
      </w:r>
    </w:p>
    <w:p w14:paraId="77A0C778">
      <w:pPr>
        <w:pStyle w:val="7"/>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7"/>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31FE5F1">
      <w:pPr>
        <w:ind w:firstLine="700" w:firstLineChars="250"/>
        <w:jc w:val="left"/>
        <w:rPr>
          <w:rFonts w:ascii="宋体" w:cs="仿宋_GB2312"/>
          <w:sz w:val="28"/>
          <w:szCs w:val="28"/>
        </w:rPr>
      </w:pPr>
      <w:r>
        <w:rPr>
          <w:rFonts w:hint="eastAsia" w:ascii="宋体" w:hAnsi="宋体" w:cs="仿宋_GB2312"/>
          <w:sz w:val="28"/>
          <w:szCs w:val="28"/>
        </w:rPr>
        <w:t>（一）办公室负责行政协调、党务、宣传、人事、计生、工资福利及有关内部事务的管理；</w:t>
      </w:r>
    </w:p>
    <w:p w14:paraId="7FDE1B56">
      <w:pPr>
        <w:ind w:firstLine="700" w:firstLineChars="250"/>
        <w:jc w:val="left"/>
        <w:rPr>
          <w:rFonts w:ascii="宋体" w:cs="仿宋_GB2312"/>
          <w:sz w:val="28"/>
          <w:szCs w:val="28"/>
        </w:rPr>
      </w:pPr>
      <w:r>
        <w:rPr>
          <w:rFonts w:hint="eastAsia" w:ascii="宋体" w:hAnsi="宋体" w:cs="仿宋_GB2312"/>
          <w:sz w:val="28"/>
          <w:szCs w:val="28"/>
        </w:rPr>
        <w:t>（二）教务处负责学校教育教学常规管理，以及有关教育教学的场、馆、室和设备的管理；</w:t>
      </w:r>
    </w:p>
    <w:p w14:paraId="05E44170">
      <w:pPr>
        <w:ind w:firstLine="700" w:firstLineChars="250"/>
        <w:jc w:val="left"/>
        <w:rPr>
          <w:rFonts w:ascii="宋体" w:cs="仿宋_GB2312"/>
          <w:sz w:val="28"/>
          <w:szCs w:val="28"/>
        </w:rPr>
      </w:pPr>
      <w:r>
        <w:rPr>
          <w:rFonts w:hint="eastAsia" w:ascii="宋体" w:hAnsi="宋体" w:cs="仿宋_GB2312"/>
          <w:sz w:val="28"/>
          <w:szCs w:val="28"/>
        </w:rPr>
        <w:t>（三）德育处负责学校德育工作、班主任工作管理和学生思想政治教育，抓好校园保卫和环保工作；</w:t>
      </w:r>
    </w:p>
    <w:p w14:paraId="56B0F728">
      <w:pPr>
        <w:ind w:firstLine="700" w:firstLineChars="250"/>
        <w:jc w:val="left"/>
        <w:rPr>
          <w:rFonts w:ascii="宋体" w:cs="仿宋_GB2312"/>
          <w:sz w:val="28"/>
          <w:szCs w:val="28"/>
        </w:rPr>
      </w:pPr>
      <w:r>
        <w:rPr>
          <w:rFonts w:hint="eastAsia" w:ascii="宋体" w:hAnsi="宋体" w:cs="仿宋_GB2312"/>
          <w:sz w:val="28"/>
          <w:szCs w:val="28"/>
        </w:rPr>
        <w:t>（四）教研处负责制定学校科研计划，指导教师开展教学科研和课题研究工作；</w:t>
      </w:r>
    </w:p>
    <w:p w14:paraId="6AC5748E">
      <w:pPr>
        <w:ind w:firstLine="700" w:firstLineChars="250"/>
        <w:jc w:val="left"/>
        <w:rPr>
          <w:rFonts w:hint="eastAsia" w:ascii="Times New Roman" w:hAnsi="Times New Roman" w:eastAsia="仿宋_GB2312" w:cs="仿宋_GB2312"/>
          <w:sz w:val="32"/>
          <w:szCs w:val="32"/>
        </w:rPr>
      </w:pPr>
      <w:r>
        <w:rPr>
          <w:rFonts w:hint="eastAsia" w:ascii="宋体" w:hAnsi="宋体" w:cs="仿宋_GB2312"/>
          <w:sz w:val="28"/>
          <w:szCs w:val="28"/>
        </w:rPr>
        <w:t>（五）后勤处负责学校后勤事务、财务、物业管理，优化校园建设，指导后勤服务中心开展工作，发展校园经济。</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C460956">
      <w:pPr>
        <w:widowControl/>
        <w:spacing w:line="600" w:lineRule="exact"/>
        <w:rPr>
          <w:rFonts w:hint="eastAsia" w:ascii="宋体" w:hAnsi="宋体"/>
          <w:sz w:val="28"/>
          <w:szCs w:val="28"/>
          <w:shd w:val="clear" w:color="auto" w:fill="FFFFFF"/>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岳阳市第十五中学</w:t>
      </w:r>
      <w:r>
        <w:rPr>
          <w:rFonts w:hint="eastAsia" w:ascii="Times New Roman" w:hAnsi="Times New Roman" w:eastAsia="仿宋_GB2312" w:cs="仿宋_GB2312"/>
          <w:bCs/>
          <w:kern w:val="0"/>
          <w:sz w:val="32"/>
          <w:szCs w:val="32"/>
        </w:rPr>
        <w:t>单位内设机构包括：</w:t>
      </w:r>
      <w:r>
        <w:rPr>
          <w:rFonts w:hint="eastAsia" w:ascii="宋体" w:hAnsi="宋体" w:cs="仿宋_GB2312"/>
          <w:bCs/>
          <w:kern w:val="0"/>
          <w:sz w:val="28"/>
          <w:szCs w:val="28"/>
        </w:rPr>
        <w:t>我校现有组织机构</w:t>
      </w:r>
      <w:r>
        <w:rPr>
          <w:rFonts w:ascii="宋体" w:hAnsi="宋体" w:cs="仿宋_GB2312"/>
          <w:bCs/>
          <w:kern w:val="0"/>
          <w:sz w:val="28"/>
          <w:szCs w:val="28"/>
        </w:rPr>
        <w:t>1</w:t>
      </w:r>
      <w:r>
        <w:rPr>
          <w:rFonts w:hint="eastAsia" w:ascii="宋体" w:hAnsi="宋体" w:cs="仿宋_GB2312"/>
          <w:bCs/>
          <w:kern w:val="0"/>
          <w:sz w:val="28"/>
          <w:szCs w:val="28"/>
        </w:rPr>
        <w:t>个</w:t>
      </w:r>
      <w:r>
        <w:rPr>
          <w:rFonts w:hint="eastAsia" w:ascii="宋体" w:hAnsi="宋体" w:cs="仿宋_GB2312"/>
          <w:bCs/>
          <w:kern w:val="0"/>
          <w:sz w:val="28"/>
          <w:szCs w:val="28"/>
          <w:lang w:eastAsia="zh-CN"/>
        </w:rPr>
        <w:t>。含</w:t>
      </w:r>
      <w:r>
        <w:rPr>
          <w:rFonts w:hint="eastAsia" w:ascii="宋体" w:hAnsi="宋体"/>
          <w:sz w:val="28"/>
          <w:szCs w:val="28"/>
          <w:shd w:val="clear" w:color="auto" w:fill="FFFFFF"/>
        </w:rPr>
        <w:t>党政办、教务处、政教处、教师发展中心、工会、信息中心、心理咨询中心、督导室、团委、财务中心、后勤处。</w:t>
      </w:r>
    </w:p>
    <w:p w14:paraId="3D9EF3E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084AD488">
      <w:pPr>
        <w:widowControl/>
        <w:spacing w:line="600" w:lineRule="exact"/>
        <w:ind w:firstLine="560" w:firstLineChars="200"/>
        <w:rPr>
          <w:rFonts w:ascii="宋体"/>
          <w:kern w:val="0"/>
          <w:sz w:val="28"/>
          <w:szCs w:val="28"/>
        </w:rPr>
      </w:pPr>
      <w:r>
        <w:rPr>
          <w:rFonts w:hint="eastAsia" w:ascii="宋体" w:hAnsi="宋体"/>
          <w:kern w:val="0"/>
          <w:sz w:val="28"/>
          <w:szCs w:val="28"/>
        </w:rPr>
        <w:t>本单位无独立核算的下属单位，</w:t>
      </w:r>
      <w:r>
        <w:rPr>
          <w:rFonts w:ascii="宋体" w:hAnsi="宋体"/>
          <w:kern w:val="0"/>
          <w:sz w:val="28"/>
          <w:szCs w:val="28"/>
        </w:rPr>
        <w:t>202</w:t>
      </w:r>
      <w:r>
        <w:rPr>
          <w:rFonts w:hint="eastAsia" w:ascii="宋体" w:hAnsi="宋体"/>
          <w:kern w:val="0"/>
          <w:sz w:val="28"/>
          <w:szCs w:val="28"/>
          <w:lang w:val="en-US" w:eastAsia="zh-CN"/>
        </w:rPr>
        <w:t>4</w:t>
      </w:r>
      <w:r>
        <w:rPr>
          <w:rFonts w:hint="eastAsia" w:ascii="宋体" w:hAnsi="宋体"/>
          <w:kern w:val="0"/>
          <w:sz w:val="28"/>
          <w:szCs w:val="28"/>
        </w:rPr>
        <w:t>年度部门决算汇总公开单位仅包括岳阳市第十五中学单位本级结算。</w:t>
      </w:r>
    </w:p>
    <w:p w14:paraId="38152785"/>
    <w:p w14:paraId="3CE56614">
      <w:pPr>
        <w:pStyle w:val="7"/>
      </w:pPr>
    </w:p>
    <w:p w14:paraId="70B4D569">
      <w:pPr>
        <w:pStyle w:val="3"/>
      </w:pPr>
    </w:p>
    <w:p w14:paraId="5B1D6CBC"/>
    <w:p w14:paraId="7D6C31E4">
      <w:pPr>
        <w:pStyle w:val="7"/>
      </w:pPr>
    </w:p>
    <w:p w14:paraId="056E4ECA">
      <w:pPr>
        <w:pStyle w:val="3"/>
      </w:pPr>
    </w:p>
    <w:p w14:paraId="3288C9C5"/>
    <w:p w14:paraId="14507043">
      <w:pPr>
        <w:pStyle w:val="7"/>
      </w:pPr>
    </w:p>
    <w:p w14:paraId="465EA8BD">
      <w:pPr>
        <w:pStyle w:val="3"/>
      </w:pPr>
    </w:p>
    <w:p w14:paraId="49E51758"/>
    <w:p w14:paraId="3DC8C6CD">
      <w:pPr>
        <w:pStyle w:val="7"/>
      </w:pPr>
    </w:p>
    <w:p w14:paraId="36E702E5">
      <w:pPr>
        <w:pStyle w:val="3"/>
      </w:pPr>
    </w:p>
    <w:p w14:paraId="0416550A"/>
    <w:p w14:paraId="28B49BCE">
      <w:pPr>
        <w:pStyle w:val="7"/>
      </w:pPr>
    </w:p>
    <w:p w14:paraId="43291855">
      <w:pPr>
        <w:pStyle w:val="3"/>
      </w:pPr>
    </w:p>
    <w:p w14:paraId="7CD92489"/>
    <w:p w14:paraId="5267F12B">
      <w:pPr>
        <w:pStyle w:val="7"/>
      </w:pPr>
    </w:p>
    <w:p w14:paraId="28828498">
      <w:pPr>
        <w:pStyle w:val="3"/>
      </w:pPr>
    </w:p>
    <w:p w14:paraId="04E62672"/>
    <w:p w14:paraId="1D6D7A8B">
      <w:pPr>
        <w:pStyle w:val="7"/>
      </w:pPr>
    </w:p>
    <w:p w14:paraId="2E47952B">
      <w:pPr>
        <w:pStyle w:val="3"/>
      </w:pPr>
    </w:p>
    <w:p w14:paraId="18A19BE5"/>
    <w:p w14:paraId="7CCBF86D">
      <w:pPr>
        <w:pStyle w:val="7"/>
      </w:pPr>
    </w:p>
    <w:p w14:paraId="0017F5EC">
      <w:pPr>
        <w:pStyle w:val="3"/>
      </w:pPr>
    </w:p>
    <w:p w14:paraId="76181D4E"/>
    <w:p w14:paraId="1A174866">
      <w:pPr>
        <w:pStyle w:val="12"/>
        <w:jc w:val="center"/>
        <w:rPr>
          <w:rFonts w:hint="eastAsia" w:ascii="方正小标宋_GBK" w:hAnsi="方正小标宋_GBK" w:eastAsia="方正小标宋_GBK" w:cs="方正小标宋_GBK"/>
          <w:sz w:val="84"/>
          <w:szCs w:val="84"/>
        </w:rPr>
      </w:pPr>
    </w:p>
    <w:p w14:paraId="2B49F2B7">
      <w:pPr>
        <w:pStyle w:val="12"/>
        <w:jc w:val="center"/>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2"/>
        <w:jc w:val="center"/>
        <w:rPr>
          <w:rFonts w:hint="eastAsia" w:ascii="仿宋_GB2312" w:hAnsi="仿宋_GB2312" w:eastAsia="仿宋_GB2312" w:cs="仿宋_GB2312"/>
          <w:b w:val="0"/>
          <w:bCs w:val="0"/>
          <w:sz w:val="72"/>
          <w:szCs w:val="72"/>
          <w:lang w:eastAsia="zh-CN"/>
        </w:rPr>
      </w:pPr>
    </w:p>
    <w:p w14:paraId="0568D1B8">
      <w:pPr>
        <w:pStyle w:val="12"/>
        <w:jc w:val="center"/>
        <w:rPr>
          <w:rFonts w:hint="eastAsia" w:ascii="仿宋_GB2312" w:hAnsi="仿宋_GB2312" w:eastAsia="仿宋_GB2312" w:cs="仿宋_GB2312"/>
          <w:b w:val="0"/>
          <w:bCs w:val="0"/>
          <w:sz w:val="72"/>
          <w:szCs w:val="72"/>
          <w:lang w:eastAsia="zh-CN"/>
        </w:rPr>
      </w:pPr>
    </w:p>
    <w:p w14:paraId="5C65B646">
      <w:pPr>
        <w:pStyle w:val="12"/>
        <w:jc w:val="center"/>
        <w:rPr>
          <w:rFonts w:hint="eastAsia" w:ascii="仿宋_GB2312" w:hAnsi="仿宋_GB2312" w:eastAsia="仿宋_GB2312" w:cs="仿宋_GB2312"/>
          <w:b w:val="0"/>
          <w:bCs w:val="0"/>
          <w:sz w:val="72"/>
          <w:szCs w:val="72"/>
          <w:lang w:eastAsia="zh-CN"/>
        </w:rPr>
      </w:pPr>
    </w:p>
    <w:p w14:paraId="62EA5E89">
      <w:pPr>
        <w:pStyle w:val="12"/>
        <w:jc w:val="center"/>
        <w:rPr>
          <w:rFonts w:hint="eastAsia" w:ascii="仿宋_GB2312" w:hAnsi="仿宋_GB2312" w:eastAsia="仿宋_GB2312" w:cs="仿宋_GB2312"/>
          <w:b w:val="0"/>
          <w:bCs w:val="0"/>
          <w:sz w:val="72"/>
          <w:szCs w:val="72"/>
          <w:lang w:eastAsia="zh-CN"/>
        </w:rPr>
      </w:pPr>
    </w:p>
    <w:p w14:paraId="63BFFD84">
      <w:pPr>
        <w:pStyle w:val="12"/>
        <w:jc w:val="center"/>
        <w:rPr>
          <w:rFonts w:hint="eastAsia" w:ascii="仿宋_GB2312" w:hAnsi="仿宋_GB2312" w:eastAsia="仿宋_GB2312" w:cs="仿宋_GB2312"/>
          <w:b w:val="0"/>
          <w:bCs w:val="0"/>
          <w:sz w:val="72"/>
          <w:szCs w:val="72"/>
          <w:lang w:eastAsia="zh-CN"/>
        </w:rPr>
      </w:pPr>
    </w:p>
    <w:p w14:paraId="4565BABE">
      <w:pPr>
        <w:pStyle w:val="12"/>
        <w:jc w:val="center"/>
        <w:rPr>
          <w:rFonts w:hint="eastAsia" w:ascii="仿宋_GB2312" w:hAnsi="仿宋_GB2312" w:eastAsia="仿宋_GB2312" w:cs="仿宋_GB2312"/>
          <w:b w:val="0"/>
          <w:bCs w:val="0"/>
          <w:sz w:val="72"/>
          <w:szCs w:val="72"/>
          <w:lang w:eastAsia="zh-CN"/>
        </w:rPr>
      </w:pPr>
    </w:p>
    <w:p w14:paraId="6EEAB3EF">
      <w:pPr>
        <w:pStyle w:val="12"/>
        <w:jc w:val="center"/>
        <w:rPr>
          <w:rFonts w:hint="eastAsia" w:ascii="仿宋_GB2312" w:hAnsi="仿宋_GB2312" w:eastAsia="仿宋_GB2312" w:cs="仿宋_GB2312"/>
          <w:b w:val="0"/>
          <w:bCs w:val="0"/>
          <w:sz w:val="72"/>
          <w:szCs w:val="72"/>
          <w:lang w:eastAsia="zh-CN"/>
        </w:rPr>
      </w:pPr>
    </w:p>
    <w:p w14:paraId="603C04A7">
      <w:pPr>
        <w:pStyle w:val="12"/>
        <w:jc w:val="center"/>
        <w:rPr>
          <w:rFonts w:hint="eastAsia" w:ascii="方正小标宋_GBK" w:hAnsi="方正小标宋_GBK" w:eastAsia="方正小标宋_GBK" w:cs="方正小标宋_GBK"/>
          <w:sz w:val="72"/>
          <w:szCs w:val="72"/>
        </w:rPr>
      </w:pPr>
    </w:p>
    <w:p w14:paraId="7A44A82E">
      <w:pPr>
        <w:pStyle w:val="12"/>
        <w:jc w:val="center"/>
        <w:rPr>
          <w:rFonts w:hint="eastAsia" w:ascii="方正小标宋_GBK" w:hAnsi="方正小标宋_GBK" w:eastAsia="方正小标宋_GBK" w:cs="方正小标宋_GBK"/>
          <w:sz w:val="72"/>
          <w:szCs w:val="72"/>
        </w:rPr>
      </w:pPr>
    </w:p>
    <w:p w14:paraId="06211665">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4F77A5A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2"/>
        <w:jc w:val="center"/>
        <w:rPr>
          <w:rFonts w:hint="eastAsia" w:ascii="方正小标宋_GBK" w:hAnsi="方正小标宋_GBK" w:eastAsia="方正小标宋_GBK" w:cs="方正小标宋_GBK"/>
          <w:sz w:val="70"/>
          <w:szCs w:val="70"/>
        </w:rPr>
      </w:pPr>
    </w:p>
    <w:p w14:paraId="6EEC30AB">
      <w:pPr>
        <w:pStyle w:val="12"/>
        <w:jc w:val="center"/>
        <w:rPr>
          <w:rFonts w:hint="eastAsia" w:ascii="方正小标宋_GBK" w:hAnsi="方正小标宋_GBK" w:eastAsia="方正小标宋_GBK" w:cs="方正小标宋_GBK"/>
          <w:sz w:val="70"/>
          <w:szCs w:val="70"/>
        </w:rPr>
      </w:pPr>
    </w:p>
    <w:p w14:paraId="417367C1">
      <w:pPr>
        <w:pStyle w:val="12"/>
        <w:jc w:val="center"/>
        <w:rPr>
          <w:rFonts w:hint="eastAsia" w:ascii="方正小标宋_GBK" w:hAnsi="方正小标宋_GBK" w:eastAsia="方正小标宋_GBK" w:cs="方正小标宋_GBK"/>
          <w:sz w:val="70"/>
          <w:szCs w:val="70"/>
        </w:rPr>
      </w:pPr>
    </w:p>
    <w:p w14:paraId="5EF1049C">
      <w:pPr>
        <w:pStyle w:val="12"/>
        <w:jc w:val="center"/>
        <w:rPr>
          <w:rFonts w:hint="eastAsia" w:ascii="方正小标宋_GBK" w:hAnsi="方正小标宋_GBK" w:eastAsia="方正小标宋_GBK" w:cs="方正小标宋_GBK"/>
          <w:sz w:val="70"/>
          <w:szCs w:val="70"/>
        </w:rPr>
      </w:pPr>
    </w:p>
    <w:p w14:paraId="7E4B3CF9">
      <w:pPr>
        <w:pStyle w:val="12"/>
        <w:jc w:val="center"/>
        <w:rPr>
          <w:rFonts w:hint="eastAsia" w:ascii="方正小标宋_GBK" w:hAnsi="方正小标宋_GBK" w:eastAsia="方正小标宋_GBK" w:cs="方正小标宋_GBK"/>
          <w:sz w:val="70"/>
          <w:szCs w:val="70"/>
        </w:rPr>
      </w:pPr>
    </w:p>
    <w:p w14:paraId="514C0722">
      <w:pPr>
        <w:pStyle w:val="12"/>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6863.52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916.78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2024年度学校新增了校园西边围墙及体育馆、食堂外墙安全隐患整改项目、双电源项目、“我的韶山行”红色研学项目、高考考点建设项目、食堂改造项目以及三大球的相关项目资金。</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6863.52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4883.06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71.15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558.24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8.13</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1422.22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20.72</w:t>
      </w:r>
      <w:r>
        <w:rPr>
          <w:rFonts w:hint="eastAsia" w:ascii="仿宋_GB2312" w:hAnsi="仿宋_GB2312" w:eastAsia="仿宋_GB2312" w:cs="仿宋_GB2312"/>
          <w:sz w:val="32"/>
          <w:szCs w:val="32"/>
        </w:rPr>
        <w:t>%。</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6863.53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5366.9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78.19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1496.63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21.81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4883.06</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428.75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2024年度学校新增了校园西边围墙及体育馆、食堂外墙安全隐患整改项目、双电源项目、“我的韶山行”红色研学项目、高考考点建设项目、食堂改造项目以及三大球的相关项目资金。</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4863.06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99.59</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408.75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2024年度学校新增了校园西边围墙及体育馆、食堂外墙安全隐患整改项目、双电源项目、“我的韶山行”红色研学项目、高考考点建设项目、食堂改造项目以及三大球的相关项目资金。</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4863.06</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3939.5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81.01</w:t>
      </w:r>
      <w:r>
        <w:rPr>
          <w:rFonts w:hint="eastAsia" w:ascii="仿宋_GB2312" w:hAnsi="仿宋_GB2312" w:eastAsia="仿宋_GB2312" w:cs="仿宋_GB2312"/>
          <w:sz w:val="32"/>
          <w:szCs w:val="32"/>
        </w:rPr>
        <w:t>%;科学技术支出</w:t>
      </w:r>
      <w:r>
        <w:rPr>
          <w:rFonts w:hint="eastAsia" w:ascii="仿宋_GB2312" w:hAnsi="仿宋_GB2312" w:eastAsia="仿宋_GB2312" w:cs="仿宋_GB2312"/>
          <w:sz w:val="32"/>
          <w:szCs w:val="32"/>
          <w:lang w:val="en-US" w:eastAsia="zh-CN"/>
        </w:rPr>
        <w:t>6万元，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523.56万元，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10.77</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142.06万元，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lang w:val="en-US" w:eastAsia="zh-CN"/>
        </w:rPr>
        <w:t>251.95万元，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3758.69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4863.06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129.38</w:t>
      </w:r>
      <w:r>
        <w:rPr>
          <w:rFonts w:hint="eastAsia" w:ascii="仿宋_GB2312" w:hAnsi="仿宋_GB2312" w:eastAsia="仿宋_GB2312" w:cs="仿宋_GB2312"/>
          <w:sz w:val="32"/>
          <w:szCs w:val="32"/>
        </w:rPr>
        <w:t>%，其中：</w:t>
      </w:r>
    </w:p>
    <w:p w14:paraId="237A4D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1、一般公共服务</w:t>
      </w:r>
      <w:r>
        <w:rPr>
          <w:rFonts w:hint="eastAsia" w:ascii="仿宋_GB2312" w:hAnsi="仿宋_GB2312" w:eastAsia="仿宋_GB2312" w:cs="仿宋_GB2312"/>
          <w:color w:val="auto"/>
          <w:sz w:val="32"/>
          <w:szCs w:val="32"/>
          <w:highlight w:val="none"/>
          <w:lang w:eastAsia="zh-CN"/>
        </w:rPr>
        <w:t>教育支出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教育管理事务</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一般行政管理事务</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sz w:val="32"/>
          <w:szCs w:val="32"/>
        </w:rPr>
        <w:t>）。</w:t>
      </w:r>
    </w:p>
    <w:p w14:paraId="752360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205.7</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rPr>
        <w:t>财政下拨综合绩效平安建设奖</w:t>
      </w:r>
      <w:r>
        <w:rPr>
          <w:rFonts w:hint="eastAsia" w:ascii="Times New Roman" w:hAnsi="Times New Roman" w:eastAsia="仿宋_GB2312"/>
          <w:sz w:val="32"/>
          <w:szCs w:val="32"/>
          <w:lang w:eastAsia="zh-CN"/>
        </w:rPr>
        <w:t>。</w:t>
      </w:r>
    </w:p>
    <w:p w14:paraId="3443D2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w:t>
      </w:r>
      <w:r>
        <w:rPr>
          <w:rFonts w:hint="eastAsia" w:ascii="仿宋_GB2312" w:hAnsi="仿宋_GB2312" w:eastAsia="仿宋_GB2312" w:cs="仿宋_GB2312"/>
          <w:sz w:val="32"/>
          <w:szCs w:val="32"/>
          <w:lang w:eastAsia="zh-CN"/>
        </w:rPr>
        <w:t>教育支出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普通教育</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高中教育</w:t>
      </w:r>
      <w:r>
        <w:rPr>
          <w:rFonts w:hint="eastAsia" w:ascii="仿宋_GB2312" w:hAnsi="仿宋_GB2312" w:eastAsia="仿宋_GB2312" w:cs="仿宋_GB2312"/>
          <w:sz w:val="32"/>
          <w:szCs w:val="32"/>
        </w:rPr>
        <w:t>（项）。</w:t>
      </w:r>
    </w:p>
    <w:p w14:paraId="6D40D85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2802.24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2829.97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100.99</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双电源项目前期费用。</w:t>
      </w:r>
    </w:p>
    <w:p w14:paraId="3BAFA8F0">
      <w:pPr>
        <w:pStyle w:val="12"/>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、一般公共服务</w:t>
      </w:r>
      <w:r>
        <w:rPr>
          <w:rFonts w:hint="eastAsia" w:ascii="仿宋_GB2312" w:hAnsi="仿宋_GB2312" w:eastAsia="仿宋_GB2312" w:cs="仿宋_GB2312"/>
          <w:sz w:val="32"/>
          <w:szCs w:val="32"/>
          <w:lang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普通教育</w:t>
      </w:r>
      <w:r>
        <w:rPr>
          <w:rFonts w:hint="eastAsia" w:ascii="Times New Roman" w:hAnsi="Times New Roman" w:eastAsia="仿宋_GB2312"/>
          <w:sz w:val="32"/>
          <w:szCs w:val="32"/>
        </w:rPr>
        <w:t>（款）其他普通教育</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119163F4">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28.39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财政下发的预留增资绩效奖人员补差。</w:t>
      </w:r>
    </w:p>
    <w:p w14:paraId="46F4F91E">
      <w:pPr>
        <w:pStyle w:val="12"/>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、一般公共服务</w:t>
      </w:r>
      <w:r>
        <w:rPr>
          <w:rFonts w:hint="eastAsia" w:ascii="仿宋_GB2312" w:hAnsi="仿宋_GB2312" w:eastAsia="仿宋_GB2312" w:cs="仿宋_GB2312"/>
          <w:sz w:val="32"/>
          <w:szCs w:val="32"/>
          <w:lang w:eastAsia="zh-CN"/>
        </w:rPr>
        <w:t>教育支出</w:t>
      </w:r>
      <w:r>
        <w:rPr>
          <w:rFonts w:hint="eastAsia" w:ascii="Times New Roman" w:hAnsi="Times New Roman" w:eastAsia="仿宋_GB2312"/>
          <w:sz w:val="32"/>
          <w:szCs w:val="32"/>
        </w:rPr>
        <w:t>（类）教育费附件安排的支出（款）其他教育费附加安排的支出（项）。</w:t>
      </w:r>
    </w:p>
    <w:p w14:paraId="37A52C6E">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875.44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1478.78</w:t>
      </w:r>
      <w:r>
        <w:rPr>
          <w:rFonts w:ascii="Times New Roman" w:hAnsi="Times New Roman" w:eastAsia="仿宋_GB2312"/>
          <w:sz w:val="32"/>
          <w:szCs w:val="32"/>
        </w:rPr>
        <w:t>%</w:t>
      </w:r>
      <w:r>
        <w:rPr>
          <w:rFonts w:hint="eastAsia" w:ascii="Times New Roman" w:hAnsi="Times New Roman" w:eastAsia="仿宋_GB2312"/>
          <w:sz w:val="32"/>
          <w:szCs w:val="32"/>
        </w:rPr>
        <w:t>，决算数大于年初预算数的主要原因是年中增加了基础教育发展专项资金、生均经费等。</w:t>
      </w:r>
    </w:p>
    <w:p w14:paraId="40B03AB5">
      <w:pPr>
        <w:pStyle w:val="12"/>
        <w:numPr>
          <w:ilvl w:val="0"/>
          <w:numId w:val="2"/>
        </w:numPr>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其他科学技术支出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其他科学技术支出</w:t>
      </w:r>
      <w:r>
        <w:rPr>
          <w:rFonts w:hint="eastAsia" w:ascii="Times New Roman" w:hAnsi="Times New Roman" w:eastAsia="仿宋_GB2312"/>
          <w:sz w:val="32"/>
          <w:szCs w:val="32"/>
        </w:rPr>
        <w:t>（项）。</w:t>
      </w:r>
    </w:p>
    <w:p w14:paraId="21FD14CE">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万元，决算数大于年初预算数的主要原因是年中增加了</w:t>
      </w:r>
      <w:r>
        <w:rPr>
          <w:rFonts w:hint="eastAsia" w:ascii="Times New Roman" w:hAnsi="Times New Roman" w:eastAsia="仿宋_GB2312"/>
          <w:sz w:val="32"/>
          <w:szCs w:val="32"/>
          <w:lang w:eastAsia="zh-CN"/>
        </w:rPr>
        <w:t>课题研究经费</w:t>
      </w:r>
      <w:r>
        <w:rPr>
          <w:rFonts w:hint="eastAsia" w:ascii="Times New Roman" w:hAnsi="Times New Roman" w:eastAsia="仿宋_GB2312"/>
          <w:sz w:val="32"/>
          <w:szCs w:val="32"/>
        </w:rPr>
        <w:t>。</w:t>
      </w:r>
    </w:p>
    <w:p w14:paraId="42D42C02">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、一般公共服务社会保障和就业支出（类）行政事业单位养老支出（款）</w:t>
      </w:r>
      <w:r>
        <w:rPr>
          <w:rFonts w:hint="eastAsia" w:ascii="Times New Roman" w:hAnsi="Times New Roman" w:eastAsia="仿宋_GB2312"/>
          <w:sz w:val="32"/>
          <w:szCs w:val="32"/>
          <w:lang w:eastAsia="zh-CN"/>
        </w:rPr>
        <w:t>事业单位离退休</w:t>
      </w:r>
      <w:r>
        <w:rPr>
          <w:rFonts w:hint="eastAsia" w:ascii="Times New Roman" w:hAnsi="Times New Roman" w:eastAsia="仿宋_GB2312"/>
          <w:sz w:val="32"/>
          <w:szCs w:val="32"/>
        </w:rPr>
        <w:t>（项）。</w:t>
      </w:r>
    </w:p>
    <w:p w14:paraId="487994A9">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80.31</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大于年</w:t>
      </w:r>
      <w:r>
        <w:rPr>
          <w:rFonts w:hint="eastAsia" w:ascii="Times New Roman" w:hAnsi="Times New Roman" w:eastAsia="仿宋_GB2312"/>
          <w:sz w:val="32"/>
          <w:szCs w:val="32"/>
        </w:rPr>
        <w:t>初预算数，主要原因为</w:t>
      </w:r>
      <w:r>
        <w:rPr>
          <w:rFonts w:hint="eastAsia" w:ascii="Times New Roman" w:hAnsi="Times New Roman" w:eastAsia="仿宋_GB2312"/>
          <w:sz w:val="32"/>
          <w:szCs w:val="32"/>
          <w:lang w:eastAsia="zh-CN"/>
        </w:rPr>
        <w:t>财政下拨退休</w:t>
      </w:r>
      <w:r>
        <w:rPr>
          <w:rFonts w:hint="eastAsia" w:ascii="Times New Roman" w:hAnsi="Times New Roman" w:eastAsia="仿宋_GB2312"/>
          <w:sz w:val="32"/>
          <w:szCs w:val="32"/>
        </w:rPr>
        <w:t>教师的</w:t>
      </w:r>
      <w:r>
        <w:rPr>
          <w:rFonts w:hint="eastAsia" w:ascii="Times New Roman" w:hAnsi="Times New Roman" w:eastAsia="仿宋_GB2312"/>
          <w:sz w:val="32"/>
          <w:szCs w:val="32"/>
          <w:lang w:eastAsia="zh-CN"/>
        </w:rPr>
        <w:t>经费</w:t>
      </w:r>
      <w:r>
        <w:rPr>
          <w:rFonts w:hint="eastAsia" w:ascii="Times New Roman" w:hAnsi="Times New Roman" w:eastAsia="仿宋_GB2312"/>
          <w:sz w:val="32"/>
          <w:szCs w:val="32"/>
        </w:rPr>
        <w:t>。</w:t>
      </w:r>
    </w:p>
    <w:p w14:paraId="28655FF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、一般公共服务社会保障和就业支出（类）行政事业单位养老支出（款）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14:paraId="5F6E7387">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355.77</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355.77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等于年</w:t>
      </w:r>
      <w:r>
        <w:rPr>
          <w:rFonts w:hint="eastAsia" w:ascii="Times New Roman" w:hAnsi="Times New Roman" w:eastAsia="仿宋_GB2312"/>
          <w:sz w:val="32"/>
          <w:szCs w:val="32"/>
        </w:rPr>
        <w:t>初预算数，主要原因</w:t>
      </w:r>
      <w:r>
        <w:rPr>
          <w:rFonts w:hint="eastAsia" w:ascii="Times New Roman" w:hAnsi="Times New Roman" w:eastAsia="仿宋_GB2312"/>
          <w:sz w:val="32"/>
          <w:szCs w:val="32"/>
          <w:lang w:eastAsia="zh-CN"/>
        </w:rPr>
        <w:t>按照年初预算执行</w:t>
      </w:r>
      <w:r>
        <w:rPr>
          <w:rFonts w:hint="eastAsia" w:ascii="Times New Roman" w:hAnsi="Times New Roman" w:eastAsia="仿宋_GB2312"/>
          <w:sz w:val="32"/>
          <w:szCs w:val="32"/>
        </w:rPr>
        <w:t>。</w:t>
      </w:r>
    </w:p>
    <w:p w14:paraId="44421CF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、一般公共服务社会保障和就业支出（类）</w:t>
      </w:r>
      <w:r>
        <w:rPr>
          <w:rFonts w:hint="eastAsia" w:ascii="Times New Roman" w:hAnsi="Times New Roman" w:eastAsia="仿宋_GB2312"/>
          <w:sz w:val="32"/>
          <w:szCs w:val="32"/>
          <w:lang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其他优抚支出支出</w:t>
      </w:r>
      <w:r>
        <w:rPr>
          <w:rFonts w:hint="eastAsia" w:ascii="Times New Roman" w:hAnsi="Times New Roman" w:eastAsia="仿宋_GB2312"/>
          <w:sz w:val="32"/>
          <w:szCs w:val="32"/>
        </w:rPr>
        <w:t>（项）。</w:t>
      </w:r>
    </w:p>
    <w:p w14:paraId="2A360FF4">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10.38</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大于年</w:t>
      </w:r>
      <w:r>
        <w:rPr>
          <w:rFonts w:hint="eastAsia" w:ascii="Times New Roman" w:hAnsi="Times New Roman" w:eastAsia="仿宋_GB2312"/>
          <w:sz w:val="32"/>
          <w:szCs w:val="32"/>
        </w:rPr>
        <w:t>初预算数，主要原因为</w:t>
      </w:r>
      <w:r>
        <w:rPr>
          <w:rFonts w:hint="eastAsia" w:ascii="Times New Roman" w:hAnsi="Times New Roman" w:eastAsia="仿宋_GB2312"/>
          <w:sz w:val="32"/>
          <w:szCs w:val="32"/>
          <w:lang w:eastAsia="zh-CN"/>
        </w:rPr>
        <w:t>财政下拨抚恤金</w:t>
      </w:r>
      <w:r>
        <w:rPr>
          <w:rFonts w:hint="eastAsia" w:ascii="Times New Roman" w:hAnsi="Times New Roman" w:eastAsia="仿宋_GB2312"/>
          <w:sz w:val="32"/>
          <w:szCs w:val="32"/>
        </w:rPr>
        <w:t>。</w:t>
      </w:r>
    </w:p>
    <w:p w14:paraId="4560996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、一般公共服务社会保障和就业支出（类）</w:t>
      </w:r>
      <w:r>
        <w:rPr>
          <w:rFonts w:hint="eastAsia" w:ascii="Times New Roman" w:hAnsi="Times New Roman" w:eastAsia="仿宋_GB2312"/>
          <w:sz w:val="32"/>
          <w:szCs w:val="32"/>
          <w:lang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其他社会保障和就业支出</w:t>
      </w:r>
      <w:r>
        <w:rPr>
          <w:rFonts w:hint="eastAsia" w:ascii="Times New Roman" w:hAnsi="Times New Roman" w:eastAsia="仿宋_GB2312"/>
          <w:sz w:val="32"/>
          <w:szCs w:val="32"/>
        </w:rPr>
        <w:t>（项）。</w:t>
      </w:r>
    </w:p>
    <w:p w14:paraId="539DF98A">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77.1</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77.1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等于年</w:t>
      </w:r>
      <w:r>
        <w:rPr>
          <w:rFonts w:hint="eastAsia" w:ascii="Times New Roman" w:hAnsi="Times New Roman" w:eastAsia="仿宋_GB2312"/>
          <w:sz w:val="32"/>
          <w:szCs w:val="32"/>
        </w:rPr>
        <w:t>初预算数，主要原因</w:t>
      </w:r>
      <w:r>
        <w:rPr>
          <w:rFonts w:hint="eastAsia" w:ascii="Times New Roman" w:hAnsi="Times New Roman" w:eastAsia="仿宋_GB2312"/>
          <w:sz w:val="32"/>
          <w:szCs w:val="32"/>
          <w:lang w:eastAsia="zh-CN"/>
        </w:rPr>
        <w:t>按照年初预算执行</w:t>
      </w:r>
      <w:r>
        <w:rPr>
          <w:rFonts w:hint="eastAsia" w:ascii="Times New Roman" w:hAnsi="Times New Roman" w:eastAsia="仿宋_GB2312"/>
          <w:sz w:val="32"/>
          <w:szCs w:val="32"/>
        </w:rPr>
        <w:t>。</w:t>
      </w:r>
    </w:p>
    <w:p w14:paraId="07F52A3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、一般公共服务卫生健康支出（类）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（款）事业单位医疗（项）。</w:t>
      </w:r>
    </w:p>
    <w:p w14:paraId="32BE0A17">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142.06</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142.06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年初预算数，主要原因为按年初预算执行。</w:t>
      </w:r>
    </w:p>
    <w:p w14:paraId="635E900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（类）住房</w:t>
      </w:r>
      <w:r>
        <w:rPr>
          <w:rFonts w:hint="eastAsia" w:ascii="Times New Roman" w:hAnsi="Times New Roman" w:eastAsia="仿宋_GB2312"/>
          <w:sz w:val="32"/>
          <w:szCs w:val="32"/>
          <w:lang w:eastAsia="zh-CN"/>
        </w:rPr>
        <w:t>改革</w:t>
      </w:r>
      <w:r>
        <w:rPr>
          <w:rFonts w:hint="eastAsia" w:ascii="Times New Roman" w:hAnsi="Times New Roman" w:eastAsia="仿宋_GB2312"/>
          <w:sz w:val="32"/>
          <w:szCs w:val="32"/>
        </w:rPr>
        <w:t>支出（款）住房公积金（项）。</w:t>
      </w:r>
    </w:p>
    <w:p w14:paraId="6202BEBA">
      <w:pPr>
        <w:pStyle w:val="12"/>
        <w:spacing w:line="600" w:lineRule="exact"/>
        <w:ind w:firstLine="800" w:firstLineChars="250"/>
        <w:rPr>
          <w:rFonts w:ascii="仿宋_GB2312" w:hAnsi="仿宋_GB2312" w:eastAsia="仿宋_GB2312" w:cs="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25</w:t>
      </w:r>
      <w:r>
        <w:rPr>
          <w:rFonts w:hint="eastAsia" w:ascii="Times New Roman" w:hAnsi="Times New Roman" w:eastAsia="仿宋_GB2312"/>
          <w:sz w:val="32"/>
          <w:szCs w:val="32"/>
          <w:lang w:val="en-US" w:eastAsia="zh-CN"/>
        </w:rPr>
        <w:t>5.87</w:t>
      </w:r>
      <w:r>
        <w:rPr>
          <w:rFonts w:hint="eastAsia" w:ascii="Times New Roman" w:hAnsi="Times New Roman" w:eastAsia="仿宋_GB2312"/>
          <w:sz w:val="32"/>
          <w:szCs w:val="32"/>
        </w:rPr>
        <w:t>元，支出决算为</w:t>
      </w:r>
      <w:r>
        <w:rPr>
          <w:rFonts w:ascii="Times New Roman" w:hAnsi="Times New Roman" w:eastAsia="仿宋_GB2312"/>
          <w:sz w:val="32"/>
          <w:szCs w:val="32"/>
        </w:rPr>
        <w:t>25</w:t>
      </w:r>
      <w:r>
        <w:rPr>
          <w:rFonts w:hint="eastAsia" w:ascii="Times New Roman" w:hAnsi="Times New Roman" w:eastAsia="仿宋_GB2312"/>
          <w:sz w:val="32"/>
          <w:szCs w:val="32"/>
          <w:lang w:val="en-US" w:eastAsia="zh-CN"/>
        </w:rPr>
        <w:t>1.95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98.47</w:t>
      </w:r>
      <w:r>
        <w:rPr>
          <w:rFonts w:ascii="Times New Roman" w:hAnsi="Times New Roman" w:eastAsia="仿宋_GB2312"/>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晓雨</w:t>
      </w:r>
      <w:r>
        <w:rPr>
          <w:rFonts w:hint="eastAsia" w:ascii="Times New Roman" w:hAnsi="Times New Roman" w:eastAsia="仿宋_GB2312"/>
          <w:sz w:val="32"/>
          <w:szCs w:val="32"/>
        </w:rPr>
        <w:t>年初预算数，主要原因为</w:t>
      </w:r>
      <w:r>
        <w:rPr>
          <w:rFonts w:hint="eastAsia" w:ascii="Times New Roman" w:hAnsi="Times New Roman" w:eastAsia="仿宋_GB2312"/>
          <w:sz w:val="32"/>
          <w:szCs w:val="32"/>
          <w:lang w:eastAsia="zh-CN"/>
        </w:rPr>
        <w:t>年中有教师离职</w:t>
      </w:r>
      <w:r>
        <w:rPr>
          <w:rFonts w:hint="eastAsia" w:ascii="Times New Roman" w:hAnsi="Times New Roman" w:eastAsia="仿宋_GB2312"/>
          <w:sz w:val="32"/>
          <w:szCs w:val="32"/>
        </w:rPr>
        <w:t>。</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4069.68</w:t>
      </w:r>
      <w:r>
        <w:rPr>
          <w:rFonts w:hint="eastAsia" w:ascii="仿宋_GB2312" w:hAnsi="仿宋_GB2312" w:eastAsia="仿宋_GB2312" w:cs="仿宋_GB2312"/>
          <w:sz w:val="32"/>
          <w:szCs w:val="32"/>
        </w:rPr>
        <w:t>万元，其中：</w:t>
      </w:r>
    </w:p>
    <w:p w14:paraId="68886AB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3846.85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94.52</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绩效工资、机关事业单位基本养老保险、</w:t>
      </w:r>
      <w:r>
        <w:rPr>
          <w:rFonts w:hint="eastAsia" w:ascii="仿宋_GB2312" w:hAnsi="仿宋_GB2312" w:eastAsia="仿宋_GB2312" w:cs="仿宋_GB2312"/>
          <w:sz w:val="32"/>
          <w:szCs w:val="32"/>
        </w:rPr>
        <w:t>职工基本医疗保险缴费、职业年金缴费、职业基本医疗保险缴费、公务员医疗补助缴费、其他社会保障缴费、住房公积金、医疗费、其他工资福利支出、离休费、退休费、抚恤金、生活补助、医疗费补助、奖励金、其他对个人和家庭的补助。</w:t>
      </w:r>
    </w:p>
    <w:p w14:paraId="6071376B">
      <w:pPr>
        <w:pStyle w:val="1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222.82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5.48</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费、手续费、水费、电费、邮电费、物业管理费、差旅费、维修（护）费，租赁费、会议费、培训费、专业材料费、劳务费、委托业务费、工会经费、福利费、其他交通费用、税金及附加费用、其他商品和服务支出、办公设备购置、专业设备购置、信息网格及软件购置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其他资本性支出。</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5325FC7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彩票公益金安排的支出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用于体育事业的彩票公益金支出</w:t>
      </w:r>
      <w:r>
        <w:rPr>
          <w:rFonts w:hint="eastAsia" w:ascii="仿宋_GB2312" w:hAnsi="仿宋_GB2312" w:eastAsia="仿宋_GB2312" w:cs="仿宋_GB2312"/>
          <w:sz w:val="32"/>
          <w:szCs w:val="32"/>
        </w:rPr>
        <w:t>（项）。</w:t>
      </w:r>
    </w:p>
    <w:p w14:paraId="1BAE16F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财政下拨了专项资金用于体育项目的支出。</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55FE19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；年末结转和结余0万元。具体情况如下：</w:t>
      </w:r>
    </w:p>
    <w:p w14:paraId="06114343">
      <w:pPr>
        <w:pStyle w:val="12"/>
        <w:ind w:firstLine="640" w:firstLineChars="200"/>
        <w:rPr>
          <w:rFonts w:ascii="宋体" w:hAnsi="宋体" w:eastAsia="宋体"/>
          <w:sz w:val="32"/>
          <w:szCs w:val="32"/>
        </w:rPr>
      </w:pPr>
      <w:r>
        <w:rPr>
          <w:rFonts w:hint="eastAsia" w:ascii="宋体" w:hAnsi="宋体" w:eastAsia="宋体"/>
          <w:sz w:val="32"/>
          <w:szCs w:val="32"/>
        </w:rPr>
        <w:t>教育支出（类）普通教育（款）高中教育（项）。</w:t>
      </w:r>
    </w:p>
    <w:p w14:paraId="7085975D">
      <w:pPr>
        <w:pStyle w:val="12"/>
        <w:ind w:firstLine="640" w:firstLineChars="20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万元，决算数等于年初预算数的主要原因是：</w:t>
      </w:r>
      <w:r>
        <w:rPr>
          <w:rFonts w:ascii="宋体" w:hAnsi="宋体" w:eastAsia="宋体"/>
          <w:sz w:val="32"/>
          <w:szCs w:val="32"/>
          <w:highlight w:val="white"/>
          <w:lang w:val="zh-CN"/>
        </w:rPr>
        <w:t>202</w:t>
      </w:r>
      <w:r>
        <w:rPr>
          <w:rFonts w:hint="eastAsia" w:ascii="宋体" w:hAnsi="宋体" w:eastAsia="宋体"/>
          <w:sz w:val="32"/>
          <w:szCs w:val="32"/>
          <w:highlight w:val="white"/>
          <w:lang w:val="en-US" w:eastAsia="zh-CN"/>
        </w:rPr>
        <w:t>4</w:t>
      </w:r>
      <w:r>
        <w:rPr>
          <w:rFonts w:hint="eastAsia" w:ascii="宋体" w:hAnsi="宋体" w:eastAsia="宋体"/>
          <w:sz w:val="32"/>
          <w:szCs w:val="32"/>
          <w:highlight w:val="white"/>
          <w:lang w:val="zh-CN"/>
        </w:rPr>
        <w:t>年本单位没有使用国有资本经营预算安排的支出</w:t>
      </w:r>
      <w:r>
        <w:rPr>
          <w:rFonts w:hint="eastAsia" w:ascii="宋体" w:hAnsi="宋体" w:eastAsia="宋体"/>
          <w:sz w:val="32"/>
          <w:szCs w:val="32"/>
          <w:lang w:val="zh-CN"/>
        </w:rPr>
        <w:t>。</w:t>
      </w:r>
    </w:p>
    <w:p w14:paraId="567EC0D8">
      <w:pPr>
        <w:pStyle w:val="7"/>
        <w:rPr>
          <w:rFonts w:hint="eastAsia"/>
          <w:lang w:val="en-US" w:eastAsia="zh-CN"/>
        </w:rPr>
      </w:pP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0AB93A69">
      <w:pPr>
        <w:pStyle w:val="12"/>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val="en-US" w:eastAsia="zh-CN"/>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，主要原因是我单位严格按预算执行决算；与上年一致，无增减变动，主要原因是按有关政策厉行节约，严控“三公经费”支出。</w:t>
      </w:r>
    </w:p>
    <w:p w14:paraId="1D52D86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352D03A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2CA187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5501F1B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楷体" w:cs="Times New Roman"/>
          <w:b/>
          <w:bCs/>
          <w:i/>
          <w:color w:val="auto"/>
          <w:sz w:val="32"/>
          <w:szCs w:val="32"/>
          <w:lang w:val="en-US" w:eastAsia="zh-CN"/>
        </w:rPr>
        <w:t xml:space="preserve"> </w:t>
      </w: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w:t>
      </w:r>
      <w:r>
        <w:rPr>
          <w:rFonts w:ascii="Times New Roman" w:hAnsi="Times New Roman" w:eastAsia="仿宋_GB2312" w:cs="Times New Roman"/>
          <w:color w:val="auto"/>
          <w:sz w:val="32"/>
          <w:szCs w:val="32"/>
        </w:rPr>
        <w:t>。其中：</w:t>
      </w:r>
    </w:p>
    <w:p w14:paraId="26DE007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与上年一致，无增减变动，主要原因是两年均未购置公务用车。本单位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4791C84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w:t>
      </w:r>
      <w:r>
        <w:rPr>
          <w:rFonts w:ascii="Times New Roman" w:hAnsi="Times New Roman" w:eastAsia="仿宋_GB2312" w:cs="Times New Roman"/>
          <w:color w:val="auto"/>
          <w:sz w:val="32"/>
          <w:szCs w:val="32"/>
        </w:rPr>
        <w:t>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auto"/>
          <w:sz w:val="32"/>
          <w:szCs w:val="32"/>
        </w:rPr>
        <w:t>截止</w:t>
      </w:r>
      <w:r>
        <w:rPr>
          <w:rFonts w:hint="eastAsia" w:ascii="Times New Roman" w:hAnsi="Times New Roman" w:eastAsia="仿宋_GB2312" w:cs="Times New Roman"/>
          <w:color w:val="auto"/>
          <w:sz w:val="32"/>
          <w:szCs w:val="32"/>
          <w:lang w:eastAsia="zh-CN"/>
        </w:rPr>
        <w:t>到</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7E4FC4A2">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 w:cs="Times New Roman"/>
          <w:b/>
          <w:bCs/>
          <w:i/>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lang w:val="en-US" w:eastAsia="zh-CN"/>
        </w:rPr>
        <w:t xml:space="preserve"> 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决算数等于预算数，主要原因是严格执行中央八项规定；与上年一致，无增减变动，主要原因是按有关政策厉行节约，严控公务接待支出。</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39328F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14:paraId="3D06AC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BC35135">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比年初预算数（或者上年决算数）增加</w:t>
      </w:r>
      <w:r>
        <w:rPr>
          <w:rFonts w:ascii="Times New Roman" w:hAnsi="Times New Roman" w:eastAsia="仿宋_GB2312"/>
          <w:sz w:val="32"/>
          <w:szCs w:val="32"/>
        </w:rPr>
        <w:t>0</w:t>
      </w:r>
      <w:r>
        <w:rPr>
          <w:rFonts w:hint="eastAsia" w:ascii="Times New Roman" w:hAnsi="Times New Roman" w:eastAsia="仿宋_GB2312"/>
          <w:sz w:val="32"/>
          <w:szCs w:val="32"/>
        </w:rPr>
        <w:t>万元，增长</w:t>
      </w:r>
      <w:r>
        <w:rPr>
          <w:rFonts w:ascii="Times New Roman" w:hAnsi="Times New Roman" w:eastAsia="仿宋_GB2312"/>
          <w:sz w:val="32"/>
          <w:szCs w:val="32"/>
        </w:rPr>
        <w:t>0%</w:t>
      </w:r>
      <w:r>
        <w:rPr>
          <w:rFonts w:hint="eastAsia" w:ascii="Times New Roman" w:hAnsi="Times New Roman" w:eastAsia="仿宋_GB2312"/>
          <w:sz w:val="32"/>
          <w:szCs w:val="32"/>
        </w:rPr>
        <w:t>。</w:t>
      </w:r>
      <w:r>
        <w:rPr>
          <w:rFonts w:hint="eastAsia" w:ascii="仿宋_GB2312" w:hAnsi="Times New Roman" w:eastAsia="仿宋_GB2312"/>
          <w:sz w:val="32"/>
          <w:szCs w:val="32"/>
        </w:rPr>
        <w:t>主要原因是：</w:t>
      </w:r>
      <w:r>
        <w:rPr>
          <w:rFonts w:hint="eastAsia" w:ascii="仿宋_GB2312" w:hAnsi="宋体" w:eastAsia="仿宋_GB2312"/>
          <w:sz w:val="32"/>
          <w:szCs w:val="32"/>
        </w:rPr>
        <w:t>本级和所属单位均为事业单位，按照机关运行经费的口径，本年度机关运行经费为</w:t>
      </w:r>
      <w:r>
        <w:rPr>
          <w:rFonts w:ascii="仿宋_GB2312" w:hAnsi="宋体" w:eastAsia="仿宋_GB2312"/>
          <w:sz w:val="32"/>
          <w:szCs w:val="32"/>
        </w:rPr>
        <w:t>0</w:t>
      </w:r>
      <w:r>
        <w:rPr>
          <w:rFonts w:hint="eastAsia" w:ascii="仿宋_GB2312" w:hAnsi="宋体" w:eastAsia="仿宋_GB2312"/>
          <w:sz w:val="32"/>
          <w:szCs w:val="32"/>
        </w:rPr>
        <w:t>。</w:t>
      </w:r>
    </w:p>
    <w:p w14:paraId="6A09B1A8">
      <w:pPr>
        <w:pStyle w:val="12"/>
        <w:ind w:firstLine="640" w:firstLineChars="200"/>
        <w:rPr>
          <w:rFonts w:hint="eastAsia" w:ascii="仿宋_GB2312" w:hAnsi="仿宋_GB2312" w:eastAsia="仿宋_GB2312" w:cs="仿宋_GB2312"/>
          <w:sz w:val="32"/>
          <w:szCs w:val="32"/>
        </w:rPr>
      </w:pP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w:t>
      </w: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培训费年初预算15.5万元，支出决算为15.5万元，完成年初预算的100%。用于开展</w:t>
      </w:r>
      <w:r>
        <w:rPr>
          <w:rFonts w:hint="eastAsia" w:ascii="仿宋_GB2312" w:hAnsi="仿宋_GB2312" w:eastAsia="仿宋_GB2312" w:cs="仿宋_GB2312"/>
          <w:color w:val="000000"/>
          <w:kern w:val="0"/>
          <w:sz w:val="32"/>
          <w:szCs w:val="32"/>
        </w:rPr>
        <w:t>开展</w:t>
      </w:r>
      <w:r>
        <w:rPr>
          <w:rFonts w:hint="eastAsia" w:ascii="Times New Roman" w:hAnsi="Times New Roman" w:eastAsia="仿宋_GB2312"/>
          <w:sz w:val="32"/>
          <w:szCs w:val="32"/>
        </w:rPr>
        <w:t>学校教师各类外出培训，人数</w:t>
      </w:r>
      <w:r>
        <w:rPr>
          <w:rFonts w:ascii="Times New Roman" w:hAnsi="Times New Roman" w:eastAsia="仿宋_GB2312"/>
          <w:sz w:val="32"/>
          <w:szCs w:val="32"/>
        </w:rPr>
        <w:t>500</w:t>
      </w:r>
      <w:r>
        <w:rPr>
          <w:rFonts w:hint="eastAsia" w:ascii="Times New Roman" w:hAnsi="Times New Roman" w:eastAsia="仿宋_GB2312"/>
          <w:sz w:val="32"/>
          <w:szCs w:val="32"/>
        </w:rPr>
        <w:t>百人次，内容为班主任培训、教师网络培训、教师业务培训等。</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举办节庆、晚会、论坛、赛事活动年初预算0万元，支出决算为0万元，主要是</w:t>
      </w:r>
      <w:r>
        <w:rPr>
          <w:rFonts w:hint="eastAsia" w:ascii="仿宋_GB2312" w:hAnsi="仿宋_GB2312" w:eastAsia="仿宋_GB2312" w:cs="仿宋_GB2312"/>
          <w:b w:val="0"/>
          <w:bCs w:val="0"/>
          <w:i w:val="0"/>
          <w:iCs w:val="0"/>
          <w:color w:val="auto"/>
          <w:kern w:val="0"/>
          <w:sz w:val="32"/>
          <w:szCs w:val="32"/>
          <w:lang w:val="en-US" w:eastAsia="zh-CN" w:bidi="ar-SA"/>
        </w:rPr>
        <w:t>本单位无举</w:t>
      </w:r>
      <w:r>
        <w:rPr>
          <w:rFonts w:hint="eastAsia" w:ascii="楷体" w:hAnsi="楷体" w:eastAsia="楷体" w:cs="楷体"/>
          <w:b w:val="0"/>
          <w:bCs w:val="0"/>
          <w:i w:val="0"/>
          <w:iCs w:val="0"/>
          <w:color w:val="auto"/>
          <w:kern w:val="0"/>
          <w:sz w:val="32"/>
          <w:szCs w:val="32"/>
          <w:lang w:val="en-US" w:eastAsia="zh-CN" w:bidi="ar-SA"/>
        </w:rPr>
        <w:t>办节庆、晚会、论坛、赛事等活动的预算和支出决算数。</w:t>
      </w:r>
      <w:r>
        <w:rPr>
          <w:rFonts w:hint="eastAsia" w:ascii="仿宋_GB2312" w:hAnsi="仿宋_GB2312" w:eastAsia="仿宋_GB2312" w:cs="仿宋_GB2312"/>
          <w:color w:val="000000"/>
          <w:kern w:val="0"/>
          <w:sz w:val="32"/>
          <w:szCs w:val="32"/>
          <w:lang w:val="en-US" w:eastAsia="zh-CN" w:bidi="ar-SA"/>
        </w:rPr>
        <w:t>。</w:t>
      </w:r>
    </w:p>
    <w:p w14:paraId="252D0B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639.32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14.36</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624.96</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639.32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639.32</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346.54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326.54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94.23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5.77</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3E6B6DCD">
      <w:pPr>
        <w:overflowPunct w:val="0"/>
        <w:spacing w:line="600" w:lineRule="exact"/>
        <w:ind w:firstLine="640" w:firstLineChars="200"/>
        <w:rPr>
          <w:rFonts w:hint="eastAsia" w:ascii="Times New Roman" w:hAnsi="Times New Roman" w:eastAsia="仿宋_GB2312" w:cs="Times New Roman"/>
          <w:kern w:val="0"/>
          <w:sz w:val="32"/>
          <w:szCs w:val="32"/>
          <w:highlight w:val="none"/>
          <w:lang w:eastAsia="zh-CN"/>
        </w:rPr>
      </w:pPr>
    </w:p>
    <w:p w14:paraId="7C65853C">
      <w:p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b/>
          <w:bCs/>
          <w:color w:val="FF0000"/>
          <w:kern w:val="0"/>
          <w:sz w:val="32"/>
          <w:szCs w:val="32"/>
        </w:rPr>
        <w:t>（如有，一级预算部门填写）</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组织对所属单位2024年度“</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”等</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个项目开展了部门评价，涉及一般公共预算支出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万元，政府性基金预算支出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万元，国有资本经营预算支出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万元，社会保险基金预算支出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color w:val="FF0000"/>
          <w:kern w:val="0"/>
          <w:sz w:val="32"/>
          <w:szCs w:val="32"/>
          <w:lang w:eastAsia="zh-CN"/>
        </w:rPr>
        <w:t>（</w:t>
      </w:r>
      <w:r>
        <w:rPr>
          <w:rFonts w:hint="eastAsia" w:ascii="Times New Roman" w:hAnsi="Times New Roman" w:eastAsia="仿宋_GB2312" w:cs="Times New Roman"/>
          <w:color w:val="FF0000"/>
          <w:kern w:val="0"/>
          <w:sz w:val="32"/>
          <w:szCs w:val="32"/>
          <w:lang w:val="en-US" w:eastAsia="zh-CN"/>
        </w:rPr>
        <w:t>1.如为二级预算单位，可参照填写：本单位为二级预算单位，部门评价开展情况可详见上级部门决算公开说明；2.如为一级预算部门，但无部门评价开展情况，可参照填写：本单位及所属单位本年度未开展项目，所以无部门评价开展情况</w:t>
      </w:r>
      <w:r>
        <w:rPr>
          <w:rFonts w:hint="eastAsia" w:ascii="Times New Roman" w:hAnsi="Times New Roman" w:eastAsia="仿宋_GB2312" w:cs="Times New Roman"/>
          <w:color w:val="FF0000"/>
          <w:kern w:val="0"/>
          <w:sz w:val="32"/>
          <w:szCs w:val="32"/>
          <w:lang w:eastAsia="zh-CN"/>
        </w:rPr>
        <w:t>）</w:t>
      </w:r>
    </w:p>
    <w:p w14:paraId="2B23DD89">
      <w:pPr>
        <w:overflowPunct w:val="0"/>
        <w:spacing w:line="600" w:lineRule="exact"/>
        <w:ind w:firstLine="640" w:firstLineChars="200"/>
        <w:rPr>
          <w:rFonts w:hint="eastAsia"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ascii="Times New Roman" w:hAnsi="Times New Roman" w:eastAsia="仿宋_GB2312" w:cs="Times New Roman"/>
          <w:b/>
          <w:bCs/>
          <w:color w:val="FF0000"/>
          <w:kern w:val="0"/>
          <w:sz w:val="32"/>
          <w:szCs w:val="32"/>
        </w:rPr>
        <w:t>（如有，一级预算部门填写）</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组织对2024年度</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个新增重大政策和</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个重大项目开展事前绩效评估，共涉及资金XX万元。</w:t>
      </w:r>
      <w:r>
        <w:rPr>
          <w:rFonts w:hint="eastAsia" w:ascii="Times New Roman" w:hAnsi="Times New Roman" w:eastAsia="仿宋_GB2312" w:cs="Times New Roman"/>
          <w:color w:val="FF0000"/>
          <w:kern w:val="0"/>
          <w:sz w:val="32"/>
          <w:szCs w:val="32"/>
          <w:lang w:eastAsia="zh-CN"/>
        </w:rPr>
        <w:t>（</w:t>
      </w:r>
      <w:r>
        <w:rPr>
          <w:rFonts w:hint="eastAsia" w:ascii="Times New Roman" w:hAnsi="Times New Roman" w:eastAsia="仿宋_GB2312" w:cs="Times New Roman"/>
          <w:color w:val="FF0000"/>
          <w:kern w:val="0"/>
          <w:sz w:val="32"/>
          <w:szCs w:val="32"/>
          <w:lang w:val="en-US" w:eastAsia="zh-CN"/>
        </w:rPr>
        <w:t>1.如为二级预算单位，可参照填写：本单位为二级预算单位，事前绩效评估开展情况可详见上级部门决算公开说明；2.如为一级预算部门，但无部门评价开展情况，可参照填写：本单位及所属单位本年度未新增重大政策和重大项目，所以无事前绩效评估开展情况。）</w:t>
      </w:r>
    </w:p>
    <w:p w14:paraId="004D01B3">
      <w:pPr>
        <w:overflowPunct w:val="0"/>
        <w:spacing w:line="600" w:lineRule="exact"/>
        <w:ind w:firstLine="640" w:firstLineChars="200"/>
        <w:rPr>
          <w:rFonts w:ascii="Times New Roman" w:hAnsi="Times New Roman" w:eastAsia="楷体" w:cs="Times New Roman"/>
          <w:b/>
          <w:bCs/>
          <w:sz w:val="32"/>
          <w:szCs w:val="32"/>
        </w:rPr>
      </w:pP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宋体" w:hAnsi="宋体" w:cs="宋体"/>
          <w:color w:val="000000"/>
          <w:sz w:val="28"/>
          <w:szCs w:val="28"/>
          <w:lang w:val="en-US" w:eastAsia="zh-CN"/>
        </w:rPr>
        <w:t>6863.51</w:t>
      </w:r>
      <w:r>
        <w:rPr>
          <w:rFonts w:ascii="Times New Roman" w:hAnsi="Times New Roman" w:eastAsia="仿宋_GB2312" w:cs="Times New Roman"/>
          <w:sz w:val="32"/>
          <w:szCs w:val="32"/>
        </w:rPr>
        <w:t>万元，执行数</w:t>
      </w:r>
      <w:r>
        <w:rPr>
          <w:rFonts w:hint="eastAsia" w:ascii="宋体" w:hAnsi="宋体" w:cs="宋体"/>
          <w:color w:val="000000"/>
          <w:sz w:val="28"/>
          <w:szCs w:val="28"/>
          <w:lang w:val="en-US" w:eastAsia="zh-CN"/>
        </w:rPr>
        <w:t>6863.51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完成了全年的预算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学校正常运转</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学校各项设施设备还需要进一步的完善</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固定资产需进一步规范</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一是</w:t>
      </w:r>
      <w:r>
        <w:rPr>
          <w:rStyle w:val="18"/>
          <w:rFonts w:hint="eastAsia" w:ascii="仿宋_GB2312" w:hAnsi="仿宋_GB2312" w:eastAsia="仿宋_GB2312" w:cs="仿宋_GB2312"/>
          <w:sz w:val="32"/>
          <w:szCs w:val="32"/>
        </w:rPr>
        <w:t>切实做好预算编制工作，根据本单位情况合理预算资金，及时支出资金。</w:t>
      </w:r>
      <w:r>
        <w:rPr>
          <w:rFonts w:hint="eastAsia" w:ascii="仿宋_GB2312" w:hAnsi="仿宋_GB2312" w:eastAsia="仿宋_GB2312" w:cs="仿宋_GB2312"/>
          <w:sz w:val="32"/>
          <w:szCs w:val="32"/>
        </w:rPr>
        <w:t>二是</w:t>
      </w:r>
      <w:r>
        <w:rPr>
          <w:rStyle w:val="18"/>
          <w:rFonts w:hint="eastAsia" w:ascii="仿宋_GB2312" w:hAnsi="仿宋_GB2312" w:eastAsia="仿宋_GB2312" w:cs="仿宋_GB2312"/>
          <w:sz w:val="32"/>
          <w:szCs w:val="32"/>
        </w:rPr>
        <w:t>进一步建立健全财务制度，规范财务管理，规范教育教学行为；提高教育教学质量，加强校园文化建设，加强学校廉政建设</w:t>
      </w:r>
      <w:r>
        <w:rPr>
          <w:rStyle w:val="18"/>
          <w:rFonts w:hint="eastAsia" w:ascii="宋体" w:hAnsi="宋体" w:eastAsia="宋体" w:cs="宋体"/>
          <w:sz w:val="28"/>
          <w:szCs w:val="28"/>
        </w:rPr>
        <w:t>。</w:t>
      </w:r>
    </w:p>
    <w:p w14:paraId="13A55FC2">
      <w:p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ascii="Times New Roman" w:hAnsi="Times New Roman" w:eastAsia="仿宋_GB2312" w:cs="Times New Roman"/>
          <w:b/>
          <w:bCs/>
          <w:color w:val="FF0000"/>
          <w:kern w:val="0"/>
          <w:sz w:val="32"/>
          <w:szCs w:val="32"/>
        </w:rPr>
        <w:t>（如有，一级预算部门填写）</w:t>
      </w:r>
      <w:r>
        <w:rPr>
          <w:rFonts w:ascii="Times New Roman" w:hAnsi="Times New Roman" w:eastAsia="仿宋_GB2312" w:cs="Times New Roman"/>
          <w:b/>
          <w:bCs/>
          <w:kern w:val="0"/>
          <w:sz w:val="32"/>
          <w:szCs w:val="32"/>
        </w:rPr>
        <w:t>。</w:t>
      </w:r>
      <w:r>
        <w:rPr>
          <w:rFonts w:ascii="Times New Roman" w:hAnsi="Times New Roman" w:eastAsia="仿宋_GB2312" w:cs="Times New Roman"/>
          <w:sz w:val="32"/>
          <w:szCs w:val="32"/>
        </w:rPr>
        <w:t>XX项目全年预算数XX万元，执行数XX万元，完成预算的XX%</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部门评价得分XX分，评价等级为“XX”。发现的主要问题及原因：一是……；二是……。下一步改进措施：一是……；二是……。……。</w:t>
      </w:r>
      <w:r>
        <w:rPr>
          <w:rFonts w:ascii="Times New Roman" w:hAnsi="Times New Roman" w:eastAsia="仿宋_GB2312" w:cs="Times New Roman"/>
          <w:color w:val="FF0000"/>
          <w:kern w:val="0"/>
          <w:sz w:val="32"/>
          <w:szCs w:val="32"/>
        </w:rPr>
        <w:t>（请分别对各个项目部门评价结果，发现的问题及原因，下一步工作措施等进行简要说明</w:t>
      </w:r>
      <w:r>
        <w:rPr>
          <w:rFonts w:hint="eastAsia" w:ascii="Times New Roman" w:hAnsi="Times New Roman" w:eastAsia="仿宋_GB2312" w:cs="Times New Roman"/>
          <w:color w:val="FF0000"/>
          <w:kern w:val="0"/>
          <w:sz w:val="32"/>
          <w:szCs w:val="32"/>
          <w:lang w:eastAsia="zh-CN"/>
        </w:rPr>
        <w:t>。</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FF0000"/>
          <w:kern w:val="0"/>
          <w:sz w:val="32"/>
          <w:szCs w:val="32"/>
          <w:lang w:val="en-US" w:eastAsia="zh-CN"/>
        </w:rPr>
        <w:t>1.如为二级预算单位，可参照填写：本单位为二级预算单位，部门评价结果可详见上级部门决算公开说明；2.如为一级预算部门，但无部门评价开展情况，可参照填写：本单位及所属单位本年度未开展部门评价，所以无部门评价结果。</w:t>
      </w:r>
      <w:r>
        <w:rPr>
          <w:rFonts w:hint="eastAsia" w:ascii="Times New Roman" w:hAnsi="Times New Roman" w:eastAsia="仿宋_GB2312" w:cs="Times New Roman"/>
          <w:color w:val="FF0000"/>
          <w:kern w:val="0"/>
          <w:sz w:val="32"/>
          <w:szCs w:val="32"/>
          <w:lang w:eastAsia="zh-CN"/>
        </w:rPr>
        <w:t>）</w:t>
      </w:r>
    </w:p>
    <w:p w14:paraId="594CEC69">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ascii="Times New Roman" w:hAnsi="Times New Roman" w:eastAsia="仿宋_GB2312" w:cs="Times New Roman"/>
          <w:b/>
          <w:bCs/>
          <w:color w:val="FF0000"/>
          <w:kern w:val="0"/>
          <w:sz w:val="32"/>
          <w:szCs w:val="32"/>
          <w:highlight w:val="none"/>
        </w:rPr>
        <w:t>（如有，一级预算部门填写）</w:t>
      </w:r>
      <w:r>
        <w:rPr>
          <w:rFonts w:ascii="Times New Roman" w:hAnsi="Times New Roman" w:eastAsia="仿宋_GB2312" w:cs="Times New Roman"/>
          <w:b/>
          <w:bCs/>
          <w:kern w:val="0"/>
          <w:sz w:val="32"/>
          <w:szCs w:val="32"/>
          <w:highlight w:val="none"/>
        </w:rPr>
        <w:t>。</w:t>
      </w:r>
      <w:r>
        <w:rPr>
          <w:rFonts w:ascii="Times New Roman" w:hAnsi="Times New Roman" w:eastAsia="仿宋_GB2312" w:cs="Times New Roman"/>
          <w:kern w:val="0"/>
          <w:sz w:val="32"/>
          <w:szCs w:val="32"/>
          <w:highlight w:val="none"/>
        </w:rPr>
        <w:t>2024年度</w:t>
      </w:r>
      <w:r>
        <w:rPr>
          <w:rFonts w:ascii="Times New Roman" w:hAnsi="Times New Roman" w:eastAsia="仿宋_GB2312" w:cs="Times New Roman"/>
          <w:sz w:val="32"/>
          <w:szCs w:val="32"/>
          <w:highlight w:val="none"/>
        </w:rPr>
        <w:t>XX</w:t>
      </w:r>
      <w:r>
        <w:rPr>
          <w:rFonts w:ascii="Times New Roman" w:hAnsi="Times New Roman" w:eastAsia="仿宋_GB2312" w:cs="Times New Roman"/>
          <w:kern w:val="0"/>
          <w:sz w:val="32"/>
          <w:szCs w:val="32"/>
          <w:highlight w:val="none"/>
        </w:rPr>
        <w:t>个重大项目事前绩效评估，其中，</w:t>
      </w:r>
      <w:r>
        <w:rPr>
          <w:rFonts w:ascii="Times New Roman" w:hAnsi="Times New Roman" w:eastAsia="仿宋_GB2312" w:cs="Times New Roman"/>
          <w:sz w:val="32"/>
          <w:szCs w:val="32"/>
          <w:highlight w:val="none"/>
        </w:rPr>
        <w:t>XX</w:t>
      </w:r>
      <w:r>
        <w:rPr>
          <w:rFonts w:ascii="Times New Roman" w:hAnsi="Times New Roman" w:eastAsia="仿宋_GB2312" w:cs="Times New Roman"/>
          <w:kern w:val="0"/>
          <w:sz w:val="32"/>
          <w:szCs w:val="32"/>
          <w:highlight w:val="none"/>
        </w:rPr>
        <w:t>个项目评估通过，涉及资金</w:t>
      </w:r>
      <w:r>
        <w:rPr>
          <w:rFonts w:ascii="Times New Roman" w:hAnsi="Times New Roman" w:eastAsia="仿宋_GB2312" w:cs="Times New Roman"/>
          <w:sz w:val="32"/>
          <w:szCs w:val="32"/>
          <w:highlight w:val="none"/>
        </w:rPr>
        <w:t>XX</w:t>
      </w:r>
      <w:r>
        <w:rPr>
          <w:rFonts w:ascii="Times New Roman" w:hAnsi="Times New Roman" w:eastAsia="仿宋_GB2312" w:cs="Times New Roman"/>
          <w:kern w:val="0"/>
          <w:sz w:val="32"/>
          <w:szCs w:val="32"/>
          <w:highlight w:val="none"/>
        </w:rPr>
        <w:t>万元，</w:t>
      </w:r>
      <w:r>
        <w:rPr>
          <w:rFonts w:ascii="Times New Roman" w:hAnsi="Times New Roman" w:eastAsia="仿宋_GB2312" w:cs="Times New Roman"/>
          <w:sz w:val="32"/>
          <w:szCs w:val="32"/>
          <w:highlight w:val="none"/>
        </w:rPr>
        <w:t>XX</w:t>
      </w:r>
      <w:r>
        <w:rPr>
          <w:rFonts w:ascii="Times New Roman" w:hAnsi="Times New Roman" w:eastAsia="仿宋_GB2312" w:cs="Times New Roman"/>
          <w:kern w:val="0"/>
          <w:sz w:val="32"/>
          <w:szCs w:val="32"/>
          <w:highlight w:val="none"/>
        </w:rPr>
        <w:t>个项目评估不通过，涉及资金</w:t>
      </w:r>
      <w:r>
        <w:rPr>
          <w:rFonts w:ascii="Times New Roman" w:hAnsi="Times New Roman" w:eastAsia="仿宋_GB2312" w:cs="Times New Roman"/>
          <w:sz w:val="32"/>
          <w:szCs w:val="32"/>
          <w:highlight w:val="none"/>
        </w:rPr>
        <w:t>XX</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color w:val="FF0000"/>
          <w:kern w:val="0"/>
          <w:sz w:val="32"/>
          <w:szCs w:val="32"/>
          <w:lang w:val="en-US" w:eastAsia="zh-CN"/>
        </w:rPr>
        <w:t>（1.如为二级预算单位，可参照填写：本单位为二级预算单位，事前绩效评估结果可详见上级部门决算公开说明；2.如为一级预算部门，但无部门评价开展情况，可参照填写：本单位及所属单位本年度未开展事前绩效评估，所以无事前绩效评估结果。</w:t>
      </w:r>
      <w:r>
        <w:rPr>
          <w:rFonts w:hint="eastAsia" w:ascii="Times New Roman" w:hAnsi="Times New Roman" w:eastAsia="仿宋_GB2312" w:cs="Times New Roman"/>
          <w:color w:val="FF0000"/>
          <w:kern w:val="0"/>
          <w:sz w:val="32"/>
          <w:szCs w:val="32"/>
          <w:lang w:eastAsia="zh-CN"/>
        </w:rPr>
        <w:t>）</w:t>
      </w:r>
    </w:p>
    <w:p w14:paraId="5DC4775D">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E1CBAA7">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7"/>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09789FF">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2"/>
        <w:jc w:val="both"/>
        <w:rPr>
          <w:rFonts w:hint="eastAsia" w:ascii="方正小标宋_GBK" w:hAnsi="方正小标宋_GBK" w:eastAsia="方正小标宋_GBK" w:cs="方正小标宋_GBK"/>
          <w:sz w:val="24"/>
          <w:szCs w:val="24"/>
        </w:rPr>
      </w:pPr>
    </w:p>
    <w:p w14:paraId="3D83FDA1">
      <w:pPr>
        <w:pStyle w:val="12"/>
        <w:jc w:val="center"/>
        <w:rPr>
          <w:rFonts w:hint="eastAsia" w:ascii="方正小标宋_GBK" w:hAnsi="方正小标宋_GBK" w:eastAsia="方正小标宋_GBK" w:cs="方正小标宋_GBK"/>
          <w:sz w:val="72"/>
          <w:szCs w:val="72"/>
        </w:rPr>
      </w:pPr>
    </w:p>
    <w:p w14:paraId="6FB6F211">
      <w:pPr>
        <w:pStyle w:val="12"/>
        <w:jc w:val="center"/>
        <w:rPr>
          <w:rFonts w:hint="eastAsia" w:ascii="方正小标宋_GBK" w:hAnsi="方正小标宋_GBK" w:eastAsia="方正小标宋_GBK" w:cs="方正小标宋_GBK"/>
          <w:sz w:val="72"/>
          <w:szCs w:val="72"/>
        </w:rPr>
      </w:pPr>
    </w:p>
    <w:p w14:paraId="3A01B6B0">
      <w:pPr>
        <w:pStyle w:val="12"/>
        <w:jc w:val="center"/>
        <w:rPr>
          <w:rFonts w:hint="eastAsia" w:ascii="方正小标宋_GBK" w:hAnsi="方正小标宋_GBK" w:eastAsia="方正小标宋_GBK" w:cs="方正小标宋_GBK"/>
          <w:sz w:val="72"/>
          <w:szCs w:val="72"/>
        </w:rPr>
      </w:pPr>
    </w:p>
    <w:p w14:paraId="475C1000">
      <w:pPr>
        <w:pStyle w:val="12"/>
        <w:jc w:val="center"/>
        <w:rPr>
          <w:rFonts w:hint="eastAsia" w:ascii="方正小标宋_GBK" w:hAnsi="方正小标宋_GBK" w:eastAsia="方正小标宋_GBK" w:cs="方正小标宋_GBK"/>
          <w:sz w:val="72"/>
          <w:szCs w:val="72"/>
        </w:rPr>
      </w:pPr>
    </w:p>
    <w:p w14:paraId="6A5A782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7"/>
      </w:pPr>
    </w:p>
    <w:p w14:paraId="5331F884">
      <w:pPr>
        <w:pStyle w:val="3"/>
      </w:pPr>
    </w:p>
    <w:p w14:paraId="2CCAD852"/>
    <w:p w14:paraId="440E89DF">
      <w:pPr>
        <w:pStyle w:val="7"/>
      </w:pPr>
    </w:p>
    <w:p w14:paraId="645B9B76">
      <w:pPr>
        <w:pStyle w:val="3"/>
      </w:pPr>
    </w:p>
    <w:p w14:paraId="539F25AC"/>
    <w:p w14:paraId="47AFAB8F">
      <w:pPr>
        <w:pStyle w:val="7"/>
      </w:pPr>
    </w:p>
    <w:p w14:paraId="479D6353">
      <w:pPr>
        <w:pStyle w:val="3"/>
      </w:pPr>
    </w:p>
    <w:p w14:paraId="648103ED"/>
    <w:p w14:paraId="08A5EA8F">
      <w:pPr>
        <w:pStyle w:val="7"/>
      </w:pPr>
    </w:p>
    <w:p w14:paraId="3FD0BAB6">
      <w:pPr>
        <w:pStyle w:val="3"/>
      </w:pPr>
    </w:p>
    <w:p w14:paraId="1CAE18D7"/>
    <w:p w14:paraId="5994BDDC">
      <w:pPr>
        <w:pStyle w:val="7"/>
      </w:pPr>
    </w:p>
    <w:p w14:paraId="51F60F8D">
      <w:pPr>
        <w:pStyle w:val="3"/>
      </w:pPr>
    </w:p>
    <w:p w14:paraId="715B8195"/>
    <w:p w14:paraId="3F608935">
      <w:pPr>
        <w:pStyle w:val="7"/>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7"/>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47854A68">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14:paraId="2F6018F1">
      <w:pPr>
        <w:autoSpaceDE w:val="0"/>
        <w:autoSpaceDN w:val="0"/>
        <w:adjustRightInd w:val="0"/>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四、事业收入：指事业单位开展专业业务活动及辅助活动所取得的收入。</w:t>
      </w:r>
    </w:p>
    <w:p w14:paraId="234BF13D">
      <w:pPr>
        <w:autoSpaceDE w:val="0"/>
        <w:autoSpaceDN w:val="0"/>
        <w:adjustRightInd w:val="0"/>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五、其他收入：指除上述“财政拨款收入”、“上级补助收入”、“事业收入”、“经营收入”、“附属单位上缴收入”等以外的收入。</w:t>
      </w:r>
    </w:p>
    <w:p w14:paraId="3ADDFEF4">
      <w:pPr>
        <w:autoSpaceDE w:val="0"/>
        <w:autoSpaceDN w:val="0"/>
        <w:adjustRightInd w:val="0"/>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0A666F21">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七、教育支出（类）：是指用于政府教育事务支出，包括保障机构正常运转、完成日常和特定的工作任务或事业发展目标的支出。</w:t>
      </w:r>
    </w:p>
    <w:p w14:paraId="24EFEE6A">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八、文化体育与传媒支出（类）：是指用于文化、文物、体育、新闻出版广播影视等方面的支出，包括保障机构正常运转、完成日常和特定的工作任务或事业发展目标的支出。</w:t>
      </w:r>
    </w:p>
    <w:p w14:paraId="05F33405">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F8CB4AE">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十、卫生健康支出（类）：是指用于医疗卫生与计划生育方面的支出，包括保障机构正常运转、完成日常和特定的工作任务或事业发展目标的支出。</w:t>
      </w:r>
    </w:p>
    <w:p w14:paraId="74543D3F">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十一、其他支出（类）：是指用于反映除上述项目以外其他不能划分到具体功能科目中的支出项目，包括保障机构正常运转、完成日常和特定的工作任务或事业发展目标的支出。</w:t>
      </w:r>
    </w:p>
    <w:p w14:paraId="1816FFC8">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十二、基本支出：指保障机构正常运转、完成支日常工作任务而发生的人员支出和公用支出。</w:t>
      </w:r>
    </w:p>
    <w:p w14:paraId="79D2F1D4">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十三、项目支出：指在基本支出之外为完成特定行政任务和事业发展目标所发生的支出。</w:t>
      </w:r>
    </w:p>
    <w:p w14:paraId="10DA27DF">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十四、工资福利支出：反映单位开支的在职职工和编制外长期聘用人员的各类劳动报酬，以及为上述人员缴纳的各项社会保险费等。</w:t>
      </w:r>
    </w:p>
    <w:p w14:paraId="53CA7A51">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431F655">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十六、奖金：反映机关工作人员年终一次性奖金。</w:t>
      </w:r>
    </w:p>
    <w:p w14:paraId="2EE5454B">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十七、伙食补助费：反映单位发给职工的伙食补助费，如误餐补助等。</w:t>
      </w:r>
    </w:p>
    <w:p w14:paraId="62AD1D00">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十八、绩效工资：反映事业单位工作人员的绩效工资。</w:t>
      </w:r>
    </w:p>
    <w:p w14:paraId="11C8F25B">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十九、机关事业单位基本养老保险缴费：反映机关事业单位缴纳的基本养老保险费。由单位代扣的工作人员基本养老保险缴费，不在此科目反映。</w:t>
      </w:r>
    </w:p>
    <w:p w14:paraId="2FCC632F">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二十、职工基本医疗保险缴费：反映单位为职工缴纳的基本医疗保险费。</w:t>
      </w:r>
    </w:p>
    <w:p w14:paraId="4E643F24">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二十一、其他社会保障缴费：反映单位为职工缴纳的基本医疗、失业、工伤、生育等社会保险费，残疾人就业保障金，军队（含武警）为军人缴纳的伤亡、退役医疗等社会保险费。</w:t>
      </w:r>
    </w:p>
    <w:p w14:paraId="279F835F">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二十二、住房公积金：反映行政事业单位按人力资源和社会保障部、财政部规定的基本工资和津贴补贴以及规定比例为职工缴纳的住房公积金。</w:t>
      </w:r>
    </w:p>
    <w:p w14:paraId="0BB6B3E3">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3F25630">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二十四、商品和服务支出：反映单位购买商品和服务的支出（不包括用于购置固定资产的支出、战略性和应急储备支出）。</w:t>
      </w:r>
    </w:p>
    <w:p w14:paraId="4E85DC2D">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二十五、办公费：反映单位购买按财务会计制度规定不符合固定资产确认标准的日常办公用品、书报杂志等支出。</w:t>
      </w:r>
    </w:p>
    <w:p w14:paraId="0FEFF7E6">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二十六、印刷费：反映单位的印刷费支出。</w:t>
      </w:r>
    </w:p>
    <w:p w14:paraId="42D06C94">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二十七、电费：反映单位的电费支出。</w:t>
      </w:r>
    </w:p>
    <w:p w14:paraId="5ACF2DE3">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二十八、物业管理费：反映单位开支的办公用房以及未实行职工住宅物业服务改革的在职职工和离退休人员宿舍等的物业管理费，包括综合治理、绿化、卫生等方面的支出。</w:t>
      </w:r>
    </w:p>
    <w:p w14:paraId="6C9A62A6">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二十九、差旅费：反映单位工作人员出差发生的城市间交通费、住宿费、伙食补贴费和市内交通费。</w:t>
      </w:r>
    </w:p>
    <w:p w14:paraId="1BD39B3D">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三十、维修(护)费：反映单位日常开支的固定资产（不包括车船等交通工具）修理和维护费用，网络信息系统运行与维护费用，以及按规定提取的修购基金。</w:t>
      </w:r>
    </w:p>
    <w:p w14:paraId="04BD5E85">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1AFAADA">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三十二、劳务费：反映支付给单位和个人的劳务费用，如临时聘用人员、钟点工工资，稿费、翻译费，评审费等。</w:t>
      </w:r>
    </w:p>
    <w:p w14:paraId="32249471">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三十三、工会经费：反映单位按规定提取的工会经费。</w:t>
      </w:r>
    </w:p>
    <w:p w14:paraId="3BC3743C">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三十四、其他交通费用：反映单位除公务用车运行维护费以外的其他交通费用。如公务交通补贴，租车费用、出租车费用，飞机、船舶等的燃料费、维修费、保险费等。</w:t>
      </w:r>
    </w:p>
    <w:p w14:paraId="2739C525">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三十五、其他商品和服务支出：反映上述科目未包括的日常公用支出。如行政赔偿费和诉讼费、国内组织的会员费、来访费、广告宣传、其他劳务费及离休人员特需费、公用经费等。</w:t>
      </w:r>
    </w:p>
    <w:p w14:paraId="173AAB42">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三十六、对个人和家庭的补助：反映政府用于对个人和家庭的补助支出。</w:t>
      </w:r>
    </w:p>
    <w:p w14:paraId="03907097">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三十七、退休费：反映行政事业单位和军队移交政府安置的退休人员的退休费和其他补贴。</w:t>
      </w:r>
    </w:p>
    <w:p w14:paraId="6456DD20">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71242B7">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1C6254A4">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四十、奖励金：反映政府各部门的奖励支出，如对个体私营经济的奖励、计划生育目标责任奖励、独生子女父母奖励等。</w:t>
      </w:r>
    </w:p>
    <w:p w14:paraId="1CD811E8">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四十一、办公设备购置：反映用于购置并按财务会计制度规定纳入固定资产核算范围的办公家具和办公设备的支出，以及按规定提取的修购基金。</w:t>
      </w:r>
    </w:p>
    <w:p w14:paraId="554F1654">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6D9AD78">
      <w:pPr>
        <w:pStyle w:val="3"/>
        <w:ind w:left="31680" w:firstLine="3168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四十三、其他资本性支出：反映上述科目中未包括的资本性支出。</w:t>
      </w:r>
    </w:p>
    <w:p w14:paraId="659FB32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1D47518A">
      <w:pPr>
        <w:pStyle w:val="3"/>
        <w:rPr>
          <w:rFonts w:hint="eastAsia" w:ascii="仿宋_GB2312" w:hAnsi="仿宋_GB2312" w:eastAsia="仿宋_GB2312" w:cs="仿宋_GB2312"/>
          <w:sz w:val="32"/>
          <w:szCs w:val="32"/>
        </w:rPr>
      </w:pPr>
    </w:p>
    <w:p w14:paraId="580CF8E4">
      <w:pPr>
        <w:rPr>
          <w:rFonts w:hint="eastAsia" w:ascii="仿宋_GB2312" w:hAnsi="仿宋_GB2312" w:eastAsia="仿宋_GB2312" w:cs="仿宋_GB2312"/>
          <w:sz w:val="32"/>
          <w:szCs w:val="32"/>
        </w:rPr>
      </w:pPr>
    </w:p>
    <w:p w14:paraId="0C17744C">
      <w:pPr>
        <w:pStyle w:val="7"/>
      </w:pPr>
    </w:p>
    <w:p w14:paraId="7B8BABF4">
      <w:pPr>
        <w:pStyle w:val="3"/>
      </w:pPr>
    </w:p>
    <w:p w14:paraId="1942C0DC"/>
    <w:p w14:paraId="6E2D1EEF">
      <w:pPr>
        <w:pStyle w:val="7"/>
      </w:pPr>
    </w:p>
    <w:p w14:paraId="5F6ABC3B">
      <w:pPr>
        <w:pStyle w:val="3"/>
      </w:pPr>
    </w:p>
    <w:p w14:paraId="51BE6437"/>
    <w:p w14:paraId="05344CBA">
      <w:pPr>
        <w:pStyle w:val="7"/>
      </w:pPr>
    </w:p>
    <w:p w14:paraId="5C9170AD">
      <w:pPr>
        <w:pStyle w:val="3"/>
      </w:pPr>
    </w:p>
    <w:p w14:paraId="29D3A91E"/>
    <w:p w14:paraId="0D2A994E">
      <w:pPr>
        <w:pStyle w:val="7"/>
      </w:pPr>
    </w:p>
    <w:p w14:paraId="59CBCCA7">
      <w:pPr>
        <w:pStyle w:val="3"/>
      </w:pPr>
    </w:p>
    <w:p w14:paraId="67806EBD"/>
    <w:p w14:paraId="7C18BB03">
      <w:pPr>
        <w:pStyle w:val="7"/>
      </w:pPr>
    </w:p>
    <w:p w14:paraId="29230CAD">
      <w:pPr>
        <w:pStyle w:val="3"/>
      </w:pPr>
    </w:p>
    <w:p w14:paraId="724E0A54"/>
    <w:p w14:paraId="496F732E">
      <w:pPr>
        <w:pStyle w:val="7"/>
      </w:pPr>
    </w:p>
    <w:p w14:paraId="354ECFD8">
      <w:pPr>
        <w:pStyle w:val="3"/>
      </w:pPr>
    </w:p>
    <w:p w14:paraId="51C67B38"/>
    <w:p w14:paraId="4D131F3E"/>
    <w:p w14:paraId="7CFBCE3C">
      <w:pPr>
        <w:pStyle w:val="7"/>
      </w:pPr>
    </w:p>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4663323"/>
    <w:multiLevelType w:val="singleLevel"/>
    <w:tmpl w:val="34663323"/>
    <w:lvl w:ilvl="0" w:tentative="0">
      <w:start w:val="5"/>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D97DEFF"/>
    <w:rsid w:val="1DFF72E5"/>
    <w:rsid w:val="1EFC6F07"/>
    <w:rsid w:val="1F0527A6"/>
    <w:rsid w:val="22AC03C2"/>
    <w:rsid w:val="283B15FE"/>
    <w:rsid w:val="2FDF85B8"/>
    <w:rsid w:val="2FFFEE04"/>
    <w:rsid w:val="31C95635"/>
    <w:rsid w:val="32E121F5"/>
    <w:rsid w:val="34DF85B0"/>
    <w:rsid w:val="3B8F36BC"/>
    <w:rsid w:val="43EB5BA5"/>
    <w:rsid w:val="47537D19"/>
    <w:rsid w:val="47BD20A8"/>
    <w:rsid w:val="491FF225"/>
    <w:rsid w:val="4EC310A1"/>
    <w:rsid w:val="4FFD214C"/>
    <w:rsid w:val="5352765A"/>
    <w:rsid w:val="5777D4F5"/>
    <w:rsid w:val="57F22B6F"/>
    <w:rsid w:val="59DD8326"/>
    <w:rsid w:val="5DEF592A"/>
    <w:rsid w:val="5FC6BB1E"/>
    <w:rsid w:val="5FF720F1"/>
    <w:rsid w:val="622964C1"/>
    <w:rsid w:val="67FF5C0B"/>
    <w:rsid w:val="6BAA4A2F"/>
    <w:rsid w:val="6DDEC5C0"/>
    <w:rsid w:val="6EFC0924"/>
    <w:rsid w:val="6FB74722"/>
    <w:rsid w:val="6FEF8B7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ca-2"/>
    <w:basedOn w:val="9"/>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9479</Words>
  <Characters>10051</Characters>
  <Lines>63</Lines>
  <Paragraphs>18</Paragraphs>
  <TotalTime>2</TotalTime>
  <ScaleCrop>false</ScaleCrop>
  <LinksUpToDate>false</LinksUpToDate>
  <CharactersWithSpaces>10078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小廖</cp:lastModifiedBy>
  <cp:lastPrinted>2024-08-11T02:20:00Z</cp:lastPrinted>
  <dcterms:modified xsi:type="dcterms:W3CDTF">2025-10-13T12:57:33Z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98623D6660B449428EB8E073C6C952EA</vt:lpwstr>
  </property>
  <property fmtid="{D5CDD505-2E9C-101B-9397-08002B2CF9AE}" pid="4" name="KSOTemplateDocerSaveRecord">
    <vt:lpwstr>eyJoZGlkIjoiNTA0OWJlYjhlZjc4NmRkMmIzNGFkZWJjYjFhZWZmZDciLCJ1c2VySWQiOiI1MDU1NTk4OTUifQ==</vt:lpwstr>
  </property>
</Properties>
</file>