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D58A">
      <w:pPr>
        <w:pStyle w:val="12"/>
        <w:jc w:val="center"/>
        <w:rPr>
          <w:sz w:val="56"/>
          <w:szCs w:val="56"/>
        </w:rPr>
      </w:pPr>
    </w:p>
    <w:p w14:paraId="0BBA2B8E">
      <w:pPr>
        <w:pStyle w:val="12"/>
        <w:jc w:val="center"/>
        <w:rPr>
          <w:sz w:val="56"/>
          <w:szCs w:val="56"/>
        </w:rPr>
      </w:pPr>
    </w:p>
    <w:p w14:paraId="6D55EA31">
      <w:pPr>
        <w:pStyle w:val="12"/>
        <w:jc w:val="center"/>
        <w:rPr>
          <w:sz w:val="84"/>
          <w:szCs w:val="84"/>
        </w:rPr>
      </w:pPr>
    </w:p>
    <w:p w14:paraId="77A6AB0E">
      <w:pPr>
        <w:pStyle w:val="12"/>
        <w:jc w:val="center"/>
        <w:rPr>
          <w:sz w:val="84"/>
          <w:szCs w:val="84"/>
        </w:rPr>
      </w:pPr>
    </w:p>
    <w:p w14:paraId="7978FBFE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779617AB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岳阳市体育运动学校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 w14:paraId="2D9F4453">
      <w:pPr>
        <w:pStyle w:val="12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2D70A516">
      <w:pPr>
        <w:pStyle w:val="12"/>
        <w:jc w:val="center"/>
        <w:rPr>
          <w:sz w:val="56"/>
          <w:szCs w:val="56"/>
        </w:rPr>
      </w:pPr>
    </w:p>
    <w:p w14:paraId="6EB9E88C">
      <w:pPr>
        <w:pStyle w:val="12"/>
        <w:jc w:val="center"/>
        <w:rPr>
          <w:sz w:val="56"/>
          <w:szCs w:val="56"/>
        </w:rPr>
      </w:pPr>
    </w:p>
    <w:p w14:paraId="768437B3">
      <w:pPr>
        <w:pStyle w:val="12"/>
        <w:jc w:val="center"/>
        <w:rPr>
          <w:sz w:val="56"/>
          <w:szCs w:val="56"/>
        </w:rPr>
      </w:pPr>
    </w:p>
    <w:p w14:paraId="471410AC">
      <w:pPr>
        <w:pStyle w:val="12"/>
        <w:jc w:val="center"/>
        <w:rPr>
          <w:sz w:val="32"/>
          <w:szCs w:val="32"/>
        </w:rPr>
      </w:pPr>
    </w:p>
    <w:p w14:paraId="18D75DD5">
      <w:pPr>
        <w:pStyle w:val="12"/>
        <w:jc w:val="center"/>
        <w:rPr>
          <w:sz w:val="32"/>
          <w:szCs w:val="32"/>
        </w:rPr>
      </w:pPr>
    </w:p>
    <w:p w14:paraId="56125CB3">
      <w:pPr>
        <w:pStyle w:val="12"/>
        <w:jc w:val="center"/>
        <w:rPr>
          <w:sz w:val="32"/>
          <w:szCs w:val="32"/>
        </w:rPr>
      </w:pPr>
    </w:p>
    <w:p w14:paraId="47376F70">
      <w:pPr>
        <w:pStyle w:val="12"/>
        <w:jc w:val="center"/>
        <w:rPr>
          <w:sz w:val="32"/>
          <w:szCs w:val="32"/>
        </w:rPr>
      </w:pPr>
    </w:p>
    <w:p w14:paraId="58BE5BB5">
      <w:pPr>
        <w:pStyle w:val="12"/>
        <w:jc w:val="center"/>
        <w:rPr>
          <w:sz w:val="32"/>
          <w:szCs w:val="32"/>
        </w:rPr>
      </w:pPr>
    </w:p>
    <w:p w14:paraId="3D351D64">
      <w:pPr>
        <w:pStyle w:val="12"/>
        <w:spacing w:line="540" w:lineRule="exact"/>
        <w:jc w:val="center"/>
        <w:rPr>
          <w:sz w:val="56"/>
          <w:szCs w:val="56"/>
        </w:rPr>
      </w:pPr>
    </w:p>
    <w:p w14:paraId="652C8D74">
      <w:pPr>
        <w:pStyle w:val="12"/>
        <w:spacing w:line="500" w:lineRule="exact"/>
        <w:jc w:val="both"/>
        <w:rPr>
          <w:b/>
          <w:sz w:val="36"/>
          <w:szCs w:val="28"/>
        </w:rPr>
      </w:pPr>
    </w:p>
    <w:p w14:paraId="62F91D5A">
      <w:pPr>
        <w:pStyle w:val="12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5E80D08E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>岳阳市体育运动学校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部门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 w14:paraId="4B388876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55C17800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</w:p>
    <w:p w14:paraId="5B2FBEA5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41E59F34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22BF4F70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56472433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446339D7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435A4EC3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1124CEE4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1846853B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483644FE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29FC15A2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53D2F8F3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180A1588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2F588258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0E66AEC1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7C85456C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53B612E4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718CC21E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144F5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 w14:paraId="22B44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</w:p>
    <w:p w14:paraId="0E20E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 w14:paraId="3459B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 w14:paraId="1786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 w14:paraId="42D5D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 w14:paraId="320A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 w14:paraId="0231BD3E"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绩效情况的说明</w:t>
      </w:r>
    </w:p>
    <w:p w14:paraId="4F0934D8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5E1FF2F5"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33D6540A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A584B2E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23EAD4F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42D633BA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13F7426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岳阳市体育运动学校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6F161056">
      <w:pPr>
        <w:pStyle w:val="7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6C177F6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2B08F03F"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17FBFE0">
      <w:pPr>
        <w:pStyle w:val="7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2ED47B09"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82FB2D3">
      <w:pPr>
        <w:pStyle w:val="13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19245EE9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ascii="宋体" w:hAnsi="宋体" w:cs="宋体"/>
          <w:sz w:val="28"/>
          <w:szCs w:val="28"/>
        </w:rPr>
        <w:t>、负责为国家培养输送优秀体育后备人才。</w:t>
      </w:r>
    </w:p>
    <w:p w14:paraId="432C152B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t>、负责组织、选拨、培训代表岳阳市参加竞赛活动的运动员；负责组队代表岳阳市参加省以上各类运动会。</w:t>
      </w:r>
    </w:p>
    <w:p w14:paraId="12835B17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ascii="宋体" w:hAnsi="宋体" w:cs="宋体"/>
          <w:sz w:val="28"/>
          <w:szCs w:val="28"/>
        </w:rPr>
        <w:t>、负责向高等院校培养输送优秀体育人才。</w:t>
      </w:r>
    </w:p>
    <w:p w14:paraId="0FBC5343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ascii="宋体" w:hAnsi="宋体" w:cs="宋体"/>
          <w:sz w:val="28"/>
          <w:szCs w:val="28"/>
        </w:rPr>
        <w:t>、配合有关部门推动社会体育、学校体育的全面发展，促进素质教育的全面发展。</w:t>
      </w:r>
    </w:p>
    <w:p w14:paraId="40378EAB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、负责为市民游泳、射击、跆拳道等健身活动提供场所和安全保障。</w:t>
      </w:r>
    </w:p>
    <w:p w14:paraId="518D3F7B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ascii="宋体" w:hAnsi="宋体" w:cs="宋体"/>
          <w:sz w:val="28"/>
          <w:szCs w:val="28"/>
        </w:rPr>
        <w:t>、负责建立良好的教学环境和正常的教学秩序，建立规范化的文化教学和考试制度。</w:t>
      </w:r>
    </w:p>
    <w:p w14:paraId="099CBB8D">
      <w:pPr>
        <w:spacing w:line="60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7、</w:t>
      </w:r>
      <w:r>
        <w:rPr>
          <w:rFonts w:ascii="宋体" w:hAnsi="宋体" w:cs="宋体"/>
          <w:sz w:val="28"/>
          <w:szCs w:val="28"/>
        </w:rPr>
        <w:t>完成教育体育局交办的其他任务。</w:t>
      </w:r>
    </w:p>
    <w:p w14:paraId="44FC8D98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4BA543DF">
      <w:pPr>
        <w:spacing w:line="600" w:lineRule="auto"/>
        <w:ind w:firstLine="280" w:firstLineChars="100"/>
        <w:rPr>
          <w:rFonts w:ascii="Calibri" w:hAnsi="Calibri" w:eastAsia="Calibri" w:cs="Calibri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（一）内设机构设置。</w:t>
      </w:r>
    </w:p>
    <w:p w14:paraId="6B4AF17B">
      <w:pPr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市体育运动学校设</w:t>
      </w: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个内设机构：综合部、训练部、教务部、总务部、科研部。市体育运动学校为全额拨款的正科级事业单位，事业编制</w:t>
      </w:r>
      <w:r>
        <w:rPr>
          <w:rFonts w:ascii="仿宋_GB2312" w:hAnsi="仿宋_GB2312" w:eastAsia="仿宋_GB2312" w:cs="仿宋_GB2312"/>
          <w:sz w:val="28"/>
          <w:szCs w:val="28"/>
        </w:rPr>
        <w:t>36</w:t>
      </w:r>
      <w:r>
        <w:rPr>
          <w:rFonts w:ascii="宋体" w:hAnsi="宋体" w:cs="宋体"/>
          <w:sz w:val="28"/>
          <w:szCs w:val="28"/>
        </w:rPr>
        <w:t>人，在职</w:t>
      </w:r>
      <w:r>
        <w:rPr>
          <w:rFonts w:ascii="仿宋_GB2312" w:hAnsi="仿宋_GB2312" w:eastAsia="仿宋_GB2312" w:cs="仿宋_GB2312"/>
          <w:sz w:val="28"/>
          <w:szCs w:val="28"/>
        </w:rPr>
        <w:t>35</w:t>
      </w:r>
      <w:r>
        <w:rPr>
          <w:rFonts w:ascii="宋体" w:hAnsi="宋体" w:cs="宋体"/>
          <w:sz w:val="28"/>
          <w:szCs w:val="28"/>
        </w:rPr>
        <w:t>人，退休</w:t>
      </w:r>
      <w:r>
        <w:rPr>
          <w:rFonts w:ascii="仿宋_GB2312" w:hAnsi="仿宋_GB2312" w:eastAsia="仿宋_GB2312" w:cs="仿宋_GB2312"/>
          <w:sz w:val="28"/>
          <w:szCs w:val="28"/>
        </w:rPr>
        <w:t>11</w:t>
      </w:r>
      <w:r>
        <w:rPr>
          <w:rFonts w:ascii="宋体" w:hAnsi="宋体" w:cs="宋体"/>
          <w:sz w:val="28"/>
          <w:szCs w:val="28"/>
        </w:rPr>
        <w:t>人。</w:t>
      </w:r>
    </w:p>
    <w:p w14:paraId="43D92FEF">
      <w:pPr>
        <w:numPr>
          <w:ilvl w:val="0"/>
          <w:numId w:val="2"/>
        </w:numPr>
        <w:ind w:left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决算单位构成。</w:t>
      </w:r>
    </w:p>
    <w:p w14:paraId="2E10A9DD">
      <w:pPr>
        <w:rPr>
          <w:rFonts w:hint="default" w:ascii="Calibri" w:hAnsi="Calibri" w:eastAsia="宋体" w:cs="Calibri"/>
          <w:sz w:val="32"/>
          <w:szCs w:val="32"/>
          <w:lang w:val="en-US" w:eastAsia="zh-CN"/>
        </w:rPr>
      </w:pPr>
      <w:r>
        <w:rPr>
          <w:rFonts w:hint="eastAsia" w:ascii="Calibri" w:hAnsi="Calibri" w:cs="Calibri"/>
          <w:sz w:val="72"/>
          <w:lang w:val="en-US" w:eastAsia="zh-CN"/>
        </w:rPr>
        <w:t xml:space="preserve"> </w:t>
      </w:r>
      <w:r>
        <w:rPr>
          <w:rFonts w:hint="eastAsia" w:ascii="Calibri" w:hAnsi="Calibri" w:cs="Calibri"/>
          <w:sz w:val="32"/>
          <w:szCs w:val="32"/>
          <w:lang w:val="en-US" w:eastAsia="zh-CN"/>
        </w:rPr>
        <w:t>本单位无独立核算的下属单位，2024年度部门决算汇总公开单位仅包括岳阳市体育运动学校单位本级。</w:t>
      </w:r>
    </w:p>
    <w:p w14:paraId="3222DED4">
      <w:pPr>
        <w:pStyle w:val="3"/>
      </w:pPr>
    </w:p>
    <w:p w14:paraId="29263954"/>
    <w:p w14:paraId="2744A564">
      <w:pPr>
        <w:pStyle w:val="7"/>
      </w:pPr>
    </w:p>
    <w:p w14:paraId="2AB0997B">
      <w:pPr>
        <w:pStyle w:val="3"/>
      </w:pPr>
    </w:p>
    <w:p w14:paraId="00F7B304"/>
    <w:p w14:paraId="6A25A228">
      <w:pPr>
        <w:pStyle w:val="7"/>
      </w:pPr>
    </w:p>
    <w:p w14:paraId="11184AC7">
      <w:pPr>
        <w:pStyle w:val="3"/>
      </w:pPr>
    </w:p>
    <w:p w14:paraId="0F216380"/>
    <w:p w14:paraId="4E774B4C">
      <w:pPr>
        <w:pStyle w:val="7"/>
      </w:pPr>
    </w:p>
    <w:p w14:paraId="60562984">
      <w:pPr>
        <w:pStyle w:val="3"/>
      </w:pPr>
    </w:p>
    <w:p w14:paraId="549C0797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32999C6C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D333884"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5007CF10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 w14:paraId="20C5BC2F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2D289BD7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733C5347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5A9C475B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1D8257A3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171A7651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25391C5"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49D4E43B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1DD454DD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84D03C7"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57F32D94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2821DB1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7126E120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013CBF52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2EBB29F4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9C83071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7CE6DB0F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260A9274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0DCB9C01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13FEA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49FE936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1589.89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减少7.4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减少0.4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单位没有新增人员及新的项目.</w:t>
      </w:r>
    </w:p>
    <w:p w14:paraId="6482F26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7CE27E5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1589.89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1428.87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75F9522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6500A7B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1589.89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936.48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653.41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5EAA520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525EE79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1428.87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325.19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单位参加省锦标赛，导致增加经费。</w:t>
      </w:r>
    </w:p>
    <w:p w14:paraId="427FDF9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6EDCC92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 w14:paraId="0E3AD11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1207.87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单位参加省锦标赛，导致增加经费。</w:t>
      </w:r>
    </w:p>
    <w:p w14:paraId="188CD8C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 w14:paraId="51AB8200">
      <w:pPr>
        <w:ind w:firstLine="640" w:firstLineChars="2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202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32"/>
          <w:szCs w:val="32"/>
        </w:rPr>
        <w:t>年度财政拨款支出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1207.87</w:t>
      </w:r>
      <w:r>
        <w:rPr>
          <w:rFonts w:hint="eastAsia" w:ascii="宋体" w:hAnsi="宋体" w:cs="宋体"/>
          <w:color w:val="000000"/>
          <w:sz w:val="32"/>
          <w:szCs w:val="32"/>
        </w:rPr>
        <w:t>万元，主要用于以下方面：教育（类）支出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481.21</w:t>
      </w:r>
      <w:r>
        <w:rPr>
          <w:rFonts w:hint="eastAsia" w:ascii="宋体" w:hAnsi="宋体" w:cs="宋体"/>
          <w:color w:val="000000"/>
          <w:sz w:val="32"/>
          <w:szCs w:val="32"/>
        </w:rPr>
        <w:t>万元，占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40</w:t>
      </w:r>
      <w:r>
        <w:rPr>
          <w:rFonts w:hint="eastAsia" w:ascii="宋体" w:hAnsi="宋体" w:cs="宋体"/>
          <w:color w:val="000000"/>
          <w:sz w:val="32"/>
          <w:szCs w:val="32"/>
        </w:rPr>
        <w:t>%;文化旅游体育与传媒支出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632.76</w:t>
      </w:r>
      <w:r>
        <w:rPr>
          <w:rFonts w:hint="eastAsia" w:ascii="宋体" w:hAnsi="宋体" w:cs="宋体"/>
          <w:color w:val="000000"/>
          <w:sz w:val="32"/>
          <w:szCs w:val="32"/>
        </w:rPr>
        <w:t>万元，占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52</w:t>
      </w:r>
      <w:r>
        <w:rPr>
          <w:rFonts w:hint="eastAsia" w:ascii="宋体" w:hAnsi="宋体" w:cs="宋体"/>
          <w:color w:val="000000"/>
          <w:sz w:val="32"/>
          <w:szCs w:val="32"/>
        </w:rPr>
        <w:t>%；社会保障和就业支出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55.68</w:t>
      </w:r>
      <w:r>
        <w:rPr>
          <w:rFonts w:hint="eastAsia" w:ascii="宋体" w:hAnsi="宋体" w:cs="宋体"/>
          <w:color w:val="000000"/>
          <w:sz w:val="32"/>
          <w:szCs w:val="32"/>
        </w:rPr>
        <w:t>万元，占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%；卫生健康支出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0.92</w:t>
      </w:r>
      <w:r>
        <w:rPr>
          <w:rFonts w:hint="eastAsia" w:ascii="宋体" w:hAnsi="宋体" w:cs="宋体"/>
          <w:color w:val="000000"/>
          <w:sz w:val="32"/>
          <w:szCs w:val="32"/>
        </w:rPr>
        <w:t>万元，占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%；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住房保障</w:t>
      </w:r>
      <w:r>
        <w:rPr>
          <w:rFonts w:hint="eastAsia" w:ascii="宋体" w:hAnsi="宋体" w:cs="宋体"/>
          <w:color w:val="000000"/>
          <w:sz w:val="32"/>
          <w:szCs w:val="32"/>
        </w:rPr>
        <w:t>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37.3</w:t>
      </w:r>
      <w:r>
        <w:rPr>
          <w:rFonts w:hint="eastAsia" w:ascii="宋体" w:hAnsi="宋体" w:cs="宋体"/>
          <w:color w:val="000000"/>
          <w:sz w:val="32"/>
          <w:szCs w:val="32"/>
        </w:rPr>
        <w:t>万元，占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32"/>
          <w:szCs w:val="32"/>
        </w:rPr>
        <w:t>%。</w:t>
      </w:r>
    </w:p>
    <w:p w14:paraId="3A1FE3D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 w14:paraId="24D98E77">
      <w:pPr>
        <w:ind w:left="280" w:firstLine="560" w:firstLineChars="200"/>
        <w:rPr>
          <w:rFonts w:hint="default" w:ascii="宋体" w:hAnsi="宋体" w:cs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一般公共服务支出教育（类）支出-教育管理事务-一般行政管理事务-其他教育附加安排的支出年初预算为150万元，支出决算为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362</w:t>
      </w:r>
      <w:r>
        <w:rPr>
          <w:rFonts w:hint="eastAsia" w:ascii="宋体" w:hAnsi="宋体" w:cs="宋体"/>
          <w:color w:val="000000"/>
          <w:sz w:val="28"/>
          <w:szCs w:val="28"/>
        </w:rPr>
        <w:t>万元，完成年初预算的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241</w:t>
      </w:r>
      <w:r>
        <w:rPr>
          <w:rFonts w:hint="eastAsia" w:ascii="宋体" w:hAnsi="宋体" w:cs="宋体"/>
          <w:color w:val="000000"/>
          <w:sz w:val="28"/>
          <w:szCs w:val="28"/>
        </w:rPr>
        <w:t>%，决算数大于年初预算数的主要原因是：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单位新进9名教练人员</w:t>
      </w:r>
      <w:r>
        <w:rPr>
          <w:rFonts w:hint="eastAsia" w:ascii="宋体" w:hAnsi="宋体" w:cs="宋体"/>
          <w:color w:val="000000"/>
          <w:sz w:val="28"/>
          <w:szCs w:val="28"/>
        </w:rPr>
        <w:t>而增加预算，文化旅游体育与传媒支出-体育-其他体育支出年初预算为380.74万元，支出决算为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553.72</w:t>
      </w:r>
      <w:r>
        <w:rPr>
          <w:rFonts w:hint="eastAsia" w:ascii="宋体" w:hAnsi="宋体" w:cs="宋体"/>
          <w:color w:val="000000"/>
          <w:sz w:val="28"/>
          <w:szCs w:val="28"/>
        </w:rPr>
        <w:t>万元，完成年初预算的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145</w:t>
      </w:r>
      <w:r>
        <w:rPr>
          <w:rFonts w:hint="eastAsia" w:ascii="宋体" w:hAnsi="宋体" w:cs="宋体"/>
          <w:color w:val="000000"/>
          <w:sz w:val="28"/>
          <w:szCs w:val="28"/>
        </w:rPr>
        <w:t>%，决算数大于年初预算数的主要原因是：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单位新进9名教练人员</w:t>
      </w:r>
      <w:r>
        <w:rPr>
          <w:rFonts w:hint="eastAsia" w:ascii="宋体" w:hAnsi="宋体" w:cs="宋体"/>
          <w:color w:val="000000"/>
          <w:sz w:val="28"/>
          <w:szCs w:val="28"/>
        </w:rPr>
        <w:t>而增加预算，社会保障和就业支出-行政事业单位养老保险支出-其他残疾人事业支出年初预算为10万元，支出决算为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81.37</w:t>
      </w:r>
      <w:r>
        <w:rPr>
          <w:rFonts w:hint="eastAsia" w:ascii="宋体" w:hAnsi="宋体" w:cs="宋体"/>
          <w:color w:val="000000"/>
          <w:sz w:val="28"/>
          <w:szCs w:val="28"/>
        </w:rPr>
        <w:t>万元，完成年初预算的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813.7</w:t>
      </w:r>
      <w:r>
        <w:rPr>
          <w:rFonts w:hint="eastAsia" w:ascii="宋体" w:hAnsi="宋体" w:cs="宋体"/>
          <w:color w:val="000000"/>
          <w:sz w:val="28"/>
          <w:szCs w:val="28"/>
        </w:rPr>
        <w:t>%，决算数大于年初预算数的主要原因是：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单位新进9名教练人员</w:t>
      </w:r>
      <w:r>
        <w:rPr>
          <w:rFonts w:hint="eastAsia" w:ascii="宋体" w:hAnsi="宋体" w:cs="宋体"/>
          <w:color w:val="000000"/>
          <w:sz w:val="28"/>
          <w:szCs w:val="28"/>
        </w:rPr>
        <w:t>而增加预算，卫生健康支出-行政事业单位医疗-事业单位医疗年初预算为5万元，支出决算为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19.5</w:t>
      </w:r>
      <w:r>
        <w:rPr>
          <w:rFonts w:hint="eastAsia" w:ascii="宋体" w:hAnsi="宋体" w:cs="宋体"/>
          <w:color w:val="000000"/>
          <w:sz w:val="28"/>
          <w:szCs w:val="28"/>
        </w:rPr>
        <w:t>万元，完成年初预算的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390</w:t>
      </w:r>
      <w:r>
        <w:rPr>
          <w:rFonts w:hint="eastAsia" w:ascii="宋体" w:hAnsi="宋体" w:cs="宋体"/>
          <w:color w:val="000000"/>
          <w:sz w:val="28"/>
          <w:szCs w:val="28"/>
        </w:rPr>
        <w:t>%，决算数大于年初预算数的主要原因是：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单位新进9名教练人员</w:t>
      </w:r>
      <w:r>
        <w:rPr>
          <w:rFonts w:hint="eastAsia" w:ascii="宋体" w:hAnsi="宋体" w:cs="宋体"/>
          <w:color w:val="000000"/>
          <w:sz w:val="28"/>
          <w:szCs w:val="28"/>
        </w:rPr>
        <w:t>而增加预算，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住房保障支出</w:t>
      </w:r>
      <w:r>
        <w:rPr>
          <w:rFonts w:hint="eastAsia" w:ascii="宋体" w:hAnsi="宋体" w:cs="宋体"/>
          <w:color w:val="000000"/>
          <w:sz w:val="28"/>
          <w:szCs w:val="28"/>
        </w:rPr>
        <w:t>-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住房改革支出</w:t>
      </w:r>
      <w:r>
        <w:rPr>
          <w:rFonts w:hint="eastAsia" w:ascii="宋体" w:hAnsi="宋体" w:cs="宋体"/>
          <w:color w:val="000000"/>
          <w:sz w:val="28"/>
          <w:szCs w:val="28"/>
        </w:rPr>
        <w:t>-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住房公积金</w:t>
      </w:r>
      <w:r>
        <w:rPr>
          <w:rFonts w:hint="eastAsia" w:ascii="宋体" w:hAnsi="宋体" w:cs="宋体"/>
          <w:color w:val="000000"/>
          <w:sz w:val="28"/>
          <w:szCs w:val="28"/>
        </w:rPr>
        <w:t>年初预算为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37.09</w:t>
      </w:r>
      <w:r>
        <w:rPr>
          <w:rFonts w:hint="eastAsia" w:ascii="宋体" w:hAnsi="宋体" w:cs="宋体"/>
          <w:color w:val="000000"/>
          <w:sz w:val="28"/>
          <w:szCs w:val="28"/>
        </w:rPr>
        <w:t>万元，支出决算为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37.09</w:t>
      </w:r>
      <w:r>
        <w:rPr>
          <w:rFonts w:hint="eastAsia" w:ascii="宋体" w:hAnsi="宋体" w:cs="宋体"/>
          <w:color w:val="000000"/>
          <w:sz w:val="28"/>
          <w:szCs w:val="28"/>
        </w:rPr>
        <w:t>万元，完成年初预算的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%，决算数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等于</w:t>
      </w:r>
      <w:r>
        <w:rPr>
          <w:rFonts w:hint="eastAsia" w:ascii="宋体" w:hAnsi="宋体" w:cs="宋体"/>
          <w:color w:val="000000"/>
          <w:sz w:val="28"/>
          <w:szCs w:val="28"/>
        </w:rPr>
        <w:t>年初预算数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 w14:paraId="3F33362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681BC85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宋体" w:hAnsi="宋体" w:cs="宋体"/>
          <w:i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936.48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宋体" w:hAnsi="宋体" w:cs="宋体"/>
          <w:color w:val="000000"/>
          <w:sz w:val="28"/>
          <w:szCs w:val="28"/>
        </w:rPr>
        <w:t>人员经费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871.54</w:t>
      </w:r>
      <w:r>
        <w:rPr>
          <w:rFonts w:hint="eastAsia" w:ascii="宋体" w:hAnsi="宋体" w:cs="宋体"/>
          <w:color w:val="000000"/>
          <w:sz w:val="28"/>
          <w:szCs w:val="28"/>
        </w:rPr>
        <w:t>万元，占基本支出的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93</w:t>
      </w:r>
      <w:r>
        <w:rPr>
          <w:rFonts w:hint="eastAsia" w:ascii="宋体" w:hAnsi="宋体" w:cs="宋体"/>
          <w:color w:val="000000"/>
          <w:sz w:val="28"/>
          <w:szCs w:val="28"/>
        </w:rPr>
        <w:t>%,主要包括主要包括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；公用经费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64.94</w:t>
      </w:r>
      <w:r>
        <w:rPr>
          <w:rFonts w:hint="eastAsia" w:ascii="宋体" w:hAnsi="宋体" w:cs="宋体"/>
          <w:color w:val="000000"/>
          <w:sz w:val="28"/>
          <w:szCs w:val="28"/>
        </w:rPr>
        <w:t>万元，占基本支出的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8"/>
          <w:szCs w:val="28"/>
        </w:rPr>
        <w:t>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交通工具购置、文物和陈列品购置、无形资产购置、其他资本性支出、赠与。</w:t>
      </w:r>
    </w:p>
    <w:p w14:paraId="23BC724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 w14:paraId="4114FC4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万元；年初结转和结余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万元；年末结转和结余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万元。具体情况如下：</w:t>
      </w:r>
    </w:p>
    <w:p w14:paraId="3721926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其他支出=彩票公益金安排支出-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用于体育事业的彩票公益金支出。</w:t>
      </w:r>
    </w:p>
    <w:p w14:paraId="1F63A40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%，决算数大于（小于）年初预算数的主要原因是：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1DCD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 w14:paraId="7696B6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2024年度国有资本经营预算财政拨款收入0万元；年初结转和结余0万；支出0万元；年末结转和结余0万元。</w:t>
      </w:r>
    </w:p>
    <w:p w14:paraId="2EBCB2F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6E48E419">
      <w:pPr>
        <w:ind w:firstLine="705" w:firstLineChars="252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（一）“三公”经费财政拨款支出决算总体情况说明</w:t>
      </w:r>
    </w:p>
    <w:p w14:paraId="252982A9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因公出国（境）费支出预算为0万元，支出决算为0万元，由于预算数为0，无法计算完成百分比，主要原因为本年未安排因公出国（境）；与上年相比无变化，主要原因是未安排外事出访活动。</w:t>
      </w:r>
    </w:p>
    <w:p w14:paraId="026380C9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公务接待费支出预算为0万元，支出决算为0万元，决算数小于预算数的主要原因是无，与上年相比减少0万元，减少的主要原因是本年度公务接待在本单位食堂就餐。</w:t>
      </w:r>
    </w:p>
    <w:p w14:paraId="72F69CD7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公务用车购置费支出预算为0万元，支出决算为0万元，由于预算数为0，无法计算完成百分比，决算数为0，主要原因为本年未购置公务用车；与上年相比无变化，主要原因为两年均未购置公务用车。</w:t>
      </w:r>
    </w:p>
    <w:p w14:paraId="59D5CC60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公务用车运行维护费支出预算为0万元，支出决算为0万元，决算数小于预算数的主要原因是无，与上年相比减少0万元，减少的主要原因是本单位无公务车辆。</w:t>
      </w:r>
    </w:p>
    <w:p w14:paraId="2D44115B">
      <w:pPr>
        <w:ind w:firstLine="80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（二）“三公”经费财政拨款支出决算具体情况说明</w:t>
      </w:r>
    </w:p>
    <w:p w14:paraId="10D55A9E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年度“三公”经费财政拨款支出决算中，公务接待费支出决算0万元，因公出国（境）费支出决算0万元，公务用车购置费及运行维护费支出决算0万元，其中：</w:t>
      </w:r>
    </w:p>
    <w:p w14:paraId="1244A243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1、因公出国（境）费支出决算为0万元，全年安排因公出国（境）团组0个，累计0人次,开支内容包括：</w:t>
      </w:r>
    </w:p>
    <w:p w14:paraId="667C691C">
      <w:pPr>
        <w:ind w:firstLine="8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无支出0万元，主要用于无2、公务接待费支出决算为0万元，全年共接待来访团组0个、来宾0人次，主要是无发生的接待支出。</w:t>
      </w:r>
    </w:p>
    <w:p w14:paraId="4E0ADCC5">
      <w:pPr>
        <w:ind w:firstLine="64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3、公务用车购置费及运行维护费支出决算为0万元，其中：公务用车购置费0万元，0更新公务用车0辆。公务用车运行维护费0万元，主要是无支出，截止202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年12月31日，我单位开支财政拨款的公务用车保有量为0辆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本单位2023年度未购置公务用车。</w:t>
      </w:r>
    </w:p>
    <w:p w14:paraId="6F07D4D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 w14:paraId="2E52B7EF">
      <w:pPr>
        <w:ind w:firstLine="64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本部门202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8"/>
          <w:szCs w:val="28"/>
        </w:rPr>
        <w:t>年度机关运行经费支出0万元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比年初预算数（或者上年决算数）增加0万元，增长0%，主要原因是：本级或所属单位均为事业单位，按照机关运行经费的口径，本年度机关运行经费为0。</w:t>
      </w:r>
    </w:p>
    <w:p w14:paraId="3DB9A22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4DC80EAA"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年度，会议费年初预算0万元，支出决算为0万元，用于召开0会议，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人，内容为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F37EDA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培训费年初预算0万元，支出决算为0万元，用于开展0培训，人数0人，内容为无。</w:t>
      </w:r>
    </w:p>
    <w:p w14:paraId="54F8EF53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举办节庆、晚会、论坛、赛事活动年初预算0万元，支出决算为0万元，主要是无。</w:t>
      </w:r>
    </w:p>
    <w:p w14:paraId="6AF48C6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57742160">
      <w:pPr>
        <w:ind w:firstLine="64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本部门202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8"/>
          <w:szCs w:val="28"/>
        </w:rPr>
        <w:t>年度政府采购支出总额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49</w:t>
      </w:r>
      <w:r>
        <w:rPr>
          <w:rFonts w:hint="eastAsia" w:ascii="宋体" w:hAnsi="宋体" w:cs="宋体"/>
          <w:color w:val="000000"/>
          <w:sz w:val="28"/>
          <w:szCs w:val="28"/>
        </w:rPr>
        <w:t>万元，其中：政府采购货物支出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37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万元、政府采购工程支出0万元、政府采购服务支出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8"/>
          <w:szCs w:val="28"/>
        </w:rPr>
        <w:t>万元。授予中小企业合同金额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49</w:t>
      </w:r>
      <w:r>
        <w:rPr>
          <w:rFonts w:hint="eastAsia" w:ascii="宋体" w:hAnsi="宋体" w:cs="宋体"/>
          <w:color w:val="000000"/>
          <w:sz w:val="28"/>
          <w:szCs w:val="28"/>
        </w:rPr>
        <w:t>万元，占政府采购支出总额的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%，其中：授予小微企业合同金额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49</w:t>
      </w:r>
      <w:r>
        <w:rPr>
          <w:rFonts w:hint="eastAsia" w:ascii="宋体" w:hAnsi="宋体" w:cs="宋体"/>
          <w:color w:val="000000"/>
          <w:sz w:val="28"/>
          <w:szCs w:val="28"/>
        </w:rPr>
        <w:t>万元，占授予中小企业合同金额的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%；货物采购授予中小企业合同金额占货物支出金额的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%，工程采购授予中小企业合同金额占工程支出金额的0%，服务采购授予中小企业合同金额占服务支出金额的0%。</w:t>
      </w:r>
    </w:p>
    <w:p w14:paraId="6152A83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67441830">
      <w:pPr>
        <w:ind w:firstLine="64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截至202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8"/>
          <w:szCs w:val="28"/>
        </w:rPr>
        <w:t>年12月31日，部门（单位）共有车辆0辆，其中，主要领导干部用车0辆，机要通信用车0辆、应急保障用车0辆、执法执勤用车0辆、特种专业技术用车0辆、其他用车0辆，0；单位价值50万元以上通用设备0台（套）；单位价值100万元以上专用设备0台（套）。</w:t>
      </w:r>
    </w:p>
    <w:p w14:paraId="07FD2E9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509D46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 w14:paraId="73183744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 xml:space="preserve">（1）绩效管理评价工作开展情况。 </w:t>
      </w:r>
    </w:p>
    <w:p w14:paraId="6EDA5029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根据预算绩效管理要求，我部门组织对202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2"/>
          <w:sz w:val="28"/>
          <w:szCs w:val="28"/>
        </w:rPr>
        <w:t>年度一般公共预算项目支出全面开展绩效自评，重点项目1个，涉及资金12.00万元，占一般公共预算项目支出总额的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4.94</w:t>
      </w:r>
      <w:r>
        <w:rPr>
          <w:rFonts w:hint="eastAsia" w:ascii="宋体" w:hAnsi="宋体" w:cs="宋体"/>
          <w:kern w:val="2"/>
          <w:sz w:val="28"/>
          <w:szCs w:val="28"/>
        </w:rPr>
        <w:t>%。组织对202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2"/>
          <w:sz w:val="28"/>
          <w:szCs w:val="28"/>
        </w:rPr>
        <w:t>年度0个政府性基金预算项目支出开展绩效自评，共涉及资金0万元，占政府性基金预算项目支出总额的0%。组织对202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2"/>
          <w:sz w:val="28"/>
          <w:szCs w:val="28"/>
        </w:rPr>
        <w:t>年度0个国有资本经营预算项目支出开展绩效自评，共涉及资金0万元，占国有资本经营预算项目支出总额的0%。</w:t>
      </w:r>
    </w:p>
    <w:p w14:paraId="004B2497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组织对“专职保安人员经费”等1个项目开展了部门评价，涉及一般公共预算支出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kern w:val="2"/>
          <w:sz w:val="28"/>
          <w:szCs w:val="28"/>
        </w:rPr>
        <w:t>.00万元，政府性基金预算支出0万元，国有资本经营预算支出0万元。从评价情况来看, 进一步完善了评价体系,充分发挥绩效评价的杠杆作用，促进学校教育的均衡发展，力求使考核工作做到科学、合理，充分体现以人为本的核心理念。</w:t>
      </w:r>
    </w:p>
    <w:p w14:paraId="3528AC6B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组织对1个单位开展整体支出绩效评价，涉及一般公共预算支出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1053.68</w:t>
      </w:r>
      <w:r>
        <w:rPr>
          <w:rFonts w:hint="eastAsia" w:ascii="宋体" w:hAnsi="宋体" w:cs="宋体"/>
          <w:kern w:val="2"/>
          <w:sz w:val="28"/>
          <w:szCs w:val="28"/>
        </w:rPr>
        <w:t>万元，政府性基金预算支出0万元。从评价情况来看，项目建设、设备添置全部纳入财政预算，学校派人参与项目建设，完工后交付学校使用。改善了学校办学条件，从申报、立项、设计、招（投）标、施工等程序规范，促进了学校的均衡发展，资金使用达到了预期效果，有效地抑制了盲目投资和建设浪费。</w:t>
      </w:r>
    </w:p>
    <w:p w14:paraId="35B9AE9A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（2）部门决算中项目绩效自评结果。</w:t>
      </w:r>
    </w:p>
    <w:p w14:paraId="23A426B7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专职保安人员经费项目绩效自评综述：根据年初设定的绩效目标，项目绩效自评得分为95.25分。项目全年预算数为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kern w:val="2"/>
          <w:sz w:val="28"/>
          <w:szCs w:val="28"/>
        </w:rPr>
        <w:t>万元，执行数为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kern w:val="2"/>
          <w:sz w:val="28"/>
          <w:szCs w:val="28"/>
        </w:rPr>
        <w:t>万元，完成预算的100%。项目绩效目标完成情况：一是无重大校园安全责任事故；二是消除学校安全隐患，力争做到校园安全无死角；三是保全学校教学活动秩序良好，治安稳定，老师学生家长安全感提升。</w:t>
      </w:r>
    </w:p>
    <w:p w14:paraId="46D382BD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发现的主要问题及原因：一是绩效目标设置科学性有待提高。由于部分绩效指标设置不够全面，绩效指标设置的科学性、准确性有待提升；二是预算系统内绩效指标与实际项目支出绩效指标匹配性不足。下一步改进措施：一是多措并举，提高绩效管理水平；二是加强预算编制，加快资金执行效率；三是建立绩效管理制度，加强绩效运行监控。</w:t>
      </w:r>
    </w:p>
    <w:p w14:paraId="1544E27B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（3）部门评价项目绩效评价结果。</w:t>
      </w:r>
    </w:p>
    <w:p w14:paraId="4A963884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绩效管理工作开展顺利，部门决算中项目绩效自评结果为良好，部门评价项目绩效评价结果为良好，以部门为主体开展的重点绩效评价结果为良好。</w:t>
      </w:r>
    </w:p>
    <w:p w14:paraId="30B37C80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预算绩效管理开展情况、绩效目标和绩效评价报告等，一并作为附件公开。</w:t>
      </w:r>
    </w:p>
    <w:p w14:paraId="3A5F6735">
      <w:pPr>
        <w:pStyle w:val="12"/>
        <w:jc w:val="both"/>
        <w:rPr>
          <w:sz w:val="72"/>
          <w:szCs w:val="72"/>
        </w:rPr>
      </w:pPr>
    </w:p>
    <w:p w14:paraId="1987380C">
      <w:pPr>
        <w:pStyle w:val="12"/>
        <w:jc w:val="center"/>
        <w:rPr>
          <w:sz w:val="72"/>
          <w:szCs w:val="72"/>
        </w:rPr>
      </w:pPr>
    </w:p>
    <w:p w14:paraId="5EE95FAD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067D6FA4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71E8E6B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B92DC06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3BEE3E4"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3C83D0C9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3FD4B06D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00552994">
      <w:pPr>
        <w:pStyle w:val="7"/>
      </w:pPr>
    </w:p>
    <w:p w14:paraId="4FD1A9A3">
      <w:pPr>
        <w:pStyle w:val="3"/>
      </w:pPr>
    </w:p>
    <w:p w14:paraId="5E93E084"/>
    <w:p w14:paraId="39E17F5C">
      <w:pPr>
        <w:pStyle w:val="7"/>
      </w:pPr>
    </w:p>
    <w:p w14:paraId="7FCD1E62">
      <w:pPr>
        <w:pStyle w:val="3"/>
      </w:pPr>
    </w:p>
    <w:p w14:paraId="063B4325"/>
    <w:p w14:paraId="07E2ECC9">
      <w:pPr>
        <w:pStyle w:val="7"/>
      </w:pPr>
    </w:p>
    <w:p w14:paraId="6DC7E0A7">
      <w:pPr>
        <w:pStyle w:val="3"/>
      </w:pPr>
    </w:p>
    <w:p w14:paraId="2083C8D5"/>
    <w:p w14:paraId="40231F4F">
      <w:pPr>
        <w:pStyle w:val="7"/>
      </w:pPr>
    </w:p>
    <w:p w14:paraId="7D24644E">
      <w:pPr>
        <w:pStyle w:val="3"/>
      </w:pPr>
    </w:p>
    <w:p w14:paraId="41CACDBA"/>
    <w:p w14:paraId="0A78A110">
      <w:pPr>
        <w:pStyle w:val="7"/>
      </w:pPr>
    </w:p>
    <w:p w14:paraId="0D57921A">
      <w:pPr>
        <w:pStyle w:val="3"/>
      </w:pPr>
    </w:p>
    <w:p w14:paraId="6D41A7B2"/>
    <w:p w14:paraId="5E628EFB">
      <w:pPr>
        <w:pStyle w:val="7"/>
      </w:pPr>
    </w:p>
    <w:p w14:paraId="3FDF695F">
      <w:pPr>
        <w:pStyle w:val="3"/>
      </w:pPr>
    </w:p>
    <w:p w14:paraId="7434AB9D"/>
    <w:p w14:paraId="61D52977">
      <w:pPr>
        <w:pStyle w:val="7"/>
      </w:pPr>
    </w:p>
    <w:p w14:paraId="3601804D">
      <w:pPr>
        <w:pStyle w:val="3"/>
      </w:pPr>
    </w:p>
    <w:p w14:paraId="2C8B51E3"/>
    <w:p w14:paraId="0919B5C2">
      <w:pPr>
        <w:pStyle w:val="7"/>
      </w:pPr>
    </w:p>
    <w:p w14:paraId="54A55E98">
      <w:pPr>
        <w:pStyle w:val="3"/>
      </w:pPr>
    </w:p>
    <w:p w14:paraId="72EB2FD8"/>
    <w:p w14:paraId="5F60064C">
      <w:pPr>
        <w:pStyle w:val="7"/>
      </w:pPr>
    </w:p>
    <w:p w14:paraId="4D60503F">
      <w:pPr>
        <w:pStyle w:val="3"/>
      </w:pPr>
    </w:p>
    <w:p w14:paraId="04654521"/>
    <w:p w14:paraId="77F2C848">
      <w:pPr>
        <w:pStyle w:val="7"/>
      </w:pPr>
    </w:p>
    <w:p w14:paraId="772E7250">
      <w:pPr>
        <w:pStyle w:val="3"/>
      </w:pPr>
    </w:p>
    <w:p w14:paraId="4D972F89"/>
    <w:p w14:paraId="05FA5230">
      <w:pPr>
        <w:pStyle w:val="7"/>
      </w:pPr>
    </w:p>
    <w:p w14:paraId="16DEF53E">
      <w:pPr>
        <w:pStyle w:val="3"/>
      </w:pPr>
    </w:p>
    <w:p w14:paraId="4FE7E5A4">
      <w:pPr>
        <w:pStyle w:val="3"/>
      </w:pPr>
    </w:p>
    <w:p w14:paraId="5951BE99"/>
    <w:p w14:paraId="57458CC0">
      <w:pPr>
        <w:pStyle w:val="7"/>
      </w:pPr>
    </w:p>
    <w:p w14:paraId="13015333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70F72D5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3C878B7A">
      <w:pPr>
        <w:pStyle w:val="3"/>
      </w:pPr>
    </w:p>
    <w:p w14:paraId="0B04C4FB">
      <w:pPr>
        <w:pStyle w:val="7"/>
      </w:pPr>
    </w:p>
    <w:p w14:paraId="3447ED7D">
      <w:pPr>
        <w:pStyle w:val="3"/>
      </w:pPr>
    </w:p>
    <w:p w14:paraId="4A28FD08"/>
    <w:p w14:paraId="7E0AAEDF">
      <w:pPr>
        <w:pStyle w:val="7"/>
      </w:pPr>
    </w:p>
    <w:p w14:paraId="0DBD1FCE">
      <w:pPr>
        <w:pStyle w:val="3"/>
      </w:pPr>
    </w:p>
    <w:p w14:paraId="54051694"/>
    <w:p w14:paraId="6C88841E">
      <w:pPr>
        <w:pStyle w:val="7"/>
      </w:pPr>
    </w:p>
    <w:p w14:paraId="7F8A96FA">
      <w:pPr>
        <w:pStyle w:val="3"/>
      </w:pPr>
    </w:p>
    <w:p w14:paraId="25DD954E"/>
    <w:p w14:paraId="0C903864">
      <w:pPr>
        <w:pStyle w:val="7"/>
      </w:pPr>
    </w:p>
    <w:p w14:paraId="7D1B2498">
      <w:pPr>
        <w:pStyle w:val="3"/>
      </w:pPr>
    </w:p>
    <w:p w14:paraId="393662A3"/>
    <w:p w14:paraId="60FB465C">
      <w:pPr>
        <w:pStyle w:val="7"/>
      </w:pPr>
    </w:p>
    <w:p w14:paraId="181C4428">
      <w:pPr>
        <w:pStyle w:val="3"/>
      </w:pPr>
    </w:p>
    <w:p w14:paraId="6EA2892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 w14:paraId="4567CA20">
      <w:pPr>
        <w:pStyle w:val="12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5E8174C"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 w14:paraId="59DF47C5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20177A42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1、2024年部门决算公开表格</w:t>
      </w:r>
    </w:p>
    <w:p w14:paraId="74C5DD65"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 w14:paraId="33B45791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F7993B-7EE1-43FF-9C30-4A25300003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EE641B1-F254-49D1-A5B2-56119C838BB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97CAEA0-3BB9-4388-815E-D5DEB06DFF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518A949-0E76-4D02-9909-93FBDF7F700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FCA900"/>
    <w:multiLevelType w:val="singleLevel"/>
    <w:tmpl w:val="39FCA9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Dg1NmYzOWU5YmQyNGYxMGQ1NjNiZDNlYmY4NjU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9958AD"/>
    <w:rsid w:val="05A034FD"/>
    <w:rsid w:val="095249D3"/>
    <w:rsid w:val="0B08741F"/>
    <w:rsid w:val="12583BA5"/>
    <w:rsid w:val="13A02D2C"/>
    <w:rsid w:val="13BA5B9C"/>
    <w:rsid w:val="16266539"/>
    <w:rsid w:val="1658540F"/>
    <w:rsid w:val="17C414AC"/>
    <w:rsid w:val="1A69383B"/>
    <w:rsid w:val="1D97DEFF"/>
    <w:rsid w:val="1DFF72E5"/>
    <w:rsid w:val="1E3A63C6"/>
    <w:rsid w:val="1EFC6F07"/>
    <w:rsid w:val="22AC03C2"/>
    <w:rsid w:val="258F22CC"/>
    <w:rsid w:val="275D2FF8"/>
    <w:rsid w:val="2A05388F"/>
    <w:rsid w:val="2FDF85B8"/>
    <w:rsid w:val="2FFFEE04"/>
    <w:rsid w:val="31C95635"/>
    <w:rsid w:val="34AF7BFE"/>
    <w:rsid w:val="34DF85B0"/>
    <w:rsid w:val="3B8F36BC"/>
    <w:rsid w:val="3FA06C55"/>
    <w:rsid w:val="44006D4C"/>
    <w:rsid w:val="491FF225"/>
    <w:rsid w:val="4FFD214C"/>
    <w:rsid w:val="50D21A70"/>
    <w:rsid w:val="5352765A"/>
    <w:rsid w:val="53682217"/>
    <w:rsid w:val="53B32944"/>
    <w:rsid w:val="5777D4F5"/>
    <w:rsid w:val="57F573FC"/>
    <w:rsid w:val="590E02E3"/>
    <w:rsid w:val="59DD8326"/>
    <w:rsid w:val="5D1F5732"/>
    <w:rsid w:val="5DEF592A"/>
    <w:rsid w:val="5FC6BB1E"/>
    <w:rsid w:val="5FF720F1"/>
    <w:rsid w:val="604A55CF"/>
    <w:rsid w:val="649E1F3D"/>
    <w:rsid w:val="67FF5C0B"/>
    <w:rsid w:val="69DE3F10"/>
    <w:rsid w:val="6BAA4A2F"/>
    <w:rsid w:val="6EFC0924"/>
    <w:rsid w:val="6FB74722"/>
    <w:rsid w:val="6FEF8B7E"/>
    <w:rsid w:val="71A6591B"/>
    <w:rsid w:val="7234383D"/>
    <w:rsid w:val="723F4D5F"/>
    <w:rsid w:val="737D59BA"/>
    <w:rsid w:val="737F32B1"/>
    <w:rsid w:val="77361E28"/>
    <w:rsid w:val="77C37683"/>
    <w:rsid w:val="79FF515B"/>
    <w:rsid w:val="7E9E1962"/>
    <w:rsid w:val="7E9F11B4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5010</Words>
  <Characters>5341</Characters>
  <Lines>63</Lines>
  <Paragraphs>18</Paragraphs>
  <TotalTime>24</TotalTime>
  <ScaleCrop>false</ScaleCrop>
  <LinksUpToDate>false</LinksUpToDate>
  <CharactersWithSpaces>5364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音</cp:lastModifiedBy>
  <cp:lastPrinted>2024-08-08T10:20:00Z</cp:lastPrinted>
  <dcterms:modified xsi:type="dcterms:W3CDTF">2025-10-17T03:24:57Z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75C00A87B14F46B89206A0F1A429FAE7_13</vt:lpwstr>
  </property>
  <property fmtid="{D5CDD505-2E9C-101B-9397-08002B2CF9AE}" pid="4" name="KSOTemplateDocerSaveRecord">
    <vt:lpwstr>eyJoZGlkIjoiN2EzNDg1NmYzOWU5YmQyNGYxMGQ1NjNiZDNlYmY4NjUiLCJ1c2VySWQiOiIzMTAyNjc0NjQifQ==</vt:lpwstr>
  </property>
</Properties>
</file>