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B6DCFF1">
      <w:pPr>
        <w:pStyle w:val="13"/>
        <w:jc w:val="center"/>
        <w:rPr>
          <w:sz w:val="56"/>
          <w:szCs w:val="56"/>
        </w:rPr>
      </w:pPr>
    </w:p>
    <w:p w14:paraId="3BDF5AB8">
      <w:pPr>
        <w:pStyle w:val="13"/>
        <w:jc w:val="center"/>
        <w:rPr>
          <w:sz w:val="56"/>
          <w:szCs w:val="56"/>
        </w:rPr>
      </w:pPr>
    </w:p>
    <w:p w14:paraId="60CA4575">
      <w:pPr>
        <w:pStyle w:val="13"/>
        <w:jc w:val="center"/>
        <w:rPr>
          <w:sz w:val="84"/>
          <w:szCs w:val="84"/>
        </w:rPr>
      </w:pPr>
    </w:p>
    <w:p w14:paraId="215EB31D">
      <w:pPr>
        <w:pStyle w:val="13"/>
        <w:jc w:val="center"/>
        <w:rPr>
          <w:sz w:val="84"/>
          <w:szCs w:val="84"/>
        </w:rPr>
      </w:pPr>
    </w:p>
    <w:p w14:paraId="376C8602">
      <w:pPr>
        <w:pStyle w:val="13"/>
        <w:jc w:val="center"/>
        <w:rPr>
          <w:rFonts w:hint="eastAsia" w:ascii="方正小标宋_GBK" w:hAnsi="方正小标宋_GBK" w:eastAsia="方正小标宋_GBK" w:cs="方正小标宋_GBK"/>
          <w:sz w:val="84"/>
          <w:szCs w:val="84"/>
        </w:rPr>
      </w:pPr>
      <w:r>
        <w:rPr>
          <w:rFonts w:hint="eastAsia" w:ascii="方正小标宋_GBK" w:hAnsi="方正小标宋_GBK" w:eastAsia="方正小标宋_GBK" w:cs="方正小标宋_GBK"/>
          <w:sz w:val="84"/>
          <w:szCs w:val="84"/>
        </w:rPr>
        <w:t>202</w:t>
      </w:r>
      <w:r>
        <w:rPr>
          <w:rFonts w:hint="eastAsia" w:ascii="方正小标宋_GBK" w:hAnsi="方正小标宋_GBK" w:eastAsia="方正小标宋_GBK" w:cs="方正小标宋_GBK"/>
          <w:sz w:val="84"/>
          <w:szCs w:val="84"/>
          <w:lang w:val="en-US" w:eastAsia="zh-CN"/>
        </w:rPr>
        <w:t>4</w:t>
      </w:r>
      <w:r>
        <w:rPr>
          <w:rFonts w:hint="eastAsia" w:ascii="方正小标宋_GBK" w:hAnsi="方正小标宋_GBK" w:eastAsia="方正小标宋_GBK" w:cs="方正小标宋_GBK"/>
          <w:sz w:val="84"/>
          <w:szCs w:val="84"/>
        </w:rPr>
        <w:t>年度</w:t>
      </w:r>
    </w:p>
    <w:p w14:paraId="6934EBE9">
      <w:pPr>
        <w:pStyle w:val="13"/>
        <w:jc w:val="center"/>
        <w:rPr>
          <w:rFonts w:hint="eastAsia" w:ascii="方正小标宋_GBK" w:hAnsi="方正小标宋_GBK" w:eastAsia="方正小标宋_GBK" w:cs="方正小标宋_GBK"/>
          <w:sz w:val="84"/>
          <w:szCs w:val="84"/>
        </w:rPr>
      </w:pPr>
      <w:r>
        <w:rPr>
          <w:rFonts w:hint="eastAsia" w:ascii="方正小标宋_GBK" w:hAnsi="方正小标宋_GBK" w:eastAsia="方正小标宋_GBK" w:cs="方正小标宋_GBK"/>
          <w:sz w:val="84"/>
          <w:szCs w:val="84"/>
          <w:lang w:val="en-US" w:eastAsia="zh-CN"/>
        </w:rPr>
        <w:t>岳阳市岳阳中学</w:t>
      </w:r>
      <w:r>
        <w:rPr>
          <w:rFonts w:hint="eastAsia" w:ascii="方正小标宋_GBK" w:hAnsi="方正小标宋_GBK" w:eastAsia="方正小标宋_GBK" w:cs="方正小标宋_GBK"/>
          <w:sz w:val="84"/>
          <w:szCs w:val="84"/>
        </w:rPr>
        <w:t>部门决算</w:t>
      </w:r>
    </w:p>
    <w:p w14:paraId="3A699C16">
      <w:pPr>
        <w:pStyle w:val="13"/>
        <w:jc w:val="center"/>
        <w:rPr>
          <w:rFonts w:hint="eastAsia" w:ascii="方正小标宋_GBK" w:hAnsi="方正小标宋_GBK" w:eastAsia="方正小标宋_GBK" w:cs="方正小标宋_GBK"/>
          <w:sz w:val="56"/>
          <w:szCs w:val="56"/>
        </w:rPr>
      </w:pPr>
    </w:p>
    <w:p w14:paraId="72C8FB58">
      <w:pPr>
        <w:pStyle w:val="13"/>
        <w:jc w:val="center"/>
        <w:rPr>
          <w:sz w:val="56"/>
          <w:szCs w:val="56"/>
        </w:rPr>
      </w:pPr>
    </w:p>
    <w:p w14:paraId="25018D25">
      <w:pPr>
        <w:pStyle w:val="13"/>
        <w:jc w:val="center"/>
        <w:rPr>
          <w:sz w:val="56"/>
          <w:szCs w:val="56"/>
        </w:rPr>
      </w:pPr>
    </w:p>
    <w:p w14:paraId="5EE73A38">
      <w:pPr>
        <w:pStyle w:val="13"/>
        <w:jc w:val="center"/>
        <w:rPr>
          <w:sz w:val="56"/>
          <w:szCs w:val="56"/>
        </w:rPr>
      </w:pPr>
    </w:p>
    <w:p w14:paraId="297571C5">
      <w:pPr>
        <w:pStyle w:val="13"/>
        <w:jc w:val="center"/>
        <w:rPr>
          <w:sz w:val="32"/>
          <w:szCs w:val="32"/>
        </w:rPr>
      </w:pPr>
    </w:p>
    <w:p w14:paraId="08493D1E">
      <w:pPr>
        <w:pStyle w:val="13"/>
        <w:jc w:val="center"/>
        <w:rPr>
          <w:sz w:val="32"/>
          <w:szCs w:val="32"/>
        </w:rPr>
      </w:pPr>
    </w:p>
    <w:p w14:paraId="5BD6E8BD">
      <w:pPr>
        <w:pStyle w:val="13"/>
        <w:jc w:val="center"/>
        <w:rPr>
          <w:sz w:val="32"/>
          <w:szCs w:val="32"/>
        </w:rPr>
      </w:pPr>
    </w:p>
    <w:p w14:paraId="1062A3B4">
      <w:pPr>
        <w:pStyle w:val="13"/>
        <w:jc w:val="center"/>
        <w:rPr>
          <w:sz w:val="32"/>
          <w:szCs w:val="32"/>
        </w:rPr>
      </w:pPr>
    </w:p>
    <w:p w14:paraId="6311DFC7">
      <w:pPr>
        <w:pStyle w:val="13"/>
        <w:jc w:val="center"/>
        <w:rPr>
          <w:sz w:val="32"/>
          <w:szCs w:val="32"/>
        </w:rPr>
      </w:pPr>
    </w:p>
    <w:p w14:paraId="50228290">
      <w:pPr>
        <w:pStyle w:val="13"/>
        <w:spacing w:line="540" w:lineRule="exact"/>
        <w:jc w:val="center"/>
        <w:rPr>
          <w:sz w:val="56"/>
          <w:szCs w:val="56"/>
        </w:rPr>
      </w:pPr>
    </w:p>
    <w:p w14:paraId="459C483D">
      <w:pPr>
        <w:pStyle w:val="13"/>
        <w:spacing w:line="500" w:lineRule="exact"/>
        <w:jc w:val="both"/>
        <w:rPr>
          <w:b/>
          <w:sz w:val="36"/>
          <w:szCs w:val="28"/>
        </w:rPr>
      </w:pPr>
    </w:p>
    <w:p w14:paraId="24F3309B">
      <w:pPr>
        <w:pStyle w:val="13"/>
        <w:spacing w:line="500" w:lineRule="exact"/>
        <w:jc w:val="center"/>
        <w:rPr>
          <w:b/>
          <w:sz w:val="36"/>
          <w:szCs w:val="28"/>
        </w:rPr>
      </w:pPr>
      <w:r>
        <w:rPr>
          <w:rFonts w:hint="eastAsia"/>
          <w:b/>
          <w:sz w:val="36"/>
          <w:szCs w:val="28"/>
        </w:rPr>
        <w:t>目录</w:t>
      </w:r>
    </w:p>
    <w:p w14:paraId="6CBD0C22">
      <w:pPr>
        <w:pStyle w:val="13"/>
        <w:spacing w:line="500" w:lineRule="exact"/>
        <w:rPr>
          <w:rFonts w:hint="eastAsia" w:ascii="黑体" w:hAnsi="黑体" w:eastAsia="黑体" w:cs="黑体"/>
          <w:b w:val="0"/>
          <w:bCs/>
          <w:sz w:val="28"/>
          <w:szCs w:val="28"/>
        </w:rPr>
      </w:pPr>
      <w:r>
        <w:rPr>
          <w:rFonts w:hint="eastAsia" w:ascii="黑体" w:hAnsi="黑体" w:eastAsia="黑体" w:cs="黑体"/>
          <w:b w:val="0"/>
          <w:bCs/>
          <w:sz w:val="28"/>
          <w:szCs w:val="28"/>
        </w:rPr>
        <w:t>第一部分</w:t>
      </w:r>
      <w:r>
        <w:rPr>
          <w:rFonts w:hint="eastAsia" w:ascii="黑体" w:hAnsi="黑体" w:eastAsia="黑体" w:cs="黑体"/>
          <w:b w:val="0"/>
          <w:bCs/>
          <w:sz w:val="28"/>
          <w:szCs w:val="28"/>
          <w:lang w:val="en-US" w:eastAsia="zh-CN"/>
        </w:rPr>
        <w:t xml:space="preserve"> </w:t>
      </w:r>
      <w:r>
        <w:rPr>
          <w:rFonts w:hint="eastAsia" w:hAnsi="黑体" w:cs="黑体"/>
          <w:b w:val="0"/>
          <w:bCs/>
          <w:sz w:val="28"/>
          <w:szCs w:val="28"/>
          <w:lang w:val="en-US" w:eastAsia="zh-CN"/>
        </w:rPr>
        <w:t>岳阳市岳阳中学</w:t>
      </w:r>
      <w:r>
        <w:rPr>
          <w:rFonts w:hint="eastAsia" w:ascii="黑体" w:hAnsi="黑体" w:eastAsia="黑体" w:cs="黑体"/>
          <w:b w:val="0"/>
          <w:bCs/>
          <w:sz w:val="28"/>
          <w:szCs w:val="28"/>
        </w:rPr>
        <w:t>概况</w:t>
      </w:r>
    </w:p>
    <w:p w14:paraId="060CB1DC">
      <w:pPr>
        <w:pStyle w:val="13"/>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一、部门职责</w:t>
      </w:r>
    </w:p>
    <w:p w14:paraId="315E49DA">
      <w:pPr>
        <w:pStyle w:val="13"/>
        <w:spacing w:line="500" w:lineRule="exact"/>
        <w:ind w:firstLine="700" w:firstLineChars="250"/>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rPr>
        <w:t>二、机构设置</w:t>
      </w:r>
      <w:r>
        <w:rPr>
          <w:rFonts w:hint="eastAsia" w:ascii="仿宋_GB2312" w:hAnsi="仿宋_GB2312" w:eastAsia="仿宋_GB2312" w:cs="仿宋_GB2312"/>
          <w:sz w:val="28"/>
          <w:szCs w:val="28"/>
          <w:lang w:eastAsia="zh-CN"/>
        </w:rPr>
        <w:t>及决算单位构成</w:t>
      </w:r>
    </w:p>
    <w:p w14:paraId="3CE431DD">
      <w:pPr>
        <w:pStyle w:val="13"/>
        <w:spacing w:line="500" w:lineRule="exact"/>
        <w:rPr>
          <w:rFonts w:hint="eastAsia" w:ascii="黑体" w:hAnsi="黑体" w:eastAsia="黑体" w:cs="黑体"/>
          <w:b w:val="0"/>
          <w:bCs/>
          <w:sz w:val="28"/>
          <w:szCs w:val="28"/>
        </w:rPr>
      </w:pPr>
      <w:r>
        <w:rPr>
          <w:rFonts w:hint="eastAsia" w:ascii="黑体" w:hAnsi="黑体" w:eastAsia="黑体" w:cs="黑体"/>
          <w:b w:val="0"/>
          <w:bCs/>
          <w:sz w:val="28"/>
          <w:szCs w:val="28"/>
        </w:rPr>
        <w:t>第二部分</w:t>
      </w:r>
      <w:r>
        <w:rPr>
          <w:rFonts w:hint="eastAsia" w:ascii="黑体" w:hAnsi="黑体" w:eastAsia="黑体" w:cs="黑体"/>
          <w:b w:val="0"/>
          <w:bCs/>
          <w:sz w:val="28"/>
          <w:szCs w:val="28"/>
          <w:lang w:val="en-US" w:eastAsia="zh-CN"/>
        </w:rPr>
        <w:t xml:space="preserve"> </w:t>
      </w:r>
      <w:r>
        <w:rPr>
          <w:rFonts w:hint="eastAsia" w:ascii="黑体" w:hAnsi="黑体" w:eastAsia="黑体" w:cs="黑体"/>
          <w:b w:val="0"/>
          <w:bCs/>
          <w:sz w:val="28"/>
          <w:szCs w:val="28"/>
        </w:rPr>
        <w:t>部门决算表</w:t>
      </w:r>
    </w:p>
    <w:p w14:paraId="4B1DE222">
      <w:pPr>
        <w:pStyle w:val="13"/>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一、收入支出决算总表</w:t>
      </w:r>
    </w:p>
    <w:p w14:paraId="28DAEA9B">
      <w:pPr>
        <w:pStyle w:val="13"/>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二、收入决算表</w:t>
      </w:r>
    </w:p>
    <w:p w14:paraId="4189E141">
      <w:pPr>
        <w:pStyle w:val="13"/>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三、支出决算表</w:t>
      </w:r>
    </w:p>
    <w:p w14:paraId="0621647E">
      <w:pPr>
        <w:pStyle w:val="13"/>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四、财政拨款收入支出决算总表</w:t>
      </w:r>
    </w:p>
    <w:p w14:paraId="28E0B171">
      <w:pPr>
        <w:pStyle w:val="13"/>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五、一般公共预算财政拨款支出决算表</w:t>
      </w:r>
    </w:p>
    <w:p w14:paraId="0A1DA969">
      <w:pPr>
        <w:pStyle w:val="13"/>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六、一般公共预算财政拨款基本支出决算明细表</w:t>
      </w:r>
    </w:p>
    <w:p w14:paraId="62E9A333">
      <w:pPr>
        <w:pStyle w:val="13"/>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七、政府性基金预算财政拨款收入支出决算表</w:t>
      </w:r>
    </w:p>
    <w:p w14:paraId="316661B6">
      <w:pPr>
        <w:pStyle w:val="13"/>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八、国有资本经营预算财政拨款支出决算表</w:t>
      </w:r>
    </w:p>
    <w:p w14:paraId="23827588">
      <w:pPr>
        <w:pStyle w:val="13"/>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九、财政拨款“三公”经费支出决算表</w:t>
      </w:r>
    </w:p>
    <w:p w14:paraId="69B4707F">
      <w:pPr>
        <w:pStyle w:val="13"/>
        <w:spacing w:line="500" w:lineRule="exact"/>
        <w:rPr>
          <w:rFonts w:hint="eastAsia" w:ascii="黑体" w:hAnsi="黑体" w:eastAsia="黑体" w:cs="黑体"/>
          <w:b w:val="0"/>
          <w:bCs/>
          <w:sz w:val="28"/>
          <w:szCs w:val="28"/>
        </w:rPr>
      </w:pPr>
      <w:r>
        <w:rPr>
          <w:rFonts w:hint="eastAsia" w:ascii="黑体" w:hAnsi="黑体" w:eastAsia="黑体" w:cs="黑体"/>
          <w:b w:val="0"/>
          <w:bCs/>
          <w:sz w:val="28"/>
          <w:szCs w:val="28"/>
        </w:rPr>
        <w:t>第三部分</w:t>
      </w:r>
      <w:r>
        <w:rPr>
          <w:rFonts w:hint="eastAsia" w:ascii="黑体" w:hAnsi="黑体" w:eastAsia="黑体" w:cs="黑体"/>
          <w:b w:val="0"/>
          <w:bCs/>
          <w:sz w:val="28"/>
          <w:szCs w:val="28"/>
          <w:lang w:val="en-US" w:eastAsia="zh-CN"/>
        </w:rPr>
        <w:t xml:space="preserve"> </w:t>
      </w:r>
      <w:r>
        <w:rPr>
          <w:rFonts w:hint="eastAsia" w:ascii="黑体" w:hAnsi="黑体" w:eastAsia="黑体" w:cs="黑体"/>
          <w:b w:val="0"/>
          <w:bCs/>
          <w:sz w:val="28"/>
          <w:szCs w:val="28"/>
        </w:rPr>
        <w:t>部门决算情况说明</w:t>
      </w:r>
    </w:p>
    <w:p w14:paraId="30D2819C">
      <w:pPr>
        <w:pStyle w:val="13"/>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一、收入支出决算总体情况说明</w:t>
      </w:r>
    </w:p>
    <w:p w14:paraId="2F99AFEC">
      <w:pPr>
        <w:spacing w:line="500" w:lineRule="exact"/>
        <w:ind w:firstLine="700" w:firstLineChars="250"/>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二、收入决算情况说明</w:t>
      </w:r>
    </w:p>
    <w:p w14:paraId="69796A82">
      <w:pPr>
        <w:autoSpaceDE w:val="0"/>
        <w:autoSpaceDN w:val="0"/>
        <w:adjustRightInd w:val="0"/>
        <w:spacing w:line="500" w:lineRule="exact"/>
        <w:ind w:firstLine="700" w:firstLineChars="250"/>
        <w:jc w:val="left"/>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三、支出决算情况说明</w:t>
      </w:r>
    </w:p>
    <w:p w14:paraId="42F5763D">
      <w:pPr>
        <w:autoSpaceDE w:val="0"/>
        <w:autoSpaceDN w:val="0"/>
        <w:adjustRightInd w:val="0"/>
        <w:spacing w:line="500" w:lineRule="exact"/>
        <w:ind w:firstLine="700" w:firstLineChars="250"/>
        <w:jc w:val="left"/>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四、财政拨款收入支出决算总体情况说明</w:t>
      </w:r>
    </w:p>
    <w:p w14:paraId="4551B6B2">
      <w:pPr>
        <w:autoSpaceDE w:val="0"/>
        <w:autoSpaceDN w:val="0"/>
        <w:adjustRightInd w:val="0"/>
        <w:spacing w:line="500" w:lineRule="exact"/>
        <w:ind w:firstLine="700" w:firstLineChars="250"/>
        <w:jc w:val="left"/>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五、一般公共预算财政拨款支出决算情况说明</w:t>
      </w:r>
    </w:p>
    <w:p w14:paraId="0BC2CE30">
      <w:pPr>
        <w:autoSpaceDE w:val="0"/>
        <w:autoSpaceDN w:val="0"/>
        <w:adjustRightInd w:val="0"/>
        <w:spacing w:line="500" w:lineRule="exact"/>
        <w:ind w:firstLine="700" w:firstLineChars="250"/>
        <w:jc w:val="left"/>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六、一般公共预算财政拨款基本支出决算情况说明</w:t>
      </w:r>
    </w:p>
    <w:p w14:paraId="11D85543">
      <w:pPr>
        <w:keepNext w:val="0"/>
        <w:keepLines w:val="0"/>
        <w:pageBreakBefore w:val="0"/>
        <w:widowControl w:val="0"/>
        <w:kinsoku/>
        <w:wordWrap/>
        <w:overflowPunct/>
        <w:topLinePunct w:val="0"/>
        <w:autoSpaceDE w:val="0"/>
        <w:autoSpaceDN w:val="0"/>
        <w:bidi w:val="0"/>
        <w:adjustRightInd w:val="0"/>
        <w:snapToGrid/>
        <w:spacing w:line="480" w:lineRule="exact"/>
        <w:ind w:firstLine="700" w:firstLineChars="250"/>
        <w:jc w:val="left"/>
        <w:textAlignment w:val="auto"/>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七、政府性基金预算收入支出决算情况</w:t>
      </w:r>
    </w:p>
    <w:p w14:paraId="5F6B554B">
      <w:pPr>
        <w:keepNext w:val="0"/>
        <w:keepLines w:val="0"/>
        <w:pageBreakBefore w:val="0"/>
        <w:widowControl w:val="0"/>
        <w:kinsoku/>
        <w:wordWrap/>
        <w:overflowPunct/>
        <w:topLinePunct w:val="0"/>
        <w:autoSpaceDE w:val="0"/>
        <w:autoSpaceDN w:val="0"/>
        <w:bidi w:val="0"/>
        <w:adjustRightInd w:val="0"/>
        <w:snapToGrid/>
        <w:spacing w:line="480" w:lineRule="exact"/>
        <w:ind w:firstLine="700" w:firstLineChars="250"/>
        <w:jc w:val="left"/>
        <w:textAlignment w:val="auto"/>
        <w:rPr>
          <w:rFonts w:hint="eastAsia" w:ascii="仿宋_GB2312" w:hAnsi="仿宋_GB2312" w:eastAsia="仿宋_GB2312" w:cs="仿宋_GB2312"/>
          <w:color w:val="000000"/>
          <w:kern w:val="0"/>
          <w:sz w:val="28"/>
          <w:szCs w:val="28"/>
          <w:highlight w:val="yellow"/>
        </w:rPr>
      </w:pPr>
      <w:r>
        <w:rPr>
          <w:rFonts w:hint="eastAsia" w:ascii="仿宋_GB2312" w:hAnsi="仿宋_GB2312" w:eastAsia="仿宋_GB2312" w:cs="仿宋_GB2312"/>
          <w:color w:val="000000"/>
          <w:kern w:val="0"/>
          <w:sz w:val="28"/>
          <w:szCs w:val="28"/>
          <w:highlight w:val="none"/>
        </w:rPr>
        <w:t>八、</w:t>
      </w:r>
      <w:r>
        <w:rPr>
          <w:rFonts w:hint="eastAsia" w:ascii="仿宋_GB2312" w:hAnsi="仿宋_GB2312" w:eastAsia="仿宋_GB2312" w:cs="仿宋_GB2312"/>
          <w:sz w:val="28"/>
          <w:szCs w:val="28"/>
          <w:highlight w:val="none"/>
        </w:rPr>
        <w:t>国有资本经营预算财政拨款支出决算</w:t>
      </w:r>
      <w:r>
        <w:rPr>
          <w:rFonts w:hint="eastAsia" w:ascii="仿宋_GB2312" w:hAnsi="仿宋_GB2312" w:eastAsia="仿宋_GB2312" w:cs="仿宋_GB2312"/>
          <w:sz w:val="28"/>
          <w:szCs w:val="28"/>
          <w:highlight w:val="none"/>
          <w:lang w:eastAsia="zh-CN"/>
        </w:rPr>
        <w:t>情况</w:t>
      </w:r>
    </w:p>
    <w:p w14:paraId="71D9102A">
      <w:pPr>
        <w:keepNext w:val="0"/>
        <w:keepLines w:val="0"/>
        <w:pageBreakBefore w:val="0"/>
        <w:widowControl w:val="0"/>
        <w:kinsoku/>
        <w:wordWrap/>
        <w:overflowPunct/>
        <w:topLinePunct w:val="0"/>
        <w:autoSpaceDE w:val="0"/>
        <w:autoSpaceDN w:val="0"/>
        <w:bidi w:val="0"/>
        <w:adjustRightInd w:val="0"/>
        <w:snapToGrid/>
        <w:spacing w:line="480" w:lineRule="exact"/>
        <w:ind w:firstLine="700" w:firstLineChars="250"/>
        <w:jc w:val="left"/>
        <w:textAlignment w:val="auto"/>
        <w:rPr>
          <w:rFonts w:hint="eastAsia" w:ascii="仿宋_GB2312" w:hAnsi="仿宋_GB2312" w:eastAsia="仿宋_GB2312" w:cs="仿宋_GB2312"/>
          <w:color w:val="000000"/>
          <w:kern w:val="0"/>
          <w:sz w:val="28"/>
          <w:szCs w:val="28"/>
          <w:lang w:eastAsia="zh-CN"/>
        </w:rPr>
      </w:pPr>
      <w:r>
        <w:rPr>
          <w:rFonts w:hint="eastAsia" w:ascii="仿宋_GB2312" w:hAnsi="仿宋_GB2312" w:eastAsia="仿宋_GB2312" w:cs="仿宋_GB2312"/>
          <w:color w:val="000000"/>
          <w:kern w:val="0"/>
          <w:sz w:val="28"/>
          <w:szCs w:val="28"/>
        </w:rPr>
        <w:t>九、财政拨款三公经费支出决算情况说明</w:t>
      </w:r>
    </w:p>
    <w:p w14:paraId="371B64F5">
      <w:pPr>
        <w:keepNext w:val="0"/>
        <w:keepLines w:val="0"/>
        <w:pageBreakBefore w:val="0"/>
        <w:widowControl w:val="0"/>
        <w:kinsoku/>
        <w:wordWrap/>
        <w:overflowPunct/>
        <w:topLinePunct w:val="0"/>
        <w:autoSpaceDE w:val="0"/>
        <w:autoSpaceDN w:val="0"/>
        <w:bidi w:val="0"/>
        <w:adjustRightInd w:val="0"/>
        <w:snapToGrid/>
        <w:spacing w:line="480" w:lineRule="exact"/>
        <w:ind w:firstLine="700" w:firstLineChars="250"/>
        <w:jc w:val="left"/>
        <w:textAlignment w:val="auto"/>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十、关于机关运行经费支出说明</w:t>
      </w:r>
    </w:p>
    <w:p w14:paraId="1624E73C">
      <w:pPr>
        <w:keepNext w:val="0"/>
        <w:keepLines w:val="0"/>
        <w:pageBreakBefore w:val="0"/>
        <w:widowControl w:val="0"/>
        <w:kinsoku/>
        <w:wordWrap/>
        <w:overflowPunct/>
        <w:topLinePunct w:val="0"/>
        <w:autoSpaceDE w:val="0"/>
        <w:autoSpaceDN w:val="0"/>
        <w:bidi w:val="0"/>
        <w:adjustRightInd w:val="0"/>
        <w:snapToGrid/>
        <w:spacing w:line="480" w:lineRule="exact"/>
        <w:ind w:firstLine="700" w:firstLineChars="250"/>
        <w:jc w:val="left"/>
        <w:textAlignment w:val="auto"/>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十一、一般性支出情况说明</w:t>
      </w:r>
    </w:p>
    <w:p w14:paraId="6C86A3EF">
      <w:pPr>
        <w:keepNext w:val="0"/>
        <w:keepLines w:val="0"/>
        <w:pageBreakBefore w:val="0"/>
        <w:widowControl w:val="0"/>
        <w:kinsoku/>
        <w:wordWrap/>
        <w:overflowPunct/>
        <w:topLinePunct w:val="0"/>
        <w:autoSpaceDE w:val="0"/>
        <w:autoSpaceDN w:val="0"/>
        <w:bidi w:val="0"/>
        <w:adjustRightInd w:val="0"/>
        <w:snapToGrid/>
        <w:spacing w:line="480" w:lineRule="exact"/>
        <w:ind w:firstLine="700" w:firstLineChars="250"/>
        <w:jc w:val="left"/>
        <w:textAlignment w:val="auto"/>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sz w:val="28"/>
          <w:szCs w:val="28"/>
        </w:rPr>
        <w:t>十二、</w:t>
      </w:r>
      <w:r>
        <w:rPr>
          <w:rFonts w:hint="eastAsia" w:ascii="仿宋_GB2312" w:hAnsi="仿宋_GB2312" w:eastAsia="仿宋_GB2312" w:cs="仿宋_GB2312"/>
          <w:color w:val="000000"/>
          <w:kern w:val="0"/>
          <w:sz w:val="28"/>
          <w:szCs w:val="28"/>
        </w:rPr>
        <w:t>关于政府采购支出说明</w:t>
      </w:r>
    </w:p>
    <w:p w14:paraId="5E15A642">
      <w:pPr>
        <w:keepNext w:val="0"/>
        <w:keepLines w:val="0"/>
        <w:pageBreakBefore w:val="0"/>
        <w:widowControl w:val="0"/>
        <w:kinsoku/>
        <w:wordWrap/>
        <w:overflowPunct/>
        <w:topLinePunct w:val="0"/>
        <w:autoSpaceDE w:val="0"/>
        <w:autoSpaceDN w:val="0"/>
        <w:bidi w:val="0"/>
        <w:adjustRightInd w:val="0"/>
        <w:snapToGrid/>
        <w:spacing w:line="480" w:lineRule="exact"/>
        <w:ind w:firstLine="700" w:firstLineChars="250"/>
        <w:textAlignment w:val="auto"/>
        <w:rPr>
          <w:rFonts w:hint="eastAsia" w:ascii="仿宋_GB2312" w:hAnsi="仿宋_GB2312" w:eastAsia="仿宋_GB2312" w:cs="仿宋_GB2312"/>
          <w:color w:val="000000"/>
          <w:kern w:val="0"/>
          <w:sz w:val="28"/>
          <w:szCs w:val="28"/>
          <w:lang w:val="en-US" w:eastAsia="zh-CN" w:bidi="ar-SA"/>
        </w:rPr>
      </w:pPr>
      <w:r>
        <w:rPr>
          <w:rFonts w:hint="eastAsia" w:ascii="仿宋_GB2312" w:hAnsi="仿宋_GB2312" w:eastAsia="仿宋_GB2312" w:cs="仿宋_GB2312"/>
          <w:color w:val="000000"/>
          <w:kern w:val="0"/>
          <w:sz w:val="28"/>
          <w:szCs w:val="28"/>
          <w:lang w:val="en-US" w:eastAsia="zh-CN" w:bidi="ar-SA"/>
        </w:rPr>
        <w:t>十三、关于国有资产占用情况说明</w:t>
      </w:r>
    </w:p>
    <w:p w14:paraId="5BD7D26C">
      <w:pPr>
        <w:pStyle w:val="13"/>
        <w:spacing w:line="500" w:lineRule="exact"/>
        <w:ind w:firstLine="700" w:firstLineChars="250"/>
        <w:rPr>
          <w:rFonts w:hint="eastAsia" w:ascii="仿宋_GB2312" w:hAnsi="仿宋_GB2312" w:eastAsia="仿宋_GB2312" w:cs="仿宋_GB2312"/>
          <w:sz w:val="28"/>
          <w:szCs w:val="28"/>
          <w:highlight w:val="none"/>
        </w:rPr>
      </w:pPr>
      <w:r>
        <w:rPr>
          <w:rFonts w:hint="eastAsia" w:ascii="仿宋_GB2312" w:hAnsi="仿宋_GB2312" w:eastAsia="仿宋_GB2312" w:cs="仿宋_GB2312"/>
          <w:color w:val="000000"/>
          <w:kern w:val="0"/>
          <w:sz w:val="28"/>
          <w:szCs w:val="28"/>
          <w:highlight w:val="none"/>
          <w:lang w:val="en-US" w:eastAsia="zh-CN" w:bidi="ar-SA"/>
        </w:rPr>
        <w:t>十四、</w:t>
      </w:r>
      <w:r>
        <w:rPr>
          <w:rFonts w:hint="eastAsia" w:ascii="仿宋_GB2312" w:hAnsi="仿宋_GB2312" w:eastAsia="仿宋_GB2312" w:cs="仿宋_GB2312"/>
          <w:sz w:val="28"/>
          <w:szCs w:val="28"/>
          <w:highlight w:val="none"/>
        </w:rPr>
        <w:t>关于</w:t>
      </w:r>
      <w:r>
        <w:rPr>
          <w:rFonts w:hint="default" w:ascii="Times New Roman" w:hAnsi="Times New Roman" w:eastAsia="仿宋_GB2312" w:cs="Times New Roman"/>
          <w:sz w:val="28"/>
          <w:szCs w:val="28"/>
          <w:highlight w:val="none"/>
        </w:rPr>
        <w:t>202</w:t>
      </w:r>
      <w:r>
        <w:rPr>
          <w:rFonts w:hint="eastAsia" w:ascii="Times New Roman" w:hAnsi="Times New Roman" w:eastAsia="仿宋_GB2312" w:cs="Times New Roman"/>
          <w:sz w:val="28"/>
          <w:szCs w:val="28"/>
          <w:highlight w:val="none"/>
          <w:lang w:val="en-US" w:eastAsia="zh-CN"/>
        </w:rPr>
        <w:t>4</w:t>
      </w:r>
      <w:r>
        <w:rPr>
          <w:rFonts w:hint="eastAsia" w:ascii="仿宋_GB2312" w:hAnsi="仿宋_GB2312" w:eastAsia="仿宋_GB2312" w:cs="仿宋_GB2312"/>
          <w:sz w:val="28"/>
          <w:szCs w:val="28"/>
          <w:highlight w:val="none"/>
        </w:rPr>
        <w:t>年度</w:t>
      </w:r>
      <w:r>
        <w:rPr>
          <w:rFonts w:hint="eastAsia" w:ascii="仿宋_GB2312" w:hAnsi="仿宋_GB2312" w:eastAsia="仿宋_GB2312" w:cs="仿宋_GB2312"/>
          <w:sz w:val="28"/>
          <w:szCs w:val="28"/>
          <w:highlight w:val="none"/>
          <w:lang w:eastAsia="zh-CN"/>
        </w:rPr>
        <w:t>预算</w:t>
      </w:r>
      <w:r>
        <w:rPr>
          <w:rFonts w:hint="eastAsia" w:ascii="仿宋_GB2312" w:hAnsi="仿宋_GB2312" w:eastAsia="仿宋_GB2312" w:cs="仿宋_GB2312"/>
          <w:sz w:val="28"/>
          <w:szCs w:val="28"/>
          <w:highlight w:val="none"/>
        </w:rPr>
        <w:t>绩效</w:t>
      </w:r>
      <w:r>
        <w:rPr>
          <w:rFonts w:hint="eastAsia" w:ascii="仿宋_GB2312" w:hAnsi="仿宋_GB2312" w:eastAsia="仿宋_GB2312" w:cs="仿宋_GB2312"/>
          <w:sz w:val="28"/>
          <w:szCs w:val="28"/>
          <w:highlight w:val="none"/>
          <w:lang w:eastAsia="zh-CN"/>
        </w:rPr>
        <w:t>管理</w:t>
      </w:r>
      <w:r>
        <w:rPr>
          <w:rFonts w:hint="eastAsia" w:ascii="仿宋_GB2312" w:hAnsi="仿宋_GB2312" w:eastAsia="仿宋_GB2312" w:cs="仿宋_GB2312"/>
          <w:sz w:val="28"/>
          <w:szCs w:val="28"/>
          <w:highlight w:val="none"/>
        </w:rPr>
        <w:t>情况的说明</w:t>
      </w:r>
    </w:p>
    <w:p w14:paraId="51852483">
      <w:pPr>
        <w:pStyle w:val="13"/>
        <w:spacing w:line="500" w:lineRule="exact"/>
        <w:rPr>
          <w:rFonts w:hint="eastAsia" w:ascii="黑体" w:hAnsi="黑体" w:eastAsia="黑体" w:cs="黑体"/>
          <w:b w:val="0"/>
          <w:bCs/>
          <w:sz w:val="28"/>
          <w:szCs w:val="28"/>
        </w:rPr>
      </w:pPr>
      <w:r>
        <w:rPr>
          <w:rFonts w:hint="eastAsia" w:ascii="黑体" w:hAnsi="黑体" w:eastAsia="黑体" w:cs="黑体"/>
          <w:b w:val="0"/>
          <w:bCs/>
          <w:sz w:val="28"/>
          <w:szCs w:val="28"/>
        </w:rPr>
        <w:t>第四部分</w:t>
      </w:r>
      <w:r>
        <w:rPr>
          <w:rFonts w:hint="eastAsia" w:ascii="黑体" w:hAnsi="黑体" w:eastAsia="黑体" w:cs="黑体"/>
          <w:b w:val="0"/>
          <w:bCs/>
          <w:sz w:val="28"/>
          <w:szCs w:val="28"/>
          <w:lang w:val="en-US" w:eastAsia="zh-CN"/>
        </w:rPr>
        <w:t xml:space="preserve"> </w:t>
      </w:r>
      <w:r>
        <w:rPr>
          <w:rFonts w:hint="eastAsia" w:ascii="黑体" w:hAnsi="黑体" w:eastAsia="黑体" w:cs="黑体"/>
          <w:b w:val="0"/>
          <w:bCs/>
          <w:sz w:val="28"/>
          <w:szCs w:val="28"/>
        </w:rPr>
        <w:t>名词解释</w:t>
      </w:r>
    </w:p>
    <w:p w14:paraId="7D866A9C">
      <w:pPr>
        <w:pStyle w:val="13"/>
        <w:spacing w:line="500" w:lineRule="exact"/>
        <w:rPr>
          <w:rFonts w:hint="eastAsia" w:ascii="黑体" w:hAnsi="黑体" w:eastAsia="黑体" w:cs="黑体"/>
          <w:b w:val="0"/>
          <w:bCs/>
          <w:sz w:val="28"/>
          <w:szCs w:val="28"/>
          <w:lang w:eastAsia="zh-CN"/>
        </w:rPr>
      </w:pPr>
      <w:r>
        <w:rPr>
          <w:rFonts w:hint="eastAsia" w:ascii="黑体" w:hAnsi="黑体" w:eastAsia="黑体" w:cs="黑体"/>
          <w:b w:val="0"/>
          <w:bCs/>
          <w:sz w:val="28"/>
          <w:szCs w:val="28"/>
        </w:rPr>
        <w:t>第</w:t>
      </w:r>
      <w:r>
        <w:rPr>
          <w:rFonts w:hint="eastAsia" w:hAnsi="黑体" w:cs="黑体"/>
          <w:b w:val="0"/>
          <w:bCs/>
          <w:sz w:val="28"/>
          <w:szCs w:val="28"/>
          <w:lang w:eastAsia="zh-CN"/>
        </w:rPr>
        <w:t>五</w:t>
      </w:r>
      <w:r>
        <w:rPr>
          <w:rFonts w:hint="eastAsia" w:ascii="黑体" w:hAnsi="黑体" w:eastAsia="黑体" w:cs="黑体"/>
          <w:b w:val="0"/>
          <w:bCs/>
          <w:sz w:val="28"/>
          <w:szCs w:val="28"/>
        </w:rPr>
        <w:t>部分</w:t>
      </w:r>
      <w:r>
        <w:rPr>
          <w:rFonts w:hint="eastAsia" w:ascii="黑体" w:hAnsi="黑体" w:eastAsia="黑体" w:cs="黑体"/>
          <w:b w:val="0"/>
          <w:bCs/>
          <w:sz w:val="28"/>
          <w:szCs w:val="28"/>
          <w:lang w:val="en-US" w:eastAsia="zh-CN"/>
        </w:rPr>
        <w:t xml:space="preserve"> </w:t>
      </w:r>
      <w:r>
        <w:rPr>
          <w:rFonts w:hint="eastAsia" w:hAnsi="黑体" w:cs="黑体"/>
          <w:b w:val="0"/>
          <w:bCs/>
          <w:sz w:val="28"/>
          <w:szCs w:val="28"/>
          <w:lang w:eastAsia="zh-CN"/>
        </w:rPr>
        <w:t>附件</w:t>
      </w:r>
    </w:p>
    <w:p w14:paraId="2E7F14A9">
      <w:pPr>
        <w:pStyle w:val="13"/>
        <w:jc w:val="center"/>
        <w:rPr>
          <w:rFonts w:hint="eastAsia" w:ascii="方正小标宋_GBK" w:hAnsi="方正小标宋_GBK" w:eastAsia="方正小标宋_GBK" w:cs="方正小标宋_GBK"/>
          <w:sz w:val="84"/>
          <w:szCs w:val="84"/>
        </w:rPr>
      </w:pPr>
    </w:p>
    <w:p w14:paraId="1095DEAB">
      <w:pPr>
        <w:pStyle w:val="13"/>
        <w:jc w:val="center"/>
        <w:rPr>
          <w:rFonts w:hint="eastAsia" w:ascii="方正小标宋_GBK" w:hAnsi="方正小标宋_GBK" w:eastAsia="方正小标宋_GBK" w:cs="方正小标宋_GBK"/>
          <w:sz w:val="84"/>
          <w:szCs w:val="84"/>
        </w:rPr>
      </w:pPr>
    </w:p>
    <w:p w14:paraId="0DEEC249">
      <w:pPr>
        <w:pStyle w:val="13"/>
        <w:jc w:val="center"/>
        <w:rPr>
          <w:rFonts w:hint="eastAsia" w:ascii="方正小标宋_GBK" w:hAnsi="方正小标宋_GBK" w:eastAsia="方正小标宋_GBK" w:cs="方正小标宋_GBK"/>
          <w:sz w:val="84"/>
          <w:szCs w:val="84"/>
        </w:rPr>
      </w:pPr>
      <w:r>
        <w:rPr>
          <w:rFonts w:hint="eastAsia" w:ascii="方正小标宋_GBK" w:hAnsi="方正小标宋_GBK" w:eastAsia="方正小标宋_GBK" w:cs="方正小标宋_GBK"/>
          <w:sz w:val="84"/>
          <w:szCs w:val="84"/>
        </w:rPr>
        <w:t xml:space="preserve">第一部分 </w:t>
      </w:r>
    </w:p>
    <w:p w14:paraId="5C6A94F8">
      <w:pPr>
        <w:pStyle w:val="13"/>
        <w:jc w:val="center"/>
        <w:rPr>
          <w:rFonts w:hint="eastAsia" w:ascii="方正小标宋_GBK" w:hAnsi="方正小标宋_GBK" w:eastAsia="方正小标宋_GBK" w:cs="方正小标宋_GBK"/>
          <w:sz w:val="84"/>
          <w:szCs w:val="84"/>
        </w:rPr>
      </w:pPr>
    </w:p>
    <w:p w14:paraId="5EF69A9D">
      <w:pPr>
        <w:jc w:val="center"/>
        <w:rPr>
          <w:rFonts w:hint="eastAsia" w:ascii="方正小标宋_GBK" w:hAnsi="方正小标宋_GBK" w:eastAsia="方正小标宋_GBK" w:cs="方正小标宋_GBK"/>
          <w:sz w:val="84"/>
          <w:szCs w:val="84"/>
        </w:rPr>
      </w:pPr>
      <w:r>
        <w:rPr>
          <w:rFonts w:hint="eastAsia" w:ascii="方正小标宋_GBK" w:hAnsi="方正小标宋_GBK" w:eastAsia="方正小标宋_GBK" w:cs="方正小标宋_GBK"/>
          <w:sz w:val="84"/>
          <w:szCs w:val="84"/>
          <w:lang w:val="en-US" w:eastAsia="zh-CN"/>
        </w:rPr>
        <w:t>岳阳市岳阳中学</w:t>
      </w:r>
      <w:r>
        <w:rPr>
          <w:rFonts w:hint="eastAsia" w:ascii="方正小标宋_GBK" w:hAnsi="方正小标宋_GBK" w:eastAsia="方正小标宋_GBK" w:cs="方正小标宋_GBK"/>
          <w:sz w:val="84"/>
          <w:szCs w:val="84"/>
        </w:rPr>
        <w:t>概况</w:t>
      </w:r>
    </w:p>
    <w:p w14:paraId="77A0C778">
      <w:pPr>
        <w:pStyle w:val="2"/>
        <w:rPr>
          <w:rFonts w:hint="eastAsia" w:ascii="方正小标宋_GBK" w:hAnsi="方正小标宋_GBK" w:eastAsia="方正小标宋_GBK" w:cs="方正小标宋_GBK"/>
          <w:sz w:val="84"/>
          <w:szCs w:val="84"/>
        </w:rPr>
      </w:pPr>
    </w:p>
    <w:p w14:paraId="397AC3FB">
      <w:pPr>
        <w:pStyle w:val="3"/>
        <w:rPr>
          <w:rFonts w:hint="eastAsia" w:ascii="方正小标宋_GBK" w:hAnsi="方正小标宋_GBK" w:eastAsia="方正小标宋_GBK" w:cs="方正小标宋_GBK"/>
          <w:sz w:val="84"/>
          <w:szCs w:val="84"/>
        </w:rPr>
      </w:pPr>
    </w:p>
    <w:p w14:paraId="13F2C40A">
      <w:pPr>
        <w:rPr>
          <w:rFonts w:hint="eastAsia" w:ascii="方正小标宋_GBK" w:hAnsi="方正小标宋_GBK" w:eastAsia="方正小标宋_GBK" w:cs="方正小标宋_GBK"/>
          <w:sz w:val="84"/>
          <w:szCs w:val="84"/>
        </w:rPr>
      </w:pPr>
    </w:p>
    <w:p w14:paraId="128B0AE2">
      <w:pPr>
        <w:pStyle w:val="2"/>
        <w:rPr>
          <w:rFonts w:hint="eastAsia" w:ascii="方正小标宋_GBK" w:hAnsi="方正小标宋_GBK" w:eastAsia="方正小标宋_GBK" w:cs="方正小标宋_GBK"/>
          <w:sz w:val="84"/>
          <w:szCs w:val="84"/>
        </w:rPr>
      </w:pPr>
    </w:p>
    <w:p w14:paraId="1469560B">
      <w:pPr>
        <w:pStyle w:val="3"/>
        <w:rPr>
          <w:rFonts w:hint="eastAsia" w:ascii="方正小标宋_GBK" w:hAnsi="方正小标宋_GBK" w:eastAsia="方正小标宋_GBK" w:cs="方正小标宋_GBK"/>
          <w:sz w:val="84"/>
          <w:szCs w:val="84"/>
        </w:rPr>
      </w:pPr>
    </w:p>
    <w:p w14:paraId="55E857AF">
      <w:pPr>
        <w:pStyle w:val="14"/>
        <w:numPr>
          <w:ilvl w:val="0"/>
          <w:numId w:val="1"/>
        </w:numPr>
        <w:ind w:firstLineChars="0"/>
        <w:jc w:val="left"/>
        <w:rPr>
          <w:rFonts w:hint="eastAsia" w:ascii="黑体" w:hAnsi="黑体" w:eastAsia="黑体" w:cs="黑体"/>
          <w:b w:val="0"/>
          <w:bCs w:val="0"/>
          <w:sz w:val="32"/>
          <w:szCs w:val="32"/>
        </w:rPr>
      </w:pPr>
      <w:r>
        <w:rPr>
          <w:rFonts w:hint="eastAsia" w:ascii="黑体" w:hAnsi="黑体" w:eastAsia="黑体" w:cs="黑体"/>
          <w:b w:val="0"/>
          <w:bCs w:val="0"/>
          <w:sz w:val="32"/>
          <w:szCs w:val="32"/>
        </w:rPr>
        <w:t>部门职责</w:t>
      </w:r>
    </w:p>
    <w:p w14:paraId="7159559E">
      <w:pPr>
        <w:keepNext/>
        <w:keepLines/>
        <w:shd w:val="clear" w:color="auto" w:fill="FFFFFF"/>
        <w:ind w:firstLine="640"/>
        <w:jc w:val="left"/>
        <w:rPr>
          <w:rFonts w:ascii="Times New Roman" w:hAnsi="Times New Roman" w:eastAsia="仿宋_GB2312" w:cs="仿宋_GB2312"/>
          <w:sz w:val="32"/>
          <w:szCs w:val="32"/>
        </w:rPr>
      </w:pPr>
      <w:r>
        <w:rPr>
          <w:rFonts w:hint="eastAsia" w:ascii="Times New Roman" w:hAnsi="Times New Roman" w:eastAsia="仿宋_GB2312" w:cs="仿宋_GB2312"/>
          <w:sz w:val="32"/>
          <w:szCs w:val="32"/>
        </w:rPr>
        <w:t>（一）办公室负责行政协调、党务、宣传、人事、计生、工资福利及有关内部事务的管理；</w:t>
      </w:r>
    </w:p>
    <w:p w14:paraId="1875D227">
      <w:pPr>
        <w:keepNext/>
        <w:keepLines/>
        <w:shd w:val="clear" w:color="auto" w:fill="FFFFFF"/>
        <w:ind w:firstLine="640"/>
        <w:jc w:val="left"/>
        <w:rPr>
          <w:rFonts w:ascii="Times New Roman" w:hAnsi="Times New Roman" w:eastAsia="仿宋_GB2312" w:cs="仿宋_GB2312"/>
          <w:sz w:val="32"/>
          <w:szCs w:val="32"/>
        </w:rPr>
      </w:pPr>
      <w:r>
        <w:rPr>
          <w:rFonts w:hint="eastAsia" w:ascii="Times New Roman" w:hAnsi="Times New Roman" w:eastAsia="仿宋_GB2312" w:cs="仿宋_GB2312"/>
          <w:sz w:val="32"/>
          <w:szCs w:val="32"/>
        </w:rPr>
        <w:t>（二）教务处负责学校教育教学常规管理，以及有关教育教学的场、馆、室和设备的管理；</w:t>
      </w:r>
    </w:p>
    <w:p w14:paraId="3AEAB12B">
      <w:pPr>
        <w:keepNext/>
        <w:keepLines/>
        <w:shd w:val="clear" w:color="auto" w:fill="FFFFFF"/>
        <w:ind w:firstLine="640"/>
        <w:jc w:val="left"/>
        <w:rPr>
          <w:rFonts w:ascii="Times New Roman" w:hAnsi="Times New Roman" w:eastAsia="仿宋_GB2312" w:cs="仿宋_GB2312"/>
          <w:sz w:val="32"/>
          <w:szCs w:val="32"/>
        </w:rPr>
      </w:pPr>
      <w:r>
        <w:rPr>
          <w:rFonts w:hint="eastAsia" w:ascii="Times New Roman" w:hAnsi="Times New Roman" w:eastAsia="仿宋_GB2312" w:cs="仿宋_GB2312"/>
          <w:sz w:val="32"/>
          <w:szCs w:val="32"/>
        </w:rPr>
        <w:t>（三）德育处负责学校德育工作、班主任工作管理和学生思想政治教育，抓好校园保卫和环保工作；</w:t>
      </w:r>
    </w:p>
    <w:p w14:paraId="55AC0151">
      <w:pPr>
        <w:keepNext/>
        <w:keepLines/>
        <w:shd w:val="clear" w:color="auto" w:fill="FFFFFF"/>
        <w:ind w:firstLine="640"/>
        <w:jc w:val="left"/>
        <w:rPr>
          <w:rFonts w:ascii="Times New Roman" w:hAnsi="Times New Roman" w:eastAsia="仿宋_GB2312" w:cs="仿宋_GB2312"/>
          <w:sz w:val="32"/>
          <w:szCs w:val="32"/>
        </w:rPr>
      </w:pPr>
      <w:r>
        <w:rPr>
          <w:rFonts w:hint="eastAsia" w:ascii="Times New Roman" w:hAnsi="Times New Roman" w:eastAsia="仿宋_GB2312" w:cs="仿宋_GB2312"/>
          <w:sz w:val="32"/>
          <w:szCs w:val="32"/>
        </w:rPr>
        <w:t>（四）教研处负责制定学校科研计划，指导教师开展教学科研和课题研究工作；</w:t>
      </w:r>
    </w:p>
    <w:p w14:paraId="2D00B5D0">
      <w:pPr>
        <w:widowControl/>
        <w:spacing w:line="600" w:lineRule="exact"/>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（五）后勤处负责学校后勤事务、财务、物业管理，优化校园建设，指导后勤服务中心开展工作，发展校园经济。</w:t>
      </w:r>
    </w:p>
    <w:p w14:paraId="2DC82B10">
      <w:pPr>
        <w:widowControl/>
        <w:spacing w:line="600" w:lineRule="exact"/>
        <w:rPr>
          <w:rFonts w:hint="eastAsia" w:ascii="黑体" w:hAnsi="黑体" w:eastAsia="黑体" w:cs="黑体"/>
          <w:b w:val="0"/>
          <w:bCs/>
          <w:kern w:val="0"/>
          <w:sz w:val="32"/>
          <w:szCs w:val="32"/>
        </w:rPr>
      </w:pPr>
      <w:r>
        <w:rPr>
          <w:rFonts w:hint="eastAsia" w:ascii="黑体" w:hAnsi="黑体" w:eastAsia="黑体" w:cs="黑体"/>
          <w:b w:val="0"/>
          <w:bCs/>
          <w:kern w:val="0"/>
          <w:sz w:val="32"/>
          <w:szCs w:val="32"/>
        </w:rPr>
        <w:t>二、机构设置及决算单位构成</w:t>
      </w:r>
    </w:p>
    <w:p w14:paraId="58B54CC0">
      <w:pPr>
        <w:widowControl/>
        <w:spacing w:line="600" w:lineRule="exact"/>
        <w:rPr>
          <w:rFonts w:ascii="Times New Roman" w:hAnsi="Times New Roman" w:eastAsia="仿宋_GB2312" w:cs="仿宋_GB2312"/>
          <w:bCs/>
          <w:kern w:val="0"/>
          <w:sz w:val="32"/>
          <w:szCs w:val="32"/>
        </w:rPr>
      </w:pPr>
      <w:r>
        <w:rPr>
          <w:rFonts w:hint="eastAsia" w:ascii="Times New Roman" w:hAnsi="Times New Roman" w:eastAsia="仿宋_GB2312" w:cs="仿宋_GB2312"/>
          <w:bCs/>
          <w:kern w:val="0"/>
          <w:sz w:val="32"/>
          <w:szCs w:val="32"/>
        </w:rPr>
        <w:t>（一）内设机构设置。我校现有组织机构1个，内设5个部门：办公室、教务处、德育处、教研处、后勤处。</w:t>
      </w:r>
    </w:p>
    <w:p w14:paraId="78B6FD8F">
      <w:pPr>
        <w:widowControl/>
        <w:spacing w:line="600" w:lineRule="exact"/>
        <w:rPr>
          <w:rFonts w:ascii="Times New Roman" w:hAnsi="Times New Roman" w:eastAsia="仿宋_GB2312" w:cs="仿宋_GB2312"/>
          <w:bCs/>
          <w:kern w:val="0"/>
          <w:sz w:val="32"/>
          <w:szCs w:val="32"/>
        </w:rPr>
      </w:pPr>
      <w:r>
        <w:rPr>
          <w:rFonts w:hint="eastAsia" w:ascii="Times New Roman" w:hAnsi="Times New Roman" w:eastAsia="仿宋_GB2312" w:cs="仿宋_GB2312"/>
          <w:bCs/>
          <w:kern w:val="0"/>
          <w:sz w:val="32"/>
          <w:szCs w:val="32"/>
        </w:rPr>
        <w:t>（二）决算单位构成。本单位无独立核算的下属单位，202</w:t>
      </w:r>
      <w:r>
        <w:rPr>
          <w:rFonts w:hint="eastAsia" w:ascii="Times New Roman" w:hAnsi="Times New Roman" w:eastAsia="仿宋_GB2312" w:cs="仿宋_GB2312"/>
          <w:bCs/>
          <w:kern w:val="0"/>
          <w:sz w:val="32"/>
          <w:szCs w:val="32"/>
          <w:lang w:val="en-US" w:eastAsia="zh-CN"/>
        </w:rPr>
        <w:t>4</w:t>
      </w:r>
      <w:r>
        <w:rPr>
          <w:rFonts w:hint="eastAsia" w:ascii="Times New Roman" w:hAnsi="Times New Roman" w:eastAsia="仿宋_GB2312" w:cs="仿宋_GB2312"/>
          <w:bCs/>
          <w:kern w:val="0"/>
          <w:sz w:val="32"/>
          <w:szCs w:val="32"/>
        </w:rPr>
        <w:t>年度部门决算汇总公开单位仅包括岳阳市岳阳中学本级。</w:t>
      </w:r>
    </w:p>
    <w:p w14:paraId="56B4CFA1">
      <w:pPr>
        <w:widowControl/>
        <w:spacing w:line="600" w:lineRule="exact"/>
        <w:rPr>
          <w:rFonts w:hint="eastAsia" w:ascii="Times New Roman" w:hAnsi="Times New Roman" w:eastAsia="仿宋_GB2312" w:cs="仿宋_GB2312"/>
          <w:bCs/>
          <w:kern w:val="0"/>
          <w:sz w:val="32"/>
          <w:szCs w:val="32"/>
        </w:rPr>
      </w:pPr>
    </w:p>
    <w:p w14:paraId="38152785"/>
    <w:p w14:paraId="3CE56614">
      <w:pPr>
        <w:pStyle w:val="2"/>
      </w:pPr>
    </w:p>
    <w:p w14:paraId="70B4D569">
      <w:pPr>
        <w:pStyle w:val="3"/>
      </w:pPr>
    </w:p>
    <w:p w14:paraId="5B1D6CBC"/>
    <w:p w14:paraId="7D6C31E4">
      <w:pPr>
        <w:pStyle w:val="2"/>
      </w:pPr>
    </w:p>
    <w:p w14:paraId="056E4ECA">
      <w:pPr>
        <w:pStyle w:val="3"/>
      </w:pPr>
    </w:p>
    <w:p w14:paraId="3288C9C5"/>
    <w:p w14:paraId="14507043">
      <w:pPr>
        <w:pStyle w:val="2"/>
      </w:pPr>
    </w:p>
    <w:p w14:paraId="465EA8BD">
      <w:pPr>
        <w:pStyle w:val="3"/>
      </w:pPr>
    </w:p>
    <w:p w14:paraId="49E51758"/>
    <w:p w14:paraId="3DC8C6CD">
      <w:pPr>
        <w:pStyle w:val="2"/>
      </w:pPr>
    </w:p>
    <w:p w14:paraId="36E702E5">
      <w:pPr>
        <w:pStyle w:val="3"/>
      </w:pPr>
    </w:p>
    <w:p w14:paraId="0416550A"/>
    <w:p w14:paraId="28B49BCE">
      <w:pPr>
        <w:pStyle w:val="2"/>
      </w:pPr>
    </w:p>
    <w:p w14:paraId="43291855">
      <w:pPr>
        <w:pStyle w:val="3"/>
      </w:pPr>
    </w:p>
    <w:p w14:paraId="7CD92489"/>
    <w:p w14:paraId="5267F12B">
      <w:pPr>
        <w:pStyle w:val="2"/>
      </w:pPr>
    </w:p>
    <w:p w14:paraId="28828498">
      <w:pPr>
        <w:pStyle w:val="3"/>
      </w:pPr>
    </w:p>
    <w:p w14:paraId="04E62672"/>
    <w:p w14:paraId="1D6D7A8B">
      <w:pPr>
        <w:pStyle w:val="2"/>
      </w:pPr>
    </w:p>
    <w:p w14:paraId="2E47952B">
      <w:pPr>
        <w:pStyle w:val="3"/>
      </w:pPr>
    </w:p>
    <w:p w14:paraId="18A19BE5"/>
    <w:p w14:paraId="7CCBF86D">
      <w:pPr>
        <w:pStyle w:val="2"/>
      </w:pPr>
    </w:p>
    <w:p w14:paraId="0017F5EC">
      <w:pPr>
        <w:pStyle w:val="3"/>
      </w:pPr>
    </w:p>
    <w:p w14:paraId="76181D4E"/>
    <w:p w14:paraId="1A174866">
      <w:pPr>
        <w:pStyle w:val="13"/>
        <w:jc w:val="center"/>
        <w:rPr>
          <w:rFonts w:hint="eastAsia" w:ascii="方正小标宋_GBK" w:hAnsi="方正小标宋_GBK" w:eastAsia="方正小标宋_GBK" w:cs="方正小标宋_GBK"/>
          <w:sz w:val="84"/>
          <w:szCs w:val="84"/>
        </w:rPr>
      </w:pPr>
    </w:p>
    <w:p w14:paraId="2B49F2B7">
      <w:pPr>
        <w:pStyle w:val="13"/>
        <w:jc w:val="center"/>
        <w:rPr>
          <w:rFonts w:hint="eastAsia" w:ascii="方正小标宋_GBK" w:hAnsi="方正小标宋_GBK" w:eastAsia="方正小标宋_GBK" w:cs="方正小标宋_GBK"/>
          <w:sz w:val="84"/>
          <w:szCs w:val="84"/>
        </w:rPr>
      </w:pPr>
    </w:p>
    <w:p w14:paraId="661BBFC8">
      <w:pPr>
        <w:pStyle w:val="13"/>
        <w:jc w:val="center"/>
        <w:rPr>
          <w:rFonts w:hint="eastAsia" w:ascii="方正小标宋_GBK" w:hAnsi="方正小标宋_GBK" w:eastAsia="方正小标宋_GBK" w:cs="方正小标宋_GBK"/>
          <w:sz w:val="84"/>
          <w:szCs w:val="84"/>
        </w:rPr>
      </w:pPr>
      <w:r>
        <w:rPr>
          <w:rFonts w:hint="eastAsia" w:ascii="方正小标宋_GBK" w:hAnsi="方正小标宋_GBK" w:eastAsia="方正小标宋_GBK" w:cs="方正小标宋_GBK"/>
          <w:sz w:val="84"/>
          <w:szCs w:val="84"/>
        </w:rPr>
        <w:t>第二部分</w:t>
      </w:r>
    </w:p>
    <w:p w14:paraId="5FB02ED5">
      <w:pPr>
        <w:pStyle w:val="13"/>
        <w:jc w:val="center"/>
        <w:rPr>
          <w:rFonts w:hint="eastAsia" w:ascii="方正小标宋_GBK" w:hAnsi="方正小标宋_GBK" w:eastAsia="方正小标宋_GBK" w:cs="方正小标宋_GBK"/>
          <w:sz w:val="84"/>
          <w:szCs w:val="84"/>
        </w:rPr>
      </w:pPr>
    </w:p>
    <w:p w14:paraId="3860F185">
      <w:pPr>
        <w:pStyle w:val="13"/>
        <w:jc w:val="center"/>
        <w:rPr>
          <w:rFonts w:hint="eastAsia" w:ascii="方正小标宋_GBK" w:hAnsi="方正小标宋_GBK" w:eastAsia="方正小标宋_GBK" w:cs="方正小标宋_GBK"/>
          <w:sz w:val="84"/>
          <w:szCs w:val="84"/>
        </w:rPr>
      </w:pPr>
      <w:r>
        <w:rPr>
          <w:rFonts w:hint="eastAsia" w:ascii="方正小标宋_GBK" w:hAnsi="方正小标宋_GBK" w:eastAsia="方正小标宋_GBK" w:cs="方正小标宋_GBK"/>
          <w:sz w:val="84"/>
          <w:szCs w:val="84"/>
        </w:rPr>
        <w:t>部门决算表</w:t>
      </w:r>
    </w:p>
    <w:p w14:paraId="50A5962C">
      <w:pPr>
        <w:pStyle w:val="13"/>
        <w:jc w:val="center"/>
        <w:rPr>
          <w:rFonts w:hint="eastAsia" w:ascii="仿宋_GB2312" w:hAnsi="仿宋_GB2312" w:eastAsia="仿宋_GB2312" w:cs="仿宋_GB2312"/>
          <w:b w:val="0"/>
          <w:bCs w:val="0"/>
          <w:sz w:val="72"/>
          <w:szCs w:val="72"/>
          <w:lang w:eastAsia="zh-CN"/>
        </w:rPr>
      </w:pPr>
      <w:r>
        <w:rPr>
          <w:rFonts w:hint="eastAsia" w:ascii="仿宋_GB2312" w:hAnsi="仿宋_GB2312" w:eastAsia="仿宋_GB2312" w:cs="仿宋_GB2312"/>
          <w:b w:val="0"/>
          <w:bCs w:val="0"/>
          <w:sz w:val="72"/>
          <w:szCs w:val="72"/>
          <w:lang w:eastAsia="zh-CN"/>
        </w:rPr>
        <w:t>（见附件）</w:t>
      </w:r>
    </w:p>
    <w:p w14:paraId="325AF5B5">
      <w:pPr>
        <w:pStyle w:val="13"/>
        <w:jc w:val="center"/>
        <w:rPr>
          <w:rFonts w:hint="eastAsia" w:ascii="仿宋_GB2312" w:hAnsi="仿宋_GB2312" w:eastAsia="仿宋_GB2312" w:cs="仿宋_GB2312"/>
          <w:b w:val="0"/>
          <w:bCs w:val="0"/>
          <w:sz w:val="72"/>
          <w:szCs w:val="72"/>
          <w:lang w:eastAsia="zh-CN"/>
        </w:rPr>
      </w:pPr>
    </w:p>
    <w:p w14:paraId="0568D1B8">
      <w:pPr>
        <w:pStyle w:val="13"/>
        <w:jc w:val="center"/>
        <w:rPr>
          <w:rFonts w:hint="eastAsia" w:ascii="仿宋_GB2312" w:hAnsi="仿宋_GB2312" w:eastAsia="仿宋_GB2312" w:cs="仿宋_GB2312"/>
          <w:b w:val="0"/>
          <w:bCs w:val="0"/>
          <w:sz w:val="72"/>
          <w:szCs w:val="72"/>
          <w:lang w:eastAsia="zh-CN"/>
        </w:rPr>
      </w:pPr>
    </w:p>
    <w:p w14:paraId="5C65B646">
      <w:pPr>
        <w:pStyle w:val="13"/>
        <w:jc w:val="center"/>
        <w:rPr>
          <w:rFonts w:hint="eastAsia" w:ascii="仿宋_GB2312" w:hAnsi="仿宋_GB2312" w:eastAsia="仿宋_GB2312" w:cs="仿宋_GB2312"/>
          <w:b w:val="0"/>
          <w:bCs w:val="0"/>
          <w:sz w:val="72"/>
          <w:szCs w:val="72"/>
          <w:lang w:eastAsia="zh-CN"/>
        </w:rPr>
      </w:pPr>
    </w:p>
    <w:p w14:paraId="62EA5E89">
      <w:pPr>
        <w:pStyle w:val="13"/>
        <w:jc w:val="center"/>
        <w:rPr>
          <w:rFonts w:hint="eastAsia" w:ascii="仿宋_GB2312" w:hAnsi="仿宋_GB2312" w:eastAsia="仿宋_GB2312" w:cs="仿宋_GB2312"/>
          <w:b w:val="0"/>
          <w:bCs w:val="0"/>
          <w:sz w:val="72"/>
          <w:szCs w:val="72"/>
          <w:lang w:eastAsia="zh-CN"/>
        </w:rPr>
      </w:pPr>
    </w:p>
    <w:p w14:paraId="63BFFD84">
      <w:pPr>
        <w:pStyle w:val="13"/>
        <w:jc w:val="center"/>
        <w:rPr>
          <w:rFonts w:hint="eastAsia" w:ascii="仿宋_GB2312" w:hAnsi="仿宋_GB2312" w:eastAsia="仿宋_GB2312" w:cs="仿宋_GB2312"/>
          <w:b w:val="0"/>
          <w:bCs w:val="0"/>
          <w:sz w:val="72"/>
          <w:szCs w:val="72"/>
          <w:lang w:eastAsia="zh-CN"/>
        </w:rPr>
      </w:pPr>
    </w:p>
    <w:p w14:paraId="4565BABE">
      <w:pPr>
        <w:pStyle w:val="13"/>
        <w:jc w:val="center"/>
        <w:rPr>
          <w:rFonts w:hint="eastAsia" w:ascii="仿宋_GB2312" w:hAnsi="仿宋_GB2312" w:eastAsia="仿宋_GB2312" w:cs="仿宋_GB2312"/>
          <w:b w:val="0"/>
          <w:bCs w:val="0"/>
          <w:sz w:val="72"/>
          <w:szCs w:val="72"/>
          <w:lang w:eastAsia="zh-CN"/>
        </w:rPr>
      </w:pPr>
    </w:p>
    <w:p w14:paraId="6EEAB3EF">
      <w:pPr>
        <w:pStyle w:val="13"/>
        <w:jc w:val="center"/>
        <w:rPr>
          <w:rFonts w:hint="eastAsia" w:ascii="仿宋_GB2312" w:hAnsi="仿宋_GB2312" w:eastAsia="仿宋_GB2312" w:cs="仿宋_GB2312"/>
          <w:b w:val="0"/>
          <w:bCs w:val="0"/>
          <w:sz w:val="72"/>
          <w:szCs w:val="72"/>
          <w:lang w:eastAsia="zh-CN"/>
        </w:rPr>
      </w:pPr>
    </w:p>
    <w:p w14:paraId="603C04A7">
      <w:pPr>
        <w:pStyle w:val="13"/>
        <w:jc w:val="center"/>
        <w:rPr>
          <w:rFonts w:hint="eastAsia" w:ascii="方正小标宋_GBK" w:hAnsi="方正小标宋_GBK" w:eastAsia="方正小标宋_GBK" w:cs="方正小标宋_GBK"/>
          <w:sz w:val="72"/>
          <w:szCs w:val="72"/>
        </w:rPr>
      </w:pPr>
    </w:p>
    <w:p w14:paraId="7A44A82E">
      <w:pPr>
        <w:pStyle w:val="13"/>
        <w:jc w:val="center"/>
        <w:rPr>
          <w:rFonts w:hint="eastAsia" w:ascii="方正小标宋_GBK" w:hAnsi="方正小标宋_GBK" w:eastAsia="方正小标宋_GBK" w:cs="方正小标宋_GBK"/>
          <w:sz w:val="72"/>
          <w:szCs w:val="72"/>
        </w:rPr>
      </w:pPr>
    </w:p>
    <w:p w14:paraId="06211665">
      <w:pPr>
        <w:pStyle w:val="13"/>
        <w:jc w:val="both"/>
        <w:rPr>
          <w:rFonts w:hint="eastAsia" w:ascii="方正小标宋_GBK" w:hAnsi="方正小标宋_GBK" w:eastAsia="方正小标宋_GBK" w:cs="方正小标宋_GBK"/>
          <w:sz w:val="72"/>
          <w:szCs w:val="72"/>
        </w:rPr>
      </w:pPr>
    </w:p>
    <w:p w14:paraId="7804FBAA">
      <w:pPr>
        <w:pStyle w:val="13"/>
        <w:jc w:val="center"/>
        <w:rPr>
          <w:rFonts w:hint="eastAsia" w:ascii="方正小标宋_GBK" w:hAnsi="方正小标宋_GBK" w:eastAsia="方正小标宋_GBK" w:cs="方正小标宋_GBK"/>
          <w:sz w:val="72"/>
          <w:szCs w:val="72"/>
        </w:rPr>
      </w:pPr>
      <w:r>
        <w:rPr>
          <w:rFonts w:hint="eastAsia" w:ascii="方正小标宋_GBK" w:hAnsi="方正小标宋_GBK" w:eastAsia="方正小标宋_GBK" w:cs="方正小标宋_GBK"/>
          <w:sz w:val="72"/>
          <w:szCs w:val="72"/>
        </w:rPr>
        <w:t>第三部分</w:t>
      </w:r>
    </w:p>
    <w:p w14:paraId="7D53C949">
      <w:pPr>
        <w:pStyle w:val="13"/>
        <w:jc w:val="center"/>
        <w:rPr>
          <w:rFonts w:hint="eastAsia" w:ascii="方正小标宋_GBK" w:hAnsi="方正小标宋_GBK" w:eastAsia="方正小标宋_GBK" w:cs="方正小标宋_GBK"/>
          <w:sz w:val="70"/>
          <w:szCs w:val="70"/>
        </w:rPr>
      </w:pPr>
    </w:p>
    <w:p w14:paraId="4F77A5A6">
      <w:pPr>
        <w:pStyle w:val="13"/>
        <w:jc w:val="center"/>
        <w:rPr>
          <w:rFonts w:hint="eastAsia" w:ascii="方正小标宋_GBK" w:hAnsi="方正小标宋_GBK" w:eastAsia="方正小标宋_GBK" w:cs="方正小标宋_GBK"/>
          <w:sz w:val="70"/>
          <w:szCs w:val="70"/>
        </w:rPr>
      </w:pPr>
      <w:r>
        <w:rPr>
          <w:rFonts w:hint="eastAsia" w:ascii="方正小标宋_GBK" w:hAnsi="方正小标宋_GBK" w:eastAsia="方正小标宋_GBK" w:cs="方正小标宋_GBK"/>
          <w:sz w:val="70"/>
          <w:szCs w:val="70"/>
        </w:rPr>
        <w:t>202</w:t>
      </w:r>
      <w:r>
        <w:rPr>
          <w:rFonts w:hint="eastAsia" w:ascii="方正小标宋_GBK" w:hAnsi="方正小标宋_GBK" w:eastAsia="方正小标宋_GBK" w:cs="方正小标宋_GBK"/>
          <w:sz w:val="70"/>
          <w:szCs w:val="70"/>
          <w:lang w:val="en-US" w:eastAsia="zh-CN"/>
        </w:rPr>
        <w:t>4</w:t>
      </w:r>
      <w:r>
        <w:rPr>
          <w:rFonts w:hint="eastAsia" w:ascii="方正小标宋_GBK" w:hAnsi="方正小标宋_GBK" w:eastAsia="方正小标宋_GBK" w:cs="方正小标宋_GBK"/>
          <w:sz w:val="70"/>
          <w:szCs w:val="70"/>
        </w:rPr>
        <w:t>年度部门决算情况说明</w:t>
      </w:r>
    </w:p>
    <w:p w14:paraId="17862F93">
      <w:pPr>
        <w:pStyle w:val="13"/>
        <w:jc w:val="center"/>
        <w:rPr>
          <w:rFonts w:hint="eastAsia" w:ascii="方正小标宋_GBK" w:hAnsi="方正小标宋_GBK" w:eastAsia="方正小标宋_GBK" w:cs="方正小标宋_GBK"/>
          <w:sz w:val="70"/>
          <w:szCs w:val="70"/>
        </w:rPr>
      </w:pPr>
    </w:p>
    <w:p w14:paraId="6EEC30AB">
      <w:pPr>
        <w:pStyle w:val="13"/>
        <w:jc w:val="center"/>
        <w:rPr>
          <w:rFonts w:hint="eastAsia" w:ascii="方正小标宋_GBK" w:hAnsi="方正小标宋_GBK" w:eastAsia="方正小标宋_GBK" w:cs="方正小标宋_GBK"/>
          <w:sz w:val="70"/>
          <w:szCs w:val="70"/>
        </w:rPr>
      </w:pPr>
    </w:p>
    <w:p w14:paraId="417367C1">
      <w:pPr>
        <w:pStyle w:val="13"/>
        <w:jc w:val="center"/>
        <w:rPr>
          <w:rFonts w:hint="eastAsia" w:ascii="方正小标宋_GBK" w:hAnsi="方正小标宋_GBK" w:eastAsia="方正小标宋_GBK" w:cs="方正小标宋_GBK"/>
          <w:sz w:val="70"/>
          <w:szCs w:val="70"/>
        </w:rPr>
      </w:pPr>
    </w:p>
    <w:p w14:paraId="5EF1049C">
      <w:pPr>
        <w:pStyle w:val="13"/>
        <w:jc w:val="center"/>
        <w:rPr>
          <w:rFonts w:hint="eastAsia" w:ascii="方正小标宋_GBK" w:hAnsi="方正小标宋_GBK" w:eastAsia="方正小标宋_GBK" w:cs="方正小标宋_GBK"/>
          <w:sz w:val="70"/>
          <w:szCs w:val="70"/>
        </w:rPr>
      </w:pPr>
    </w:p>
    <w:p w14:paraId="7E4B3CF9">
      <w:pPr>
        <w:pStyle w:val="13"/>
        <w:jc w:val="center"/>
        <w:rPr>
          <w:rFonts w:hint="eastAsia" w:ascii="方正小标宋_GBK" w:hAnsi="方正小标宋_GBK" w:eastAsia="方正小标宋_GBK" w:cs="方正小标宋_GBK"/>
          <w:sz w:val="70"/>
          <w:szCs w:val="70"/>
        </w:rPr>
      </w:pPr>
    </w:p>
    <w:p w14:paraId="514C0722">
      <w:pPr>
        <w:pStyle w:val="13"/>
        <w:jc w:val="center"/>
        <w:rPr>
          <w:rFonts w:hint="eastAsia" w:ascii="方正小标宋_GBK" w:hAnsi="方正小标宋_GBK" w:eastAsia="方正小标宋_GBK" w:cs="方正小标宋_GBK"/>
          <w:sz w:val="70"/>
          <w:szCs w:val="70"/>
        </w:rPr>
      </w:pPr>
    </w:p>
    <w:p w14:paraId="111D7AB8">
      <w:pPr>
        <w:widowControl/>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说明：</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由于</w:t>
      </w:r>
      <w:r>
        <w:rPr>
          <w:rFonts w:hint="eastAsia" w:ascii="仿宋_GB2312" w:hAnsi="仿宋_GB2312" w:eastAsia="仿宋_GB2312" w:cs="仿宋_GB2312"/>
          <w:sz w:val="32"/>
          <w:szCs w:val="32"/>
          <w:lang w:eastAsia="zh-CN"/>
        </w:rPr>
        <w:t>部门</w:t>
      </w:r>
      <w:r>
        <w:rPr>
          <w:rFonts w:hint="eastAsia" w:ascii="仿宋_GB2312" w:hAnsi="仿宋_GB2312" w:eastAsia="仿宋_GB2312" w:cs="仿宋_GB2312"/>
          <w:sz w:val="32"/>
          <w:szCs w:val="32"/>
        </w:rPr>
        <w:t>决算编制时</w:t>
      </w:r>
      <w:r>
        <w:rPr>
          <w:rFonts w:hint="eastAsia" w:ascii="仿宋_GB2312" w:hAnsi="仿宋_GB2312" w:eastAsia="仿宋_GB2312" w:cs="仿宋_GB2312"/>
          <w:sz w:val="32"/>
          <w:szCs w:val="32"/>
          <w:lang w:eastAsia="zh-CN"/>
        </w:rPr>
        <w:t>数据</w:t>
      </w:r>
      <w:r>
        <w:rPr>
          <w:rFonts w:hint="eastAsia" w:ascii="仿宋_GB2312" w:hAnsi="仿宋_GB2312" w:eastAsia="仿宋_GB2312" w:cs="仿宋_GB2312"/>
          <w:sz w:val="32"/>
          <w:szCs w:val="32"/>
        </w:rPr>
        <w:t>明细</w:t>
      </w:r>
      <w:r>
        <w:rPr>
          <w:rFonts w:hint="eastAsia" w:ascii="仿宋_GB2312" w:hAnsi="仿宋_GB2312" w:eastAsia="仿宋_GB2312" w:cs="仿宋_GB2312"/>
          <w:sz w:val="32"/>
          <w:szCs w:val="32"/>
          <w:lang w:eastAsia="zh-CN"/>
        </w:rPr>
        <w:t>至“金额单位：元</w:t>
      </w:r>
      <w:r>
        <w:rPr>
          <w:rFonts w:hint="eastAsia" w:ascii="仿宋_GB2312" w:hAnsi="仿宋_GB2312" w:eastAsia="仿宋_GB2312" w:cs="仿宋_GB2312"/>
          <w:sz w:val="32"/>
          <w:szCs w:val="32"/>
        </w:rPr>
        <w:t>”，而</w:t>
      </w:r>
      <w:r>
        <w:rPr>
          <w:rFonts w:hint="eastAsia" w:ascii="仿宋_GB2312" w:hAnsi="仿宋_GB2312" w:eastAsia="仿宋_GB2312" w:cs="仿宋_GB2312"/>
          <w:sz w:val="32"/>
          <w:szCs w:val="32"/>
          <w:lang w:eastAsia="zh-CN"/>
        </w:rPr>
        <w:t>本套部门决算文字说明</w:t>
      </w:r>
      <w:r>
        <w:rPr>
          <w:rFonts w:hint="eastAsia" w:ascii="仿宋_GB2312" w:hAnsi="仿宋_GB2312" w:eastAsia="仿宋_GB2312" w:cs="仿宋_GB2312"/>
          <w:sz w:val="32"/>
          <w:szCs w:val="32"/>
        </w:rPr>
        <w:t>和公开表格</w:t>
      </w:r>
      <w:r>
        <w:rPr>
          <w:rFonts w:hint="eastAsia" w:ascii="仿宋_GB2312" w:hAnsi="仿宋_GB2312" w:eastAsia="仿宋_GB2312" w:cs="仿宋_GB2312"/>
          <w:sz w:val="32"/>
          <w:szCs w:val="32"/>
          <w:lang w:eastAsia="zh-CN"/>
        </w:rPr>
        <w:t>数据</w:t>
      </w:r>
      <w:r>
        <w:rPr>
          <w:rFonts w:hint="eastAsia" w:ascii="仿宋_GB2312" w:hAnsi="仿宋_GB2312" w:eastAsia="仿宋_GB2312" w:cs="仿宋_GB2312"/>
          <w:sz w:val="32"/>
          <w:szCs w:val="32"/>
        </w:rPr>
        <w:t>取数</w:t>
      </w:r>
      <w:r>
        <w:rPr>
          <w:rFonts w:hint="eastAsia" w:ascii="仿宋_GB2312" w:hAnsi="仿宋_GB2312" w:eastAsia="仿宋_GB2312" w:cs="仿宋_GB2312"/>
          <w:sz w:val="32"/>
          <w:szCs w:val="32"/>
          <w:lang w:eastAsia="zh-CN"/>
        </w:rPr>
        <w:t>转换为</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金额单位：</w:t>
      </w:r>
      <w:r>
        <w:rPr>
          <w:rFonts w:hint="eastAsia" w:ascii="仿宋_GB2312" w:hAnsi="仿宋_GB2312" w:eastAsia="仿宋_GB2312" w:cs="仿宋_GB2312"/>
          <w:sz w:val="32"/>
          <w:szCs w:val="32"/>
        </w:rPr>
        <w:t>万元”，可能导致</w:t>
      </w:r>
      <w:r>
        <w:rPr>
          <w:rFonts w:hint="eastAsia" w:ascii="仿宋_GB2312" w:hAnsi="仿宋_GB2312" w:eastAsia="仿宋_GB2312" w:cs="仿宋_GB2312"/>
          <w:sz w:val="32"/>
          <w:szCs w:val="32"/>
          <w:lang w:eastAsia="zh-CN"/>
        </w:rPr>
        <w:t>以下文字说明中的各项数据取数以及公开</w:t>
      </w:r>
      <w:r>
        <w:rPr>
          <w:rFonts w:hint="eastAsia" w:ascii="仿宋_GB2312" w:hAnsi="仿宋_GB2312" w:eastAsia="仿宋_GB2312" w:cs="仿宋_GB2312"/>
          <w:sz w:val="32"/>
          <w:szCs w:val="32"/>
        </w:rPr>
        <w:t>表格</w:t>
      </w:r>
      <w:r>
        <w:rPr>
          <w:rFonts w:hint="eastAsia" w:ascii="仿宋_GB2312" w:hAnsi="仿宋_GB2312" w:eastAsia="仿宋_GB2312" w:cs="仿宋_GB2312"/>
          <w:sz w:val="32"/>
          <w:szCs w:val="32"/>
          <w:lang w:eastAsia="zh-CN"/>
        </w:rPr>
        <w:t>中的各项数据取数之间存在</w:t>
      </w:r>
      <w:r>
        <w:rPr>
          <w:rFonts w:hint="eastAsia" w:ascii="仿宋_GB2312" w:hAnsi="仿宋_GB2312" w:eastAsia="仿宋_GB2312" w:cs="仿宋_GB2312"/>
          <w:sz w:val="32"/>
          <w:szCs w:val="32"/>
        </w:rPr>
        <w:t>0.01的尾数差异。</w:t>
      </w:r>
      <w:r>
        <w:rPr>
          <w:rFonts w:hint="eastAsia" w:ascii="仿宋_GB2312" w:hAnsi="仿宋_GB2312" w:eastAsia="仿宋_GB2312" w:cs="仿宋_GB2312"/>
          <w:sz w:val="32"/>
          <w:szCs w:val="32"/>
          <w:lang w:val="en-US" w:eastAsia="zh-CN"/>
        </w:rPr>
        <w:t>2、以下文字说明中，部分科目由于预算数为0，无法计算完成年初预算的百分比，故未描述“</w:t>
      </w:r>
      <w:r>
        <w:rPr>
          <w:rFonts w:hint="eastAsia" w:ascii="仿宋_GB2312" w:hAnsi="仿宋_GB2312" w:eastAsia="仿宋_GB2312" w:cs="仿宋_GB2312"/>
          <w:sz w:val="32"/>
          <w:szCs w:val="32"/>
        </w:rPr>
        <w:t>完成年初预算的XX%</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w:t>
      </w:r>
    </w:p>
    <w:p w14:paraId="2411C081">
      <w:pPr>
        <w:pStyle w:val="13"/>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黑体" w:hAnsi="黑体" w:eastAsia="黑体" w:cs="黑体"/>
          <w:b w:val="0"/>
          <w:bCs/>
          <w:sz w:val="32"/>
          <w:szCs w:val="32"/>
        </w:rPr>
      </w:pPr>
      <w:r>
        <w:rPr>
          <w:rFonts w:hint="eastAsia" w:ascii="黑体" w:hAnsi="黑体" w:eastAsia="黑体" w:cs="黑体"/>
          <w:b w:val="0"/>
          <w:bCs/>
          <w:sz w:val="32"/>
          <w:szCs w:val="32"/>
        </w:rPr>
        <w:t>一、收入支出决算总体情况说明</w:t>
      </w:r>
    </w:p>
    <w:p w14:paraId="5CDCBAD6">
      <w:pPr>
        <w:pStyle w:val="13"/>
        <w:keepNext w:val="0"/>
        <w:keepLines w:val="0"/>
        <w:pageBreakBefore w:val="0"/>
        <w:widowControl w:val="0"/>
        <w:kinsoku/>
        <w:wordWrap/>
        <w:overflowPunct/>
        <w:topLinePunct w:val="0"/>
        <w:bidi w:val="0"/>
        <w:snapToGrid/>
        <w:spacing w:line="600" w:lineRule="exact"/>
        <w:ind w:firstLine="640"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202</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年度收、支总计</w:t>
      </w:r>
      <w:r>
        <w:rPr>
          <w:rFonts w:hint="eastAsia" w:ascii="仿宋_GB2312" w:hAnsi="仿宋_GB2312" w:eastAsia="仿宋_GB2312" w:cs="仿宋_GB2312"/>
          <w:sz w:val="32"/>
          <w:szCs w:val="32"/>
          <w:lang w:val="en-US" w:eastAsia="zh-CN"/>
        </w:rPr>
        <w:t>4879.67</w:t>
      </w:r>
      <w:r>
        <w:rPr>
          <w:rFonts w:hint="eastAsia" w:ascii="仿宋_GB2312" w:hAnsi="仿宋_GB2312" w:eastAsia="仿宋_GB2312" w:cs="仿宋_GB2312"/>
          <w:sz w:val="32"/>
          <w:szCs w:val="32"/>
        </w:rPr>
        <w:t>万元。与上年相比，减少</w:t>
      </w:r>
      <w:r>
        <w:rPr>
          <w:rFonts w:hint="eastAsia" w:ascii="仿宋_GB2312" w:hAnsi="仿宋_GB2312" w:eastAsia="仿宋_GB2312" w:cs="仿宋_GB2312"/>
          <w:sz w:val="32"/>
          <w:szCs w:val="32"/>
          <w:lang w:val="en-US" w:eastAsia="zh-CN"/>
        </w:rPr>
        <w:t>28.36</w:t>
      </w:r>
      <w:r>
        <w:rPr>
          <w:rFonts w:hint="eastAsia" w:ascii="仿宋_GB2312" w:hAnsi="仿宋_GB2312" w:eastAsia="仿宋_GB2312" w:cs="仿宋_GB2312"/>
          <w:sz w:val="32"/>
          <w:szCs w:val="32"/>
        </w:rPr>
        <w:t>万元，减少</w:t>
      </w:r>
      <w:r>
        <w:rPr>
          <w:rFonts w:hint="eastAsia" w:ascii="仿宋_GB2312" w:hAnsi="仿宋_GB2312" w:eastAsia="仿宋_GB2312" w:cs="仿宋_GB2312"/>
          <w:sz w:val="32"/>
          <w:szCs w:val="32"/>
          <w:lang w:val="en-US" w:eastAsia="zh-CN"/>
        </w:rPr>
        <w:t>0.58</w:t>
      </w:r>
      <w:r>
        <w:rPr>
          <w:rFonts w:hint="eastAsia" w:ascii="仿宋_GB2312" w:hAnsi="仿宋_GB2312" w:eastAsia="仿宋_GB2312" w:cs="仿宋_GB2312"/>
          <w:sz w:val="32"/>
          <w:szCs w:val="32"/>
        </w:rPr>
        <w:t>%，主要是因为</w:t>
      </w:r>
      <w:r>
        <w:rPr>
          <w:rFonts w:hint="eastAsia" w:ascii="仿宋_GB2312" w:hAnsi="仿宋_GB2312" w:eastAsia="仿宋_GB2312" w:cs="仿宋_GB2312"/>
          <w:sz w:val="32"/>
          <w:szCs w:val="32"/>
          <w:lang w:val="en-US" w:eastAsia="zh-CN"/>
        </w:rPr>
        <w:t>2024年度基建项目收支小于2023年度。</w:t>
      </w:r>
    </w:p>
    <w:p w14:paraId="07DA9E3F">
      <w:pPr>
        <w:pStyle w:val="13"/>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黑体" w:hAnsi="黑体" w:eastAsia="黑体" w:cs="黑体"/>
          <w:b w:val="0"/>
          <w:bCs/>
          <w:sz w:val="32"/>
          <w:szCs w:val="32"/>
        </w:rPr>
      </w:pPr>
      <w:r>
        <w:rPr>
          <w:rFonts w:hint="eastAsia" w:ascii="黑体" w:hAnsi="黑体" w:eastAsia="黑体" w:cs="黑体"/>
          <w:b w:val="0"/>
          <w:bCs/>
          <w:sz w:val="32"/>
          <w:szCs w:val="32"/>
        </w:rPr>
        <w:t>二、收入决算情况说明</w:t>
      </w:r>
    </w:p>
    <w:p w14:paraId="2A53B2AD">
      <w:pPr>
        <w:pStyle w:val="13"/>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202</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年度收入合计</w:t>
      </w:r>
      <w:r>
        <w:rPr>
          <w:rFonts w:hint="eastAsia" w:ascii="仿宋_GB2312" w:hAnsi="仿宋_GB2312" w:eastAsia="仿宋_GB2312" w:cs="仿宋_GB2312"/>
          <w:sz w:val="32"/>
          <w:szCs w:val="32"/>
          <w:lang w:val="en-US" w:eastAsia="zh-CN"/>
        </w:rPr>
        <w:t>4879.67</w:t>
      </w:r>
      <w:r>
        <w:rPr>
          <w:rFonts w:hint="eastAsia" w:ascii="仿宋_GB2312" w:hAnsi="仿宋_GB2312" w:eastAsia="仿宋_GB2312" w:cs="仿宋_GB2312"/>
          <w:sz w:val="32"/>
          <w:szCs w:val="32"/>
        </w:rPr>
        <w:t>万元，其中：财政拨款收入</w:t>
      </w:r>
      <w:r>
        <w:rPr>
          <w:rFonts w:hint="eastAsia" w:ascii="仿宋_GB2312" w:hAnsi="仿宋_GB2312" w:eastAsia="仿宋_GB2312" w:cs="仿宋_GB2312"/>
          <w:sz w:val="32"/>
          <w:szCs w:val="32"/>
          <w:lang w:val="en-US" w:eastAsia="zh-CN"/>
        </w:rPr>
        <w:t>3699.58</w:t>
      </w:r>
      <w:r>
        <w:rPr>
          <w:rFonts w:hint="eastAsia" w:ascii="仿宋_GB2312" w:hAnsi="仿宋_GB2312" w:eastAsia="仿宋_GB2312" w:cs="仿宋_GB2312"/>
          <w:sz w:val="32"/>
          <w:szCs w:val="32"/>
        </w:rPr>
        <w:t>万元，占</w:t>
      </w:r>
      <w:r>
        <w:rPr>
          <w:rFonts w:hint="eastAsia" w:ascii="仿宋_GB2312" w:hAnsi="仿宋_GB2312" w:eastAsia="仿宋_GB2312" w:cs="仿宋_GB2312"/>
          <w:sz w:val="32"/>
          <w:szCs w:val="32"/>
          <w:lang w:val="en-US" w:eastAsia="zh-CN"/>
        </w:rPr>
        <w:t>75.82</w:t>
      </w:r>
      <w:r>
        <w:rPr>
          <w:rFonts w:hint="eastAsia" w:ascii="仿宋_GB2312" w:hAnsi="仿宋_GB2312" w:eastAsia="仿宋_GB2312" w:cs="仿宋_GB2312"/>
          <w:sz w:val="32"/>
          <w:szCs w:val="32"/>
        </w:rPr>
        <w:t>%；上级补助收入</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万元，占</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%；事业收入</w:t>
      </w:r>
      <w:r>
        <w:rPr>
          <w:rFonts w:hint="eastAsia" w:ascii="仿宋_GB2312" w:hAnsi="仿宋_GB2312" w:eastAsia="仿宋_GB2312" w:cs="仿宋_GB2312"/>
          <w:sz w:val="32"/>
          <w:szCs w:val="32"/>
          <w:lang w:val="en-US" w:eastAsia="zh-CN"/>
        </w:rPr>
        <w:t>518.20</w:t>
      </w:r>
      <w:r>
        <w:rPr>
          <w:rFonts w:hint="eastAsia" w:ascii="仿宋_GB2312" w:hAnsi="仿宋_GB2312" w:eastAsia="仿宋_GB2312" w:cs="仿宋_GB2312"/>
          <w:sz w:val="32"/>
          <w:szCs w:val="32"/>
        </w:rPr>
        <w:t>万元，占</w:t>
      </w:r>
      <w:r>
        <w:rPr>
          <w:rFonts w:hint="eastAsia" w:ascii="仿宋_GB2312" w:hAnsi="仿宋_GB2312" w:eastAsia="仿宋_GB2312" w:cs="仿宋_GB2312"/>
          <w:sz w:val="32"/>
          <w:szCs w:val="32"/>
          <w:lang w:val="en-US" w:eastAsia="zh-CN"/>
        </w:rPr>
        <w:t>10.62</w:t>
      </w:r>
      <w:r>
        <w:rPr>
          <w:rFonts w:hint="eastAsia" w:ascii="仿宋_GB2312" w:hAnsi="仿宋_GB2312" w:eastAsia="仿宋_GB2312" w:cs="仿宋_GB2312"/>
          <w:sz w:val="32"/>
          <w:szCs w:val="32"/>
        </w:rPr>
        <w:t>%；经营收入</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万元，占</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%；附属单位上缴收入</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万元，占</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%；其他收入</w:t>
      </w:r>
      <w:r>
        <w:rPr>
          <w:rFonts w:hint="eastAsia" w:ascii="仿宋_GB2312" w:hAnsi="仿宋_GB2312" w:eastAsia="仿宋_GB2312" w:cs="仿宋_GB2312"/>
          <w:sz w:val="32"/>
          <w:szCs w:val="32"/>
          <w:lang w:val="en-US" w:eastAsia="zh-CN"/>
        </w:rPr>
        <w:t>661.90</w:t>
      </w:r>
      <w:r>
        <w:rPr>
          <w:rFonts w:hint="eastAsia" w:ascii="仿宋_GB2312" w:hAnsi="仿宋_GB2312" w:eastAsia="仿宋_GB2312" w:cs="仿宋_GB2312"/>
          <w:sz w:val="32"/>
          <w:szCs w:val="32"/>
        </w:rPr>
        <w:t>万元，占</w:t>
      </w:r>
      <w:r>
        <w:rPr>
          <w:rFonts w:hint="eastAsia" w:ascii="仿宋_GB2312" w:hAnsi="仿宋_GB2312" w:eastAsia="仿宋_GB2312" w:cs="仿宋_GB2312"/>
          <w:sz w:val="32"/>
          <w:szCs w:val="32"/>
          <w:lang w:val="en-US" w:eastAsia="zh-CN"/>
        </w:rPr>
        <w:t>13.56</w:t>
      </w:r>
      <w:r>
        <w:rPr>
          <w:rFonts w:hint="eastAsia" w:ascii="仿宋_GB2312" w:hAnsi="仿宋_GB2312" w:eastAsia="仿宋_GB2312" w:cs="仿宋_GB2312"/>
          <w:sz w:val="32"/>
          <w:szCs w:val="32"/>
        </w:rPr>
        <w:t>%。</w:t>
      </w:r>
    </w:p>
    <w:p w14:paraId="2D1A2B4D">
      <w:pPr>
        <w:pStyle w:val="13"/>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黑体" w:hAnsi="黑体" w:eastAsia="黑体" w:cs="黑体"/>
          <w:b w:val="0"/>
          <w:bCs/>
          <w:sz w:val="32"/>
          <w:szCs w:val="32"/>
        </w:rPr>
      </w:pPr>
      <w:r>
        <w:rPr>
          <w:rFonts w:hint="eastAsia" w:ascii="黑体" w:hAnsi="黑体" w:eastAsia="黑体" w:cs="黑体"/>
          <w:b w:val="0"/>
          <w:bCs/>
          <w:sz w:val="32"/>
          <w:szCs w:val="32"/>
        </w:rPr>
        <w:t>三、支出决算情况说明</w:t>
      </w:r>
    </w:p>
    <w:p w14:paraId="28222937">
      <w:pPr>
        <w:pStyle w:val="13"/>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202</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年度支出合计</w:t>
      </w:r>
      <w:r>
        <w:rPr>
          <w:rFonts w:hint="eastAsia" w:ascii="仿宋_GB2312" w:hAnsi="仿宋_GB2312" w:eastAsia="仿宋_GB2312" w:cs="仿宋_GB2312"/>
          <w:sz w:val="32"/>
          <w:szCs w:val="32"/>
          <w:lang w:val="en-US" w:eastAsia="zh-CN"/>
        </w:rPr>
        <w:t>4879.67</w:t>
      </w:r>
      <w:r>
        <w:rPr>
          <w:rFonts w:hint="eastAsia" w:ascii="仿宋_GB2312" w:hAnsi="仿宋_GB2312" w:eastAsia="仿宋_GB2312" w:cs="仿宋_GB2312"/>
          <w:sz w:val="32"/>
          <w:szCs w:val="32"/>
        </w:rPr>
        <w:t>万元，其中：基本支出</w:t>
      </w:r>
      <w:r>
        <w:rPr>
          <w:rFonts w:hint="eastAsia" w:ascii="仿宋_GB2312" w:hAnsi="仿宋_GB2312" w:eastAsia="仿宋_GB2312" w:cs="仿宋_GB2312"/>
          <w:sz w:val="32"/>
          <w:szCs w:val="32"/>
          <w:lang w:val="en-US" w:eastAsia="zh-CN"/>
        </w:rPr>
        <w:t>4168.68</w:t>
      </w:r>
      <w:r>
        <w:rPr>
          <w:rFonts w:hint="eastAsia" w:ascii="仿宋_GB2312" w:hAnsi="仿宋_GB2312" w:eastAsia="仿宋_GB2312" w:cs="仿宋_GB2312"/>
          <w:sz w:val="32"/>
          <w:szCs w:val="32"/>
        </w:rPr>
        <w:t>万元，占</w:t>
      </w:r>
      <w:r>
        <w:rPr>
          <w:rFonts w:hint="eastAsia" w:ascii="仿宋_GB2312" w:hAnsi="仿宋_GB2312" w:eastAsia="仿宋_GB2312" w:cs="仿宋_GB2312"/>
          <w:sz w:val="32"/>
          <w:szCs w:val="32"/>
          <w:lang w:val="en-US" w:eastAsia="zh-CN"/>
        </w:rPr>
        <w:t>85.43</w:t>
      </w:r>
      <w:r>
        <w:rPr>
          <w:rFonts w:hint="eastAsia" w:ascii="仿宋_GB2312" w:hAnsi="仿宋_GB2312" w:eastAsia="仿宋_GB2312" w:cs="仿宋_GB2312"/>
          <w:sz w:val="32"/>
          <w:szCs w:val="32"/>
        </w:rPr>
        <w:t>%；项目支出</w:t>
      </w:r>
      <w:r>
        <w:rPr>
          <w:rFonts w:hint="eastAsia" w:ascii="仿宋_GB2312" w:hAnsi="仿宋_GB2312" w:eastAsia="仿宋_GB2312" w:cs="仿宋_GB2312"/>
          <w:sz w:val="32"/>
          <w:szCs w:val="32"/>
          <w:lang w:val="en-US" w:eastAsia="zh-CN"/>
        </w:rPr>
        <w:t>711</w:t>
      </w:r>
      <w:r>
        <w:rPr>
          <w:rFonts w:hint="eastAsia" w:ascii="仿宋_GB2312" w:hAnsi="仿宋_GB2312" w:eastAsia="仿宋_GB2312" w:cs="仿宋_GB2312"/>
          <w:sz w:val="32"/>
          <w:szCs w:val="32"/>
        </w:rPr>
        <w:t>万元，占</w:t>
      </w:r>
      <w:r>
        <w:rPr>
          <w:rFonts w:hint="eastAsia" w:ascii="仿宋_GB2312" w:hAnsi="仿宋_GB2312" w:eastAsia="仿宋_GB2312" w:cs="仿宋_GB2312"/>
          <w:sz w:val="32"/>
          <w:szCs w:val="32"/>
          <w:lang w:val="en-US" w:eastAsia="zh-CN"/>
        </w:rPr>
        <w:t>14.57</w:t>
      </w:r>
      <w:r>
        <w:rPr>
          <w:rFonts w:hint="eastAsia" w:ascii="仿宋_GB2312" w:hAnsi="仿宋_GB2312" w:eastAsia="仿宋_GB2312" w:cs="仿宋_GB2312"/>
          <w:sz w:val="32"/>
          <w:szCs w:val="32"/>
        </w:rPr>
        <w:t>%；上缴上级支出</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万元，占</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%；经营支出</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万元，占</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%；对附属单位补助支出</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万元，占</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w:t>
      </w:r>
    </w:p>
    <w:p w14:paraId="69857526">
      <w:pPr>
        <w:pStyle w:val="13"/>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黑体" w:hAnsi="黑体" w:eastAsia="黑体" w:cs="黑体"/>
          <w:b w:val="0"/>
          <w:bCs/>
          <w:sz w:val="32"/>
          <w:szCs w:val="32"/>
        </w:rPr>
      </w:pPr>
      <w:r>
        <w:rPr>
          <w:rFonts w:hint="eastAsia" w:ascii="黑体" w:hAnsi="黑体" w:eastAsia="黑体" w:cs="黑体"/>
          <w:b w:val="0"/>
          <w:bCs/>
          <w:sz w:val="32"/>
          <w:szCs w:val="32"/>
        </w:rPr>
        <w:t>四、财政拨款收入支出决算总体情况说明</w:t>
      </w:r>
    </w:p>
    <w:p w14:paraId="4ED35F49">
      <w:pPr>
        <w:pStyle w:val="13"/>
        <w:keepNext w:val="0"/>
        <w:keepLines w:val="0"/>
        <w:pageBreakBefore w:val="0"/>
        <w:widowControl w:val="0"/>
        <w:kinsoku/>
        <w:wordWrap/>
        <w:overflowPunct/>
        <w:topLinePunct w:val="0"/>
        <w:bidi w:val="0"/>
        <w:snapToGrid/>
        <w:spacing w:line="600" w:lineRule="exact"/>
        <w:textAlignment w:val="auto"/>
        <w:rPr>
          <w:rFonts w:hint="eastAsia" w:ascii="仿宋_GB2312" w:hAnsi="仿宋_GB2312" w:eastAsia="仿宋_GB2312" w:cs="仿宋_GB2312"/>
          <w:sz w:val="32"/>
          <w:szCs w:val="32"/>
        </w:rPr>
      </w:pPr>
      <w:r>
        <w:rPr>
          <w:rFonts w:hint="eastAsia" w:ascii="Times New Roman" w:hAnsi="Times New Roman" w:eastAsia="仿宋_GB2312"/>
          <w:sz w:val="32"/>
          <w:szCs w:val="32"/>
        </w:rPr>
        <w:t xml:space="preserve">   </w:t>
      </w:r>
      <w:r>
        <w:rPr>
          <w:rFonts w:hint="eastAsia" w:ascii="仿宋_GB2312" w:hAnsi="仿宋_GB2312" w:eastAsia="仿宋_GB2312" w:cs="仿宋_GB2312"/>
          <w:sz w:val="32"/>
          <w:szCs w:val="32"/>
        </w:rPr>
        <w:t xml:space="preserve"> 202</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年度财政拨款收、支总计</w:t>
      </w:r>
      <w:r>
        <w:rPr>
          <w:rFonts w:hint="eastAsia" w:ascii="仿宋_GB2312" w:hAnsi="仿宋_GB2312" w:eastAsia="仿宋_GB2312" w:cs="仿宋_GB2312"/>
          <w:sz w:val="32"/>
          <w:szCs w:val="32"/>
          <w:lang w:val="en-US" w:eastAsia="zh-CN"/>
        </w:rPr>
        <w:t>3699.58</w:t>
      </w:r>
      <w:r>
        <w:rPr>
          <w:rFonts w:hint="eastAsia" w:ascii="仿宋_GB2312" w:hAnsi="仿宋_GB2312" w:eastAsia="仿宋_GB2312" w:cs="仿宋_GB2312"/>
          <w:sz w:val="32"/>
          <w:szCs w:val="32"/>
        </w:rPr>
        <w:t>万元，与上年相比，减少</w:t>
      </w:r>
      <w:r>
        <w:rPr>
          <w:rFonts w:hint="eastAsia" w:ascii="仿宋_GB2312" w:hAnsi="仿宋_GB2312" w:eastAsia="仿宋_GB2312" w:cs="仿宋_GB2312"/>
          <w:sz w:val="32"/>
          <w:szCs w:val="32"/>
          <w:lang w:val="en-US" w:eastAsia="zh-CN"/>
        </w:rPr>
        <w:t>47.67</w:t>
      </w:r>
      <w:r>
        <w:rPr>
          <w:rFonts w:hint="eastAsia" w:ascii="仿宋_GB2312" w:hAnsi="仿宋_GB2312" w:eastAsia="仿宋_GB2312" w:cs="仿宋_GB2312"/>
          <w:sz w:val="32"/>
          <w:szCs w:val="32"/>
        </w:rPr>
        <w:t>万元,减少</w:t>
      </w:r>
      <w:r>
        <w:rPr>
          <w:rFonts w:hint="eastAsia" w:ascii="仿宋_GB2312" w:hAnsi="仿宋_GB2312" w:eastAsia="仿宋_GB2312" w:cs="仿宋_GB2312"/>
          <w:sz w:val="32"/>
          <w:szCs w:val="32"/>
          <w:lang w:val="en-US" w:eastAsia="zh-CN"/>
        </w:rPr>
        <w:t>1.27</w:t>
      </w:r>
      <w:r>
        <w:rPr>
          <w:rFonts w:hint="eastAsia" w:ascii="仿宋_GB2312" w:hAnsi="仿宋_GB2312" w:eastAsia="仿宋_GB2312" w:cs="仿宋_GB2312"/>
          <w:sz w:val="32"/>
          <w:szCs w:val="32"/>
        </w:rPr>
        <w:t>%，主要是因为</w:t>
      </w:r>
      <w:r>
        <w:rPr>
          <w:rFonts w:hint="eastAsia" w:ascii="仿宋_GB2312" w:hAnsi="仿宋_GB2312" w:eastAsia="仿宋_GB2312" w:cs="仿宋_GB2312"/>
          <w:sz w:val="32"/>
          <w:szCs w:val="32"/>
          <w:lang w:val="en-US" w:eastAsia="zh-CN"/>
        </w:rPr>
        <w:t>2023年度基建项目收支大于2024年度。</w:t>
      </w:r>
    </w:p>
    <w:p w14:paraId="4BB30A62">
      <w:pPr>
        <w:pStyle w:val="13"/>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黑体" w:hAnsi="黑体" w:eastAsia="黑体" w:cs="黑体"/>
          <w:b w:val="0"/>
          <w:bCs/>
          <w:sz w:val="32"/>
          <w:szCs w:val="32"/>
        </w:rPr>
      </w:pPr>
      <w:r>
        <w:rPr>
          <w:rFonts w:hint="eastAsia" w:ascii="黑体" w:hAnsi="黑体" w:eastAsia="黑体" w:cs="黑体"/>
          <w:b w:val="0"/>
          <w:bCs/>
          <w:sz w:val="32"/>
          <w:szCs w:val="32"/>
        </w:rPr>
        <w:t>五、一般公共预算财政拨款支出决算情况说明</w:t>
      </w:r>
    </w:p>
    <w:p w14:paraId="60232831">
      <w:pPr>
        <w:pStyle w:val="13"/>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rPr>
        <w:t>（一）一般公共预算财政拨款支出决算总体情况</w:t>
      </w:r>
    </w:p>
    <w:p w14:paraId="76CAEDEF">
      <w:pPr>
        <w:pStyle w:val="13"/>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202</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年度财政拨款支出</w:t>
      </w:r>
      <w:r>
        <w:rPr>
          <w:rFonts w:hint="eastAsia" w:ascii="仿宋_GB2312" w:hAnsi="仿宋_GB2312" w:eastAsia="仿宋_GB2312" w:cs="仿宋_GB2312"/>
          <w:sz w:val="32"/>
          <w:szCs w:val="32"/>
          <w:lang w:val="en-US" w:eastAsia="zh-CN"/>
        </w:rPr>
        <w:t>3699.58</w:t>
      </w:r>
      <w:r>
        <w:rPr>
          <w:rFonts w:hint="eastAsia" w:ascii="仿宋_GB2312" w:hAnsi="仿宋_GB2312" w:eastAsia="仿宋_GB2312" w:cs="仿宋_GB2312"/>
          <w:sz w:val="32"/>
          <w:szCs w:val="32"/>
        </w:rPr>
        <w:t>万元，占本年支出合计的</w:t>
      </w:r>
      <w:r>
        <w:rPr>
          <w:rFonts w:hint="eastAsia" w:ascii="仿宋_GB2312" w:hAnsi="仿宋_GB2312" w:eastAsia="仿宋_GB2312" w:cs="仿宋_GB2312"/>
          <w:sz w:val="32"/>
          <w:szCs w:val="32"/>
          <w:lang w:val="en-US" w:eastAsia="zh-CN"/>
        </w:rPr>
        <w:t>75.82</w:t>
      </w:r>
      <w:r>
        <w:rPr>
          <w:rFonts w:hint="eastAsia" w:ascii="仿宋_GB2312" w:hAnsi="仿宋_GB2312" w:eastAsia="仿宋_GB2312" w:cs="仿宋_GB2312"/>
          <w:sz w:val="32"/>
          <w:szCs w:val="32"/>
        </w:rPr>
        <w:t>%，与上年相比，财政拨款支出减少</w:t>
      </w:r>
      <w:r>
        <w:rPr>
          <w:rFonts w:hint="eastAsia" w:ascii="仿宋_GB2312" w:hAnsi="仿宋_GB2312" w:eastAsia="仿宋_GB2312" w:cs="仿宋_GB2312"/>
          <w:sz w:val="32"/>
          <w:szCs w:val="32"/>
          <w:lang w:val="en-US" w:eastAsia="zh-CN"/>
        </w:rPr>
        <w:t>47.67</w:t>
      </w:r>
      <w:r>
        <w:rPr>
          <w:rFonts w:hint="eastAsia" w:ascii="仿宋_GB2312" w:hAnsi="仿宋_GB2312" w:eastAsia="仿宋_GB2312" w:cs="仿宋_GB2312"/>
          <w:sz w:val="32"/>
          <w:szCs w:val="32"/>
        </w:rPr>
        <w:t>万元，减少</w:t>
      </w:r>
      <w:r>
        <w:rPr>
          <w:rFonts w:hint="eastAsia" w:ascii="仿宋_GB2312" w:hAnsi="仿宋_GB2312" w:eastAsia="仿宋_GB2312" w:cs="仿宋_GB2312"/>
          <w:sz w:val="32"/>
          <w:szCs w:val="32"/>
          <w:lang w:val="en-US" w:eastAsia="zh-CN"/>
        </w:rPr>
        <w:t>1.27</w:t>
      </w:r>
      <w:r>
        <w:rPr>
          <w:rFonts w:hint="eastAsia" w:ascii="仿宋_GB2312" w:hAnsi="仿宋_GB2312" w:eastAsia="仿宋_GB2312" w:cs="仿宋_GB2312"/>
          <w:sz w:val="32"/>
          <w:szCs w:val="32"/>
        </w:rPr>
        <w:t>%，主要是因为</w:t>
      </w:r>
      <w:r>
        <w:rPr>
          <w:rFonts w:hint="eastAsia" w:ascii="仿宋_GB2312" w:hAnsi="仿宋_GB2312" w:eastAsia="仿宋_GB2312" w:cs="仿宋_GB2312"/>
          <w:sz w:val="32"/>
          <w:szCs w:val="32"/>
          <w:lang w:val="en-US" w:eastAsia="zh-CN"/>
        </w:rPr>
        <w:t>2023年度基建项目收支大于2024年度。</w:t>
      </w:r>
    </w:p>
    <w:p w14:paraId="66C54C85">
      <w:pPr>
        <w:pStyle w:val="13"/>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rPr>
        <w:t>（二）一般公共预算财政拨款支出决算结构情况</w:t>
      </w:r>
    </w:p>
    <w:p w14:paraId="100B560A">
      <w:pPr>
        <w:pStyle w:val="13"/>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202</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年度财政拨款支出</w:t>
      </w:r>
      <w:r>
        <w:rPr>
          <w:rFonts w:hint="eastAsia" w:ascii="仿宋_GB2312" w:hAnsi="仿宋_GB2312" w:eastAsia="仿宋_GB2312" w:cs="仿宋_GB2312"/>
          <w:sz w:val="32"/>
          <w:szCs w:val="32"/>
          <w:lang w:val="en-US" w:eastAsia="zh-CN"/>
        </w:rPr>
        <w:t>3699.58</w:t>
      </w:r>
      <w:r>
        <w:rPr>
          <w:rFonts w:hint="eastAsia" w:ascii="仿宋_GB2312" w:hAnsi="仿宋_GB2312" w:eastAsia="仿宋_GB2312" w:cs="仿宋_GB2312"/>
          <w:sz w:val="32"/>
          <w:szCs w:val="32"/>
        </w:rPr>
        <w:t>万元，主要用于以下方面：教育（类）支出</w:t>
      </w:r>
      <w:r>
        <w:rPr>
          <w:rFonts w:hint="eastAsia" w:ascii="仿宋_GB2312" w:hAnsi="仿宋_GB2312" w:eastAsia="仿宋_GB2312" w:cs="仿宋_GB2312"/>
          <w:sz w:val="32"/>
          <w:szCs w:val="32"/>
          <w:lang w:val="en-US" w:eastAsia="zh-CN"/>
        </w:rPr>
        <w:t>3008.10</w:t>
      </w:r>
      <w:r>
        <w:rPr>
          <w:rFonts w:hint="eastAsia" w:ascii="仿宋_GB2312" w:hAnsi="仿宋_GB2312" w:eastAsia="仿宋_GB2312" w:cs="仿宋_GB2312"/>
          <w:sz w:val="32"/>
          <w:szCs w:val="32"/>
        </w:rPr>
        <w:t>万元，占</w:t>
      </w:r>
      <w:r>
        <w:rPr>
          <w:rFonts w:hint="eastAsia" w:ascii="仿宋_GB2312" w:hAnsi="仿宋_GB2312" w:eastAsia="仿宋_GB2312" w:cs="仿宋_GB2312"/>
          <w:sz w:val="32"/>
          <w:szCs w:val="32"/>
          <w:lang w:val="en-US" w:eastAsia="zh-CN"/>
        </w:rPr>
        <w:t>81.31</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科学技术（类）支出4万，占0.11%；社会保障和就业（类）支出361.7万元，占9.78%；卫生健康(类)支出131.59万元，占3.56%；住房保障（类）支出194.19万元，占5.24%。</w:t>
      </w:r>
    </w:p>
    <w:p w14:paraId="5CDBADF9">
      <w:pPr>
        <w:pStyle w:val="13"/>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rPr>
        <w:t>（三）一般公共预算财政拨款支出决算具体情况</w:t>
      </w:r>
    </w:p>
    <w:p w14:paraId="2C3C1742">
      <w:pPr>
        <w:pStyle w:val="13"/>
        <w:keepNext w:val="0"/>
        <w:keepLines w:val="0"/>
        <w:pageBreakBefore w:val="0"/>
        <w:widowControl w:val="0"/>
        <w:kinsoku/>
        <w:wordWrap/>
        <w:overflowPunct/>
        <w:topLinePunct w:val="0"/>
        <w:bidi w:val="0"/>
        <w:snapToGrid/>
        <w:spacing w:line="600" w:lineRule="exact"/>
        <w:ind w:firstLine="800" w:firstLineChars="25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202</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年度财政拨款支出年初预算数为</w:t>
      </w:r>
      <w:r>
        <w:rPr>
          <w:rFonts w:hint="eastAsia" w:ascii="仿宋_GB2312" w:hAnsi="仿宋_GB2312" w:eastAsia="仿宋_GB2312" w:cs="仿宋_GB2312"/>
          <w:sz w:val="32"/>
          <w:szCs w:val="32"/>
          <w:lang w:val="en-US" w:eastAsia="zh-CN"/>
        </w:rPr>
        <w:t>2868.55</w:t>
      </w:r>
      <w:r>
        <w:rPr>
          <w:rFonts w:hint="eastAsia" w:ascii="仿宋_GB2312" w:hAnsi="仿宋_GB2312" w:eastAsia="仿宋_GB2312" w:cs="仿宋_GB2312"/>
          <w:sz w:val="32"/>
          <w:szCs w:val="32"/>
        </w:rPr>
        <w:t>万元，支出决算数为</w:t>
      </w:r>
      <w:r>
        <w:rPr>
          <w:rFonts w:hint="eastAsia" w:ascii="仿宋_GB2312" w:hAnsi="仿宋_GB2312" w:eastAsia="仿宋_GB2312" w:cs="仿宋_GB2312"/>
          <w:sz w:val="32"/>
          <w:szCs w:val="32"/>
          <w:lang w:val="en-US" w:eastAsia="zh-CN"/>
        </w:rPr>
        <w:t>3699.58</w:t>
      </w:r>
      <w:r>
        <w:rPr>
          <w:rFonts w:hint="eastAsia" w:ascii="仿宋_GB2312" w:hAnsi="仿宋_GB2312" w:eastAsia="仿宋_GB2312" w:cs="仿宋_GB2312"/>
          <w:sz w:val="32"/>
          <w:szCs w:val="32"/>
        </w:rPr>
        <w:t>万元，完成年初预算的</w:t>
      </w:r>
      <w:r>
        <w:rPr>
          <w:rFonts w:hint="eastAsia" w:ascii="仿宋_GB2312" w:hAnsi="仿宋_GB2312" w:eastAsia="仿宋_GB2312" w:cs="仿宋_GB2312"/>
          <w:sz w:val="32"/>
          <w:szCs w:val="32"/>
          <w:lang w:val="en-US" w:eastAsia="zh-CN"/>
        </w:rPr>
        <w:t>128.97</w:t>
      </w:r>
      <w:r>
        <w:rPr>
          <w:rFonts w:hint="eastAsia" w:ascii="仿宋_GB2312" w:hAnsi="仿宋_GB2312" w:eastAsia="仿宋_GB2312" w:cs="仿宋_GB2312"/>
          <w:sz w:val="32"/>
          <w:szCs w:val="32"/>
        </w:rPr>
        <w:t>%，其中：</w:t>
      </w:r>
    </w:p>
    <w:p w14:paraId="011A379F">
      <w:pPr>
        <w:pStyle w:val="13"/>
        <w:spacing w:line="600" w:lineRule="exact"/>
        <w:ind w:firstLine="800" w:firstLineChars="250"/>
        <w:rPr>
          <w:rFonts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、教育支出（类）教育管理事务（款）一般行政管理事务（项）。</w:t>
      </w:r>
    </w:p>
    <w:p w14:paraId="2C6A3D71">
      <w:pPr>
        <w:pStyle w:val="13"/>
        <w:spacing w:line="600" w:lineRule="exact"/>
        <w:ind w:firstLine="800" w:firstLineChars="250"/>
        <w:rPr>
          <w:rFonts w:ascii="仿宋_GB2312" w:hAnsi="仿宋_GB2312" w:eastAsia="仿宋_GB2312" w:cs="仿宋_GB2312"/>
          <w:sz w:val="32"/>
          <w:szCs w:val="32"/>
        </w:rPr>
      </w:pPr>
      <w:r>
        <w:rPr>
          <w:rFonts w:hint="eastAsia" w:ascii="仿宋_GB2312" w:hAnsi="仿宋_GB2312" w:eastAsia="仿宋_GB2312" w:cs="仿宋_GB2312"/>
          <w:sz w:val="32"/>
          <w:szCs w:val="32"/>
        </w:rPr>
        <w:t>年初预算为0万元，支出决算为</w:t>
      </w:r>
      <w:r>
        <w:rPr>
          <w:rFonts w:hint="eastAsia" w:ascii="仿宋_GB2312" w:hAnsi="仿宋_GB2312" w:eastAsia="仿宋_GB2312" w:cs="仿宋_GB2312"/>
          <w:sz w:val="32"/>
          <w:szCs w:val="32"/>
          <w:lang w:val="en-US" w:eastAsia="zh-CN"/>
        </w:rPr>
        <w:t>160.56</w:t>
      </w:r>
      <w:r>
        <w:rPr>
          <w:rFonts w:hint="eastAsia" w:ascii="仿宋_GB2312" w:hAnsi="仿宋_GB2312" w:eastAsia="仿宋_GB2312" w:cs="仿宋_GB2312"/>
          <w:sz w:val="32"/>
          <w:szCs w:val="32"/>
        </w:rPr>
        <w:t>万元，决算数大于年初预算数的主要原因是：追加</w:t>
      </w:r>
      <w:r>
        <w:rPr>
          <w:rFonts w:hint="eastAsia" w:ascii="仿宋_GB2312" w:hAnsi="仿宋_GB2312" w:eastAsia="仿宋_GB2312" w:cs="仿宋_GB2312"/>
          <w:sz w:val="32"/>
          <w:szCs w:val="32"/>
          <w:lang w:val="en-US" w:eastAsia="zh-CN"/>
        </w:rPr>
        <w:t>2023年度考核奖及</w:t>
      </w:r>
      <w:r>
        <w:rPr>
          <w:rFonts w:hint="eastAsia" w:ascii="仿宋_GB2312" w:hAnsi="仿宋_GB2312" w:eastAsia="仿宋_GB2312" w:cs="仿宋_GB2312"/>
          <w:sz w:val="32"/>
          <w:szCs w:val="32"/>
        </w:rPr>
        <w:t>退休人员年终一个月工资奖。</w:t>
      </w:r>
    </w:p>
    <w:p w14:paraId="15574EE9">
      <w:pPr>
        <w:pStyle w:val="13"/>
        <w:spacing w:line="600" w:lineRule="exact"/>
        <w:ind w:firstLine="800" w:firstLineChars="25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2、教育支出（类）普通教育（款）高中教育（项）。</w:t>
      </w:r>
    </w:p>
    <w:p w14:paraId="7F45B501">
      <w:pPr>
        <w:pStyle w:val="13"/>
        <w:spacing w:line="600" w:lineRule="exact"/>
        <w:ind w:firstLine="800" w:firstLineChars="250"/>
        <w:rPr>
          <w:rFonts w:ascii="仿宋_GB2312" w:hAnsi="仿宋_GB2312" w:eastAsia="仿宋_GB2312" w:cs="仿宋_GB2312"/>
          <w:sz w:val="32"/>
          <w:szCs w:val="32"/>
        </w:rPr>
      </w:pPr>
      <w:r>
        <w:rPr>
          <w:rFonts w:hint="eastAsia" w:ascii="仿宋_GB2312" w:hAnsi="仿宋_GB2312" w:eastAsia="仿宋_GB2312" w:cs="仿宋_GB2312"/>
          <w:sz w:val="32"/>
          <w:szCs w:val="32"/>
        </w:rPr>
        <w:t>年初预算为</w:t>
      </w:r>
      <w:r>
        <w:rPr>
          <w:rFonts w:hint="eastAsia" w:ascii="仿宋_GB2312" w:hAnsi="仿宋_GB2312" w:eastAsia="仿宋_GB2312" w:cs="仿宋_GB2312"/>
          <w:sz w:val="32"/>
          <w:szCs w:val="32"/>
          <w:lang w:val="en-US" w:eastAsia="zh-CN"/>
        </w:rPr>
        <w:t>2129.39</w:t>
      </w:r>
      <w:r>
        <w:rPr>
          <w:rFonts w:hint="eastAsia" w:ascii="仿宋_GB2312" w:hAnsi="仿宋_GB2312" w:eastAsia="仿宋_GB2312" w:cs="仿宋_GB2312"/>
          <w:sz w:val="32"/>
          <w:szCs w:val="32"/>
        </w:rPr>
        <w:t>万元，支出决算为</w:t>
      </w:r>
      <w:r>
        <w:rPr>
          <w:rFonts w:hint="eastAsia" w:ascii="仿宋_GB2312" w:hAnsi="仿宋_GB2312" w:eastAsia="仿宋_GB2312" w:cs="仿宋_GB2312"/>
          <w:sz w:val="32"/>
          <w:szCs w:val="32"/>
          <w:lang w:val="en-US" w:eastAsia="zh-CN"/>
        </w:rPr>
        <w:t>2117.86</w:t>
      </w:r>
      <w:r>
        <w:rPr>
          <w:rFonts w:hint="eastAsia" w:ascii="仿宋_GB2312" w:hAnsi="仿宋_GB2312" w:eastAsia="仿宋_GB2312" w:cs="仿宋_GB2312"/>
          <w:sz w:val="32"/>
          <w:szCs w:val="32"/>
        </w:rPr>
        <w:t>万元，完成年初预算的99.4</w:t>
      </w:r>
      <w:r>
        <w:rPr>
          <w:rFonts w:hint="eastAsia" w:ascii="仿宋_GB2312" w:hAnsi="仿宋_GB2312" w:eastAsia="仿宋_GB2312" w:cs="仿宋_GB2312"/>
          <w:sz w:val="32"/>
          <w:szCs w:val="32"/>
          <w:lang w:val="en-US" w:eastAsia="zh-CN"/>
        </w:rPr>
        <w:t>6</w:t>
      </w:r>
      <w:r>
        <w:rPr>
          <w:rFonts w:hint="eastAsia" w:ascii="仿宋_GB2312" w:hAnsi="仿宋_GB2312" w:eastAsia="仿宋_GB2312" w:cs="仿宋_GB2312"/>
          <w:sz w:val="32"/>
          <w:szCs w:val="32"/>
        </w:rPr>
        <w:t>%，决算数小于年初预算数的主要原因是：</w:t>
      </w:r>
      <w:r>
        <w:rPr>
          <w:rFonts w:hint="eastAsia" w:ascii="仿宋_GB2312" w:hAnsi="仿宋_GB2312" w:eastAsia="仿宋_GB2312" w:cs="仿宋_GB2312"/>
          <w:sz w:val="32"/>
          <w:szCs w:val="32"/>
          <w:lang w:val="en-US" w:eastAsia="zh-CN"/>
        </w:rPr>
        <w:t>2024年度退休教师较多，实际支出小于年初预算。</w:t>
      </w:r>
    </w:p>
    <w:p w14:paraId="389E139A">
      <w:pPr>
        <w:pStyle w:val="13"/>
        <w:numPr>
          <w:ilvl w:val="0"/>
          <w:numId w:val="2"/>
        </w:numPr>
        <w:spacing w:line="600" w:lineRule="exact"/>
        <w:ind w:firstLine="800" w:firstLineChars="250"/>
        <w:rPr>
          <w:rFonts w:ascii="仿宋_GB2312" w:hAnsi="仿宋_GB2312" w:eastAsia="仿宋_GB2312" w:cs="仿宋_GB2312"/>
          <w:sz w:val="32"/>
          <w:szCs w:val="32"/>
        </w:rPr>
      </w:pPr>
      <w:r>
        <w:rPr>
          <w:rFonts w:hint="eastAsia" w:ascii="仿宋_GB2312" w:hAnsi="仿宋_GB2312" w:eastAsia="仿宋_GB2312" w:cs="仿宋_GB2312"/>
          <w:sz w:val="32"/>
          <w:szCs w:val="32"/>
        </w:rPr>
        <w:t>教育支出（类）普通教育（款）其他普通教育支出（项）。</w:t>
      </w:r>
    </w:p>
    <w:p w14:paraId="0842DF00">
      <w:pPr>
        <w:pStyle w:val="13"/>
        <w:spacing w:line="600" w:lineRule="exact"/>
        <w:ind w:firstLine="800" w:firstLineChars="250"/>
        <w:rPr>
          <w:rFonts w:ascii="仿宋_GB2312" w:hAnsi="仿宋_GB2312" w:eastAsia="仿宋_GB2312" w:cs="仿宋_GB2312"/>
          <w:sz w:val="32"/>
          <w:szCs w:val="32"/>
        </w:rPr>
      </w:pPr>
      <w:r>
        <w:rPr>
          <w:rFonts w:hint="eastAsia" w:ascii="仿宋_GB2312" w:hAnsi="仿宋_GB2312" w:eastAsia="仿宋_GB2312" w:cs="仿宋_GB2312"/>
          <w:sz w:val="32"/>
          <w:szCs w:val="32"/>
        </w:rPr>
        <w:t>年初预算为0万元，支出决算为</w:t>
      </w:r>
      <w:r>
        <w:rPr>
          <w:rFonts w:hint="eastAsia" w:ascii="仿宋_GB2312" w:hAnsi="仿宋_GB2312" w:eastAsia="仿宋_GB2312" w:cs="仿宋_GB2312"/>
          <w:sz w:val="32"/>
          <w:szCs w:val="32"/>
          <w:lang w:val="en-US" w:eastAsia="zh-CN"/>
        </w:rPr>
        <w:t>51.76</w:t>
      </w:r>
      <w:r>
        <w:rPr>
          <w:rFonts w:hint="eastAsia" w:ascii="仿宋_GB2312" w:hAnsi="仿宋_GB2312" w:eastAsia="仿宋_GB2312" w:cs="仿宋_GB2312"/>
          <w:sz w:val="32"/>
          <w:szCs w:val="32"/>
        </w:rPr>
        <w:t>万元，决算数大于年初预算数的主要原因是：202</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年人员经费补差。</w:t>
      </w:r>
    </w:p>
    <w:p w14:paraId="333B198A">
      <w:pPr>
        <w:pStyle w:val="13"/>
        <w:numPr>
          <w:ilvl w:val="0"/>
          <w:numId w:val="2"/>
        </w:numPr>
        <w:spacing w:line="600" w:lineRule="exact"/>
        <w:ind w:firstLine="800" w:firstLineChars="250"/>
        <w:rPr>
          <w:rFonts w:ascii="仿宋_GB2312" w:hAnsi="仿宋_GB2312" w:eastAsia="仿宋_GB2312" w:cs="仿宋_GB2312"/>
          <w:sz w:val="32"/>
          <w:szCs w:val="32"/>
        </w:rPr>
      </w:pPr>
      <w:r>
        <w:rPr>
          <w:rFonts w:hint="eastAsia" w:ascii="仿宋_GB2312" w:hAnsi="仿宋_GB2312" w:eastAsia="仿宋_GB2312" w:cs="仿宋_GB2312"/>
          <w:sz w:val="32"/>
          <w:szCs w:val="32"/>
        </w:rPr>
        <w:t>教育支出（类） 教育费附加安排的支出（款）其他教育费附加安排的支出（项）。</w:t>
      </w:r>
    </w:p>
    <w:p w14:paraId="254F0F50">
      <w:pPr>
        <w:pStyle w:val="13"/>
        <w:spacing w:line="600" w:lineRule="exact"/>
        <w:ind w:firstLine="800" w:firstLineChars="25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年初预算为24万元，支出决算为</w:t>
      </w:r>
      <w:r>
        <w:rPr>
          <w:rFonts w:hint="eastAsia" w:ascii="仿宋_GB2312" w:hAnsi="仿宋_GB2312" w:eastAsia="仿宋_GB2312" w:cs="仿宋_GB2312"/>
          <w:sz w:val="32"/>
          <w:szCs w:val="32"/>
          <w:lang w:val="en-US" w:eastAsia="zh-CN"/>
        </w:rPr>
        <w:t>677.92</w:t>
      </w:r>
      <w:r>
        <w:rPr>
          <w:rFonts w:hint="eastAsia" w:ascii="仿宋_GB2312" w:hAnsi="仿宋_GB2312" w:eastAsia="仿宋_GB2312" w:cs="仿宋_GB2312"/>
          <w:sz w:val="32"/>
          <w:szCs w:val="32"/>
        </w:rPr>
        <w:t>万元，完成年初预算的</w:t>
      </w:r>
      <w:r>
        <w:rPr>
          <w:rFonts w:hint="eastAsia" w:ascii="仿宋_GB2312" w:hAnsi="仿宋_GB2312" w:eastAsia="仿宋_GB2312" w:cs="仿宋_GB2312"/>
          <w:sz w:val="32"/>
          <w:szCs w:val="32"/>
          <w:lang w:val="en-US" w:eastAsia="zh-CN"/>
        </w:rPr>
        <w:t>2824.67</w:t>
      </w:r>
      <w:r>
        <w:rPr>
          <w:rFonts w:hint="eastAsia" w:ascii="仿宋_GB2312" w:hAnsi="仿宋_GB2312" w:eastAsia="仿宋_GB2312" w:cs="仿宋_GB2312"/>
          <w:sz w:val="32"/>
          <w:szCs w:val="32"/>
        </w:rPr>
        <w:t>%，决算数大于年初预算数的主要原因是：增加教师保障房项目、教学楼（至善楼、至诚楼）安全隐患整改项目</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设施设备采购及</w:t>
      </w:r>
      <w:r>
        <w:rPr>
          <w:rFonts w:hint="eastAsia" w:ascii="仿宋_GB2312" w:hAnsi="仿宋_GB2312" w:eastAsia="仿宋_GB2312" w:cs="仿宋_GB2312"/>
          <w:sz w:val="32"/>
          <w:szCs w:val="32"/>
        </w:rPr>
        <w:t>追加生均经费</w:t>
      </w:r>
      <w:r>
        <w:rPr>
          <w:rFonts w:hint="eastAsia" w:ascii="仿宋_GB2312" w:hAnsi="仿宋_GB2312" w:eastAsia="仿宋_GB2312" w:cs="仿宋_GB2312"/>
          <w:sz w:val="32"/>
          <w:szCs w:val="32"/>
          <w:lang w:val="en-US" w:eastAsia="zh-CN"/>
        </w:rPr>
        <w:t>等</w:t>
      </w:r>
      <w:r>
        <w:rPr>
          <w:rFonts w:hint="eastAsia" w:ascii="仿宋_GB2312" w:hAnsi="仿宋_GB2312" w:eastAsia="仿宋_GB2312" w:cs="仿宋_GB2312"/>
          <w:sz w:val="32"/>
          <w:szCs w:val="32"/>
        </w:rPr>
        <w:t>。</w:t>
      </w:r>
    </w:p>
    <w:p w14:paraId="7096EC69">
      <w:pPr>
        <w:pStyle w:val="13"/>
        <w:numPr>
          <w:ilvl w:val="0"/>
          <w:numId w:val="2"/>
        </w:numPr>
        <w:spacing w:line="600" w:lineRule="exact"/>
        <w:ind w:left="0" w:leftChars="0" w:firstLine="800" w:firstLineChars="25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科学技术支出（类）其他科学技术支出（款）其他科学技术支出（项）。</w:t>
      </w:r>
    </w:p>
    <w:p w14:paraId="096A9842">
      <w:pPr>
        <w:pStyle w:val="13"/>
        <w:keepNext w:val="0"/>
        <w:keepLines w:val="0"/>
        <w:pageBreakBefore w:val="0"/>
        <w:widowControl w:val="0"/>
        <w:kinsoku/>
        <w:wordWrap/>
        <w:overflowPunct/>
        <w:topLinePunct w:val="0"/>
        <w:bidi w:val="0"/>
        <w:snapToGrid/>
        <w:spacing w:line="600" w:lineRule="exact"/>
        <w:ind w:firstLine="800" w:firstLineChars="25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年初预算为</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万元，支出决算为</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万元，决算数大于（小于）年初预算数的主要原因是：</w:t>
      </w:r>
      <w:r>
        <w:rPr>
          <w:rFonts w:hint="eastAsia" w:ascii="仿宋_GB2312" w:hAnsi="仿宋_GB2312" w:eastAsia="仿宋_GB2312" w:cs="仿宋_GB2312"/>
          <w:sz w:val="32"/>
          <w:szCs w:val="32"/>
          <w:lang w:val="en-US" w:eastAsia="zh-CN"/>
        </w:rPr>
        <w:t>追加名师工作室工作经费。</w:t>
      </w:r>
    </w:p>
    <w:p w14:paraId="6D10238F">
      <w:pPr>
        <w:pStyle w:val="13"/>
        <w:numPr>
          <w:ilvl w:val="0"/>
          <w:numId w:val="2"/>
        </w:numPr>
        <w:spacing w:line="600" w:lineRule="exact"/>
        <w:ind w:firstLine="800" w:firstLineChars="250"/>
        <w:rPr>
          <w:rFonts w:ascii="仿宋_GB2312" w:hAnsi="仿宋_GB2312" w:eastAsia="仿宋_GB2312" w:cs="仿宋_GB2312"/>
          <w:sz w:val="32"/>
          <w:szCs w:val="32"/>
        </w:rPr>
      </w:pPr>
      <w:r>
        <w:rPr>
          <w:rFonts w:hint="eastAsia" w:ascii="仿宋_GB2312" w:hAnsi="仿宋_GB2312" w:eastAsia="仿宋_GB2312" w:cs="仿宋_GB2312"/>
          <w:sz w:val="32"/>
          <w:szCs w:val="32"/>
        </w:rPr>
        <w:t>社会保障和就业支出（类） 行政事业单位养老支出（款）事业单位离退休（项）。</w:t>
      </w:r>
    </w:p>
    <w:p w14:paraId="78A5EF46">
      <w:pPr>
        <w:pStyle w:val="13"/>
        <w:spacing w:line="600" w:lineRule="exact"/>
        <w:ind w:firstLine="800" w:firstLineChars="25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年初预算为0万元，支出决算为</w:t>
      </w:r>
      <w:r>
        <w:rPr>
          <w:rFonts w:hint="eastAsia" w:ascii="仿宋_GB2312" w:hAnsi="仿宋_GB2312" w:eastAsia="仿宋_GB2312" w:cs="仿宋_GB2312"/>
          <w:sz w:val="32"/>
          <w:szCs w:val="32"/>
          <w:lang w:val="en-US" w:eastAsia="zh-CN"/>
        </w:rPr>
        <w:t>49.05</w:t>
      </w:r>
      <w:r>
        <w:rPr>
          <w:rFonts w:hint="eastAsia" w:ascii="仿宋_GB2312" w:hAnsi="仿宋_GB2312" w:eastAsia="仿宋_GB2312" w:cs="仿宋_GB2312"/>
          <w:sz w:val="32"/>
          <w:szCs w:val="32"/>
        </w:rPr>
        <w:t>万元，决算数大于年初预算数的主要原因是：年中追加退休人员综合绩效奖和平安建设奖。</w:t>
      </w:r>
    </w:p>
    <w:p w14:paraId="1BA41CDA">
      <w:pPr>
        <w:pStyle w:val="13"/>
        <w:numPr>
          <w:ilvl w:val="0"/>
          <w:numId w:val="2"/>
        </w:numPr>
        <w:spacing w:line="600" w:lineRule="exact"/>
        <w:ind w:firstLine="800" w:firstLineChars="25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社会保障和就业支出（类） 行政事业单位养老支出（款） 机关事业单位基本养老保险缴费支出</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项</w:t>
      </w:r>
      <w:r>
        <w:rPr>
          <w:rFonts w:hint="eastAsia" w:ascii="仿宋_GB2312" w:hAnsi="仿宋_GB2312" w:eastAsia="仿宋_GB2312" w:cs="仿宋_GB2312"/>
          <w:sz w:val="32"/>
          <w:szCs w:val="32"/>
          <w:lang w:eastAsia="zh-CN"/>
        </w:rPr>
        <w:t>）。</w:t>
      </w:r>
    </w:p>
    <w:p w14:paraId="6D4FBD60">
      <w:pPr>
        <w:pStyle w:val="13"/>
        <w:spacing w:line="600" w:lineRule="exact"/>
        <w:ind w:firstLine="800" w:firstLineChars="250"/>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年初预算为</w:t>
      </w:r>
      <w:r>
        <w:rPr>
          <w:rFonts w:hint="eastAsia" w:ascii="仿宋_GB2312" w:hAnsi="仿宋_GB2312" w:eastAsia="仿宋_GB2312" w:cs="仿宋_GB2312"/>
          <w:sz w:val="32"/>
          <w:szCs w:val="32"/>
          <w:lang w:val="en-US" w:eastAsia="zh-CN"/>
        </w:rPr>
        <w:t>274.34</w:t>
      </w:r>
      <w:r>
        <w:rPr>
          <w:rFonts w:hint="eastAsia" w:ascii="仿宋_GB2312" w:hAnsi="仿宋_GB2312" w:eastAsia="仿宋_GB2312" w:cs="仿宋_GB2312"/>
          <w:sz w:val="32"/>
          <w:szCs w:val="32"/>
        </w:rPr>
        <w:t>万元，支出决算为</w:t>
      </w:r>
      <w:r>
        <w:rPr>
          <w:rFonts w:hint="eastAsia" w:ascii="仿宋_GB2312" w:hAnsi="仿宋_GB2312" w:eastAsia="仿宋_GB2312" w:cs="仿宋_GB2312"/>
          <w:sz w:val="32"/>
          <w:szCs w:val="32"/>
          <w:lang w:val="en-US" w:eastAsia="zh-CN"/>
        </w:rPr>
        <w:t>251.43</w:t>
      </w:r>
      <w:r>
        <w:rPr>
          <w:rFonts w:hint="eastAsia" w:ascii="仿宋_GB2312" w:hAnsi="仿宋_GB2312" w:eastAsia="仿宋_GB2312" w:cs="仿宋_GB2312"/>
          <w:sz w:val="32"/>
          <w:szCs w:val="32"/>
        </w:rPr>
        <w:t>万元，完成年初预算的</w:t>
      </w:r>
      <w:r>
        <w:rPr>
          <w:rFonts w:hint="eastAsia" w:ascii="仿宋_GB2312" w:hAnsi="仿宋_GB2312" w:eastAsia="仿宋_GB2312" w:cs="仿宋_GB2312"/>
          <w:sz w:val="32"/>
          <w:szCs w:val="32"/>
          <w:lang w:val="en-US" w:eastAsia="zh-CN"/>
        </w:rPr>
        <w:t>91.65%</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决算数</w:t>
      </w:r>
      <w:r>
        <w:rPr>
          <w:rFonts w:hint="eastAsia" w:ascii="仿宋_GB2312" w:hAnsi="仿宋_GB2312" w:eastAsia="仿宋_GB2312" w:cs="仿宋_GB2312"/>
          <w:sz w:val="32"/>
          <w:szCs w:val="32"/>
          <w:lang w:val="en-US" w:eastAsia="zh-CN"/>
        </w:rPr>
        <w:t>小</w:t>
      </w:r>
      <w:r>
        <w:rPr>
          <w:rFonts w:hint="eastAsia" w:ascii="仿宋_GB2312" w:hAnsi="仿宋_GB2312" w:eastAsia="仿宋_GB2312" w:cs="仿宋_GB2312"/>
          <w:sz w:val="32"/>
          <w:szCs w:val="32"/>
        </w:rPr>
        <w:t>于年初预算数的主要原因是：</w:t>
      </w:r>
      <w:r>
        <w:rPr>
          <w:rFonts w:hint="eastAsia" w:ascii="仿宋_GB2312" w:hAnsi="仿宋_GB2312" w:eastAsia="仿宋_GB2312" w:cs="仿宋_GB2312"/>
          <w:sz w:val="32"/>
          <w:szCs w:val="32"/>
          <w:lang w:val="en-US" w:eastAsia="zh-CN"/>
        </w:rPr>
        <w:t>2024年度退休教师较多，实际支出小于年初预算。</w:t>
      </w:r>
    </w:p>
    <w:p w14:paraId="21DE6F75">
      <w:pPr>
        <w:pStyle w:val="13"/>
        <w:numPr>
          <w:ilvl w:val="0"/>
          <w:numId w:val="2"/>
        </w:numPr>
        <w:spacing w:line="600" w:lineRule="exact"/>
        <w:ind w:firstLine="800" w:firstLineChars="250"/>
        <w:rPr>
          <w:rFonts w:ascii="仿宋_GB2312" w:hAnsi="仿宋_GB2312" w:eastAsia="仿宋_GB2312" w:cs="仿宋_GB2312"/>
          <w:sz w:val="32"/>
          <w:szCs w:val="32"/>
        </w:rPr>
      </w:pPr>
      <w:r>
        <w:rPr>
          <w:rFonts w:hint="eastAsia" w:ascii="仿宋_GB2312" w:hAnsi="仿宋_GB2312" w:eastAsia="仿宋_GB2312" w:cs="仿宋_GB2312"/>
          <w:sz w:val="32"/>
          <w:szCs w:val="32"/>
        </w:rPr>
        <w:t>社会保障和就业支出（类） 抚恤（款）其他优抚支出（项）。</w:t>
      </w:r>
    </w:p>
    <w:p w14:paraId="79D49C3D">
      <w:pPr>
        <w:pStyle w:val="13"/>
        <w:spacing w:line="600" w:lineRule="exact"/>
        <w:ind w:firstLine="800" w:firstLineChars="250"/>
        <w:rPr>
          <w:rFonts w:ascii="仿宋_GB2312" w:hAnsi="仿宋_GB2312" w:eastAsia="仿宋_GB2312" w:cs="仿宋_GB2312"/>
          <w:sz w:val="32"/>
          <w:szCs w:val="32"/>
        </w:rPr>
      </w:pPr>
      <w:r>
        <w:rPr>
          <w:rFonts w:hint="eastAsia" w:ascii="仿宋_GB2312" w:hAnsi="仿宋_GB2312" w:eastAsia="仿宋_GB2312" w:cs="仿宋_GB2312"/>
          <w:sz w:val="32"/>
          <w:szCs w:val="32"/>
        </w:rPr>
        <w:t>年初预算为0万元，支出决算为</w:t>
      </w:r>
      <w:r>
        <w:rPr>
          <w:rFonts w:hint="eastAsia" w:ascii="仿宋_GB2312" w:hAnsi="仿宋_GB2312" w:eastAsia="仿宋_GB2312" w:cs="仿宋_GB2312"/>
          <w:sz w:val="32"/>
          <w:szCs w:val="32"/>
          <w:lang w:val="en-US" w:eastAsia="zh-CN"/>
        </w:rPr>
        <w:t>1.24</w:t>
      </w:r>
      <w:r>
        <w:rPr>
          <w:rFonts w:hint="eastAsia" w:ascii="仿宋_GB2312" w:hAnsi="仿宋_GB2312" w:eastAsia="仿宋_GB2312" w:cs="仿宋_GB2312"/>
          <w:sz w:val="32"/>
          <w:szCs w:val="32"/>
        </w:rPr>
        <w:t>万元，决算数大于年初预算数的主要原因是：</w:t>
      </w:r>
      <w:r>
        <w:rPr>
          <w:rFonts w:hint="eastAsia" w:ascii="Times New Roman" w:hAnsi="Times New Roman" w:eastAsia="仿宋_GB2312"/>
          <w:sz w:val="32"/>
          <w:szCs w:val="32"/>
        </w:rPr>
        <w:t>追加抚恤金。</w:t>
      </w:r>
    </w:p>
    <w:p w14:paraId="44924834">
      <w:pPr>
        <w:pStyle w:val="13"/>
        <w:numPr>
          <w:ilvl w:val="0"/>
          <w:numId w:val="2"/>
        </w:numPr>
        <w:spacing w:line="600" w:lineRule="exact"/>
        <w:ind w:firstLine="800" w:firstLineChars="250"/>
        <w:rPr>
          <w:rFonts w:ascii="仿宋_GB2312" w:hAnsi="仿宋_GB2312" w:eastAsia="仿宋_GB2312" w:cs="仿宋_GB2312"/>
          <w:sz w:val="32"/>
          <w:szCs w:val="32"/>
        </w:rPr>
      </w:pPr>
      <w:r>
        <w:rPr>
          <w:rFonts w:hint="eastAsia" w:ascii="仿宋_GB2312" w:hAnsi="仿宋_GB2312" w:eastAsia="仿宋_GB2312" w:cs="仿宋_GB2312"/>
          <w:sz w:val="32"/>
          <w:szCs w:val="32"/>
        </w:rPr>
        <w:t>社会保障和就业支出（类） 其他社会保障和就业支出（款）其他社会保障和就业支出（项）。</w:t>
      </w:r>
    </w:p>
    <w:p w14:paraId="5D291C1D">
      <w:pPr>
        <w:pStyle w:val="13"/>
        <w:spacing w:line="600" w:lineRule="exact"/>
        <w:ind w:firstLine="800" w:firstLineChars="25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年初预算为</w:t>
      </w:r>
      <w:r>
        <w:rPr>
          <w:rFonts w:hint="eastAsia" w:ascii="仿宋_GB2312" w:hAnsi="仿宋_GB2312" w:eastAsia="仿宋_GB2312" w:cs="仿宋_GB2312"/>
          <w:sz w:val="32"/>
          <w:szCs w:val="32"/>
          <w:lang w:val="en-US" w:eastAsia="zh-CN"/>
        </w:rPr>
        <w:t>60.01</w:t>
      </w:r>
      <w:r>
        <w:rPr>
          <w:rFonts w:hint="eastAsia" w:ascii="仿宋_GB2312" w:hAnsi="仿宋_GB2312" w:eastAsia="仿宋_GB2312" w:cs="仿宋_GB2312"/>
          <w:sz w:val="32"/>
          <w:szCs w:val="32"/>
        </w:rPr>
        <w:t>万元，支出决算为</w:t>
      </w:r>
      <w:r>
        <w:rPr>
          <w:rFonts w:hint="eastAsia" w:ascii="仿宋_GB2312" w:hAnsi="仿宋_GB2312" w:eastAsia="仿宋_GB2312" w:cs="仿宋_GB2312"/>
          <w:sz w:val="32"/>
          <w:szCs w:val="32"/>
          <w:lang w:val="en-US" w:eastAsia="zh-CN"/>
        </w:rPr>
        <w:t>59.98</w:t>
      </w:r>
      <w:r>
        <w:rPr>
          <w:rFonts w:hint="eastAsia" w:ascii="仿宋_GB2312" w:hAnsi="仿宋_GB2312" w:eastAsia="仿宋_GB2312" w:cs="仿宋_GB2312"/>
          <w:sz w:val="32"/>
          <w:szCs w:val="32"/>
        </w:rPr>
        <w:t>万元，完成年初预算的</w:t>
      </w:r>
      <w:r>
        <w:rPr>
          <w:rFonts w:hint="eastAsia" w:ascii="仿宋_GB2312" w:hAnsi="仿宋_GB2312" w:eastAsia="仿宋_GB2312" w:cs="仿宋_GB2312"/>
          <w:sz w:val="32"/>
          <w:szCs w:val="32"/>
          <w:lang w:val="en-US" w:eastAsia="zh-CN"/>
        </w:rPr>
        <w:t>99.95%</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决算数</w:t>
      </w:r>
      <w:r>
        <w:rPr>
          <w:rFonts w:hint="eastAsia" w:ascii="仿宋_GB2312" w:hAnsi="仿宋_GB2312" w:eastAsia="仿宋_GB2312" w:cs="仿宋_GB2312"/>
          <w:sz w:val="32"/>
          <w:szCs w:val="32"/>
          <w:lang w:val="en-US" w:eastAsia="zh-CN"/>
        </w:rPr>
        <w:t>小</w:t>
      </w:r>
      <w:r>
        <w:rPr>
          <w:rFonts w:hint="eastAsia" w:ascii="仿宋_GB2312" w:hAnsi="仿宋_GB2312" w:eastAsia="仿宋_GB2312" w:cs="仿宋_GB2312"/>
          <w:sz w:val="32"/>
          <w:szCs w:val="32"/>
        </w:rPr>
        <w:t>于年初预算数的主要原因是：</w:t>
      </w:r>
      <w:r>
        <w:rPr>
          <w:rFonts w:hint="eastAsia" w:ascii="仿宋_GB2312" w:hAnsi="仿宋_GB2312" w:eastAsia="仿宋_GB2312" w:cs="仿宋_GB2312"/>
          <w:sz w:val="32"/>
          <w:szCs w:val="32"/>
          <w:lang w:val="en-US" w:eastAsia="zh-CN"/>
        </w:rPr>
        <w:t>2024年度退休教师较多，实际支出小于年初预算。</w:t>
      </w:r>
    </w:p>
    <w:p w14:paraId="14FD86F4">
      <w:pPr>
        <w:pStyle w:val="13"/>
        <w:numPr>
          <w:ilvl w:val="0"/>
          <w:numId w:val="2"/>
        </w:numPr>
        <w:spacing w:line="600" w:lineRule="exact"/>
        <w:ind w:left="0" w:leftChars="0" w:firstLine="800" w:firstLineChars="25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卫生健康支出（类）行政事业单位医疗（款）事业单位医疗（项）。</w:t>
      </w:r>
    </w:p>
    <w:p w14:paraId="5D60B160">
      <w:pPr>
        <w:pStyle w:val="13"/>
        <w:spacing w:line="600" w:lineRule="exact"/>
        <w:ind w:firstLine="800" w:firstLineChars="25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年初预算为</w:t>
      </w:r>
      <w:r>
        <w:rPr>
          <w:rFonts w:hint="eastAsia" w:ascii="仿宋_GB2312" w:hAnsi="仿宋_GB2312" w:eastAsia="仿宋_GB2312" w:cs="仿宋_GB2312"/>
          <w:sz w:val="32"/>
          <w:szCs w:val="32"/>
          <w:lang w:val="en-US" w:eastAsia="zh-CN"/>
        </w:rPr>
        <w:t>132.1</w:t>
      </w:r>
      <w:r>
        <w:rPr>
          <w:rFonts w:hint="eastAsia" w:ascii="仿宋_GB2312" w:hAnsi="仿宋_GB2312" w:eastAsia="仿宋_GB2312" w:cs="仿宋_GB2312"/>
          <w:sz w:val="32"/>
          <w:szCs w:val="32"/>
        </w:rPr>
        <w:t>万元，支出决算为</w:t>
      </w:r>
      <w:r>
        <w:rPr>
          <w:rFonts w:hint="eastAsia" w:ascii="仿宋_GB2312" w:hAnsi="仿宋_GB2312" w:eastAsia="仿宋_GB2312" w:cs="仿宋_GB2312"/>
          <w:sz w:val="32"/>
          <w:szCs w:val="32"/>
          <w:lang w:val="en-US" w:eastAsia="zh-CN"/>
        </w:rPr>
        <w:t>131.59</w:t>
      </w:r>
      <w:r>
        <w:rPr>
          <w:rFonts w:hint="eastAsia" w:ascii="仿宋_GB2312" w:hAnsi="仿宋_GB2312" w:eastAsia="仿宋_GB2312" w:cs="仿宋_GB2312"/>
          <w:sz w:val="32"/>
          <w:szCs w:val="32"/>
        </w:rPr>
        <w:t>万元，完成年初预算的</w:t>
      </w:r>
      <w:r>
        <w:rPr>
          <w:rFonts w:hint="eastAsia" w:ascii="仿宋_GB2312" w:hAnsi="仿宋_GB2312" w:eastAsia="仿宋_GB2312" w:cs="仿宋_GB2312"/>
          <w:sz w:val="32"/>
          <w:szCs w:val="32"/>
          <w:lang w:val="en-US" w:eastAsia="zh-CN"/>
        </w:rPr>
        <w:t>99.61%</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决算数</w:t>
      </w:r>
      <w:r>
        <w:rPr>
          <w:rFonts w:hint="eastAsia" w:ascii="仿宋_GB2312" w:hAnsi="仿宋_GB2312" w:eastAsia="仿宋_GB2312" w:cs="仿宋_GB2312"/>
          <w:sz w:val="32"/>
          <w:szCs w:val="32"/>
          <w:lang w:val="en-US" w:eastAsia="zh-CN"/>
        </w:rPr>
        <w:t>小</w:t>
      </w:r>
      <w:r>
        <w:rPr>
          <w:rFonts w:hint="eastAsia" w:ascii="仿宋_GB2312" w:hAnsi="仿宋_GB2312" w:eastAsia="仿宋_GB2312" w:cs="仿宋_GB2312"/>
          <w:sz w:val="32"/>
          <w:szCs w:val="32"/>
        </w:rPr>
        <w:t>于年初预算数的主要原因是：</w:t>
      </w:r>
      <w:r>
        <w:rPr>
          <w:rFonts w:hint="eastAsia" w:ascii="仿宋_GB2312" w:hAnsi="仿宋_GB2312" w:eastAsia="仿宋_GB2312" w:cs="仿宋_GB2312"/>
          <w:sz w:val="32"/>
          <w:szCs w:val="32"/>
          <w:lang w:val="en-US" w:eastAsia="zh-CN"/>
        </w:rPr>
        <w:t>2024年度退休教师较多，实际支出小于年初预算。</w:t>
      </w:r>
    </w:p>
    <w:p w14:paraId="5AA5337C">
      <w:pPr>
        <w:pStyle w:val="13"/>
        <w:numPr>
          <w:ilvl w:val="0"/>
          <w:numId w:val="2"/>
        </w:numPr>
        <w:spacing w:line="600" w:lineRule="exact"/>
        <w:ind w:left="0" w:leftChars="0" w:firstLine="800" w:firstLineChars="25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11、卫生健康支出（类）行政事业单位医疗（款）公务员医疗补助（项）。</w:t>
      </w:r>
    </w:p>
    <w:p w14:paraId="1515EA2C">
      <w:pPr>
        <w:pStyle w:val="13"/>
        <w:numPr>
          <w:ilvl w:val="0"/>
          <w:numId w:val="0"/>
        </w:numPr>
        <w:spacing w:line="600" w:lineRule="exact"/>
        <w:ind w:leftChars="250" w:firstLine="320" w:firstLineChars="100"/>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年初预算为</w:t>
      </w:r>
      <w:r>
        <w:rPr>
          <w:rFonts w:hint="eastAsia" w:ascii="仿宋_GB2312" w:hAnsi="仿宋_GB2312" w:eastAsia="仿宋_GB2312" w:cs="仿宋_GB2312"/>
          <w:sz w:val="32"/>
          <w:szCs w:val="32"/>
          <w:lang w:val="en-US" w:eastAsia="zh-CN"/>
        </w:rPr>
        <w:t>51.6</w:t>
      </w:r>
      <w:r>
        <w:rPr>
          <w:rFonts w:hint="eastAsia" w:ascii="仿宋_GB2312" w:hAnsi="仿宋_GB2312" w:eastAsia="仿宋_GB2312" w:cs="仿宋_GB2312"/>
          <w:sz w:val="32"/>
          <w:szCs w:val="32"/>
        </w:rPr>
        <w:t>万元，支出决算为</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万元，完成年初预算的</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决算数</w:t>
      </w:r>
      <w:r>
        <w:rPr>
          <w:rFonts w:hint="eastAsia" w:ascii="仿宋_GB2312" w:hAnsi="仿宋_GB2312" w:eastAsia="仿宋_GB2312" w:cs="仿宋_GB2312"/>
          <w:sz w:val="32"/>
          <w:szCs w:val="32"/>
          <w:lang w:val="en-US" w:eastAsia="zh-CN"/>
        </w:rPr>
        <w:t>小于</w:t>
      </w:r>
      <w:r>
        <w:rPr>
          <w:rFonts w:hint="eastAsia" w:ascii="仿宋_GB2312" w:hAnsi="仿宋_GB2312" w:eastAsia="仿宋_GB2312" w:cs="仿宋_GB2312"/>
          <w:sz w:val="32"/>
          <w:szCs w:val="32"/>
        </w:rPr>
        <w:t>年初预算数的主要原因是：</w:t>
      </w:r>
      <w:r>
        <w:rPr>
          <w:rFonts w:hint="eastAsia" w:ascii="仿宋_GB2312" w:hAnsi="仿宋_GB2312" w:eastAsia="仿宋_GB2312" w:cs="仿宋_GB2312"/>
          <w:sz w:val="32"/>
          <w:szCs w:val="32"/>
          <w:lang w:val="en-US" w:eastAsia="zh-CN"/>
        </w:rPr>
        <w:t>本单位无公务员编制人员。</w:t>
      </w:r>
    </w:p>
    <w:p w14:paraId="76B7604E">
      <w:pPr>
        <w:pStyle w:val="13"/>
        <w:numPr>
          <w:ilvl w:val="0"/>
          <w:numId w:val="0"/>
        </w:numPr>
        <w:spacing w:line="600" w:lineRule="exact"/>
        <w:ind w:leftChars="250" w:firstLine="320" w:firstLineChars="100"/>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12、住房保障支出（类）住房改革支出（款）住房公积金（项）。</w:t>
      </w:r>
    </w:p>
    <w:p w14:paraId="2A3E43D7">
      <w:pPr>
        <w:pStyle w:val="13"/>
        <w:numPr>
          <w:ilvl w:val="0"/>
          <w:numId w:val="0"/>
        </w:numPr>
        <w:spacing w:line="600" w:lineRule="exact"/>
        <w:ind w:leftChars="250" w:firstLine="320" w:firstLineChars="1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年初预算为</w:t>
      </w:r>
      <w:r>
        <w:rPr>
          <w:rFonts w:hint="eastAsia" w:ascii="仿宋_GB2312" w:hAnsi="仿宋_GB2312" w:eastAsia="仿宋_GB2312" w:cs="仿宋_GB2312"/>
          <w:sz w:val="32"/>
          <w:szCs w:val="32"/>
          <w:lang w:val="en-US" w:eastAsia="zh-CN"/>
        </w:rPr>
        <w:t>197.11</w:t>
      </w:r>
      <w:r>
        <w:rPr>
          <w:rFonts w:hint="eastAsia" w:ascii="仿宋_GB2312" w:hAnsi="仿宋_GB2312" w:eastAsia="仿宋_GB2312" w:cs="仿宋_GB2312"/>
          <w:sz w:val="32"/>
          <w:szCs w:val="32"/>
        </w:rPr>
        <w:t>万元，支出决算为</w:t>
      </w:r>
      <w:r>
        <w:rPr>
          <w:rFonts w:hint="eastAsia" w:ascii="仿宋_GB2312" w:hAnsi="仿宋_GB2312" w:eastAsia="仿宋_GB2312" w:cs="仿宋_GB2312"/>
          <w:sz w:val="32"/>
          <w:szCs w:val="32"/>
          <w:lang w:val="en-US" w:eastAsia="zh-CN"/>
        </w:rPr>
        <w:t>194.19</w:t>
      </w:r>
      <w:r>
        <w:rPr>
          <w:rFonts w:hint="eastAsia" w:ascii="仿宋_GB2312" w:hAnsi="仿宋_GB2312" w:eastAsia="仿宋_GB2312" w:cs="仿宋_GB2312"/>
          <w:sz w:val="32"/>
          <w:szCs w:val="32"/>
        </w:rPr>
        <w:t>万元，完成年初预算的</w:t>
      </w:r>
      <w:r>
        <w:rPr>
          <w:rFonts w:hint="eastAsia" w:ascii="仿宋_GB2312" w:hAnsi="仿宋_GB2312" w:eastAsia="仿宋_GB2312" w:cs="仿宋_GB2312"/>
          <w:sz w:val="32"/>
          <w:szCs w:val="32"/>
          <w:lang w:val="en-US" w:eastAsia="zh-CN"/>
        </w:rPr>
        <w:t>98.52%</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决算数</w:t>
      </w:r>
      <w:r>
        <w:rPr>
          <w:rFonts w:hint="eastAsia" w:ascii="仿宋_GB2312" w:hAnsi="仿宋_GB2312" w:eastAsia="仿宋_GB2312" w:cs="仿宋_GB2312"/>
          <w:sz w:val="32"/>
          <w:szCs w:val="32"/>
          <w:lang w:val="en-US" w:eastAsia="zh-CN"/>
        </w:rPr>
        <w:t>小于</w:t>
      </w:r>
      <w:r>
        <w:rPr>
          <w:rFonts w:hint="eastAsia" w:ascii="仿宋_GB2312" w:hAnsi="仿宋_GB2312" w:eastAsia="仿宋_GB2312" w:cs="仿宋_GB2312"/>
          <w:sz w:val="32"/>
          <w:szCs w:val="32"/>
        </w:rPr>
        <w:t>年初预算数的主要原因是：</w:t>
      </w:r>
      <w:r>
        <w:rPr>
          <w:rFonts w:hint="eastAsia" w:ascii="仿宋_GB2312" w:hAnsi="仿宋_GB2312" w:eastAsia="仿宋_GB2312" w:cs="仿宋_GB2312"/>
          <w:sz w:val="32"/>
          <w:szCs w:val="32"/>
          <w:lang w:val="en-US" w:eastAsia="zh-CN"/>
        </w:rPr>
        <w:t>2024年度退休教师较多，实际支出小于年初预算。</w:t>
      </w:r>
    </w:p>
    <w:p w14:paraId="373E8BA2">
      <w:pPr>
        <w:pStyle w:val="13"/>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黑体" w:hAnsi="黑体" w:eastAsia="黑体" w:cs="黑体"/>
          <w:b w:val="0"/>
          <w:bCs/>
          <w:sz w:val="32"/>
          <w:szCs w:val="32"/>
        </w:rPr>
      </w:pPr>
      <w:r>
        <w:rPr>
          <w:rFonts w:hint="eastAsia" w:ascii="黑体" w:hAnsi="黑体" w:eastAsia="黑体" w:cs="黑体"/>
          <w:b w:val="0"/>
          <w:bCs/>
          <w:sz w:val="32"/>
          <w:szCs w:val="32"/>
        </w:rPr>
        <w:t>六、一般公共预算财政拨款基本支出决算情况说明</w:t>
      </w:r>
    </w:p>
    <w:p w14:paraId="293AEB61">
      <w:pPr>
        <w:pStyle w:val="13"/>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202</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年度</w:t>
      </w:r>
      <w:r>
        <w:rPr>
          <w:rFonts w:hint="eastAsia" w:ascii="仿宋_GB2312" w:hAnsi="仿宋_GB2312" w:eastAsia="仿宋_GB2312" w:cs="仿宋_GB2312"/>
          <w:sz w:val="32"/>
          <w:szCs w:val="32"/>
          <w:lang w:eastAsia="zh-CN"/>
        </w:rPr>
        <w:t>一般公共预算</w:t>
      </w:r>
      <w:r>
        <w:rPr>
          <w:rFonts w:hint="eastAsia" w:ascii="仿宋_GB2312" w:hAnsi="仿宋_GB2312" w:eastAsia="仿宋_GB2312" w:cs="仿宋_GB2312"/>
          <w:sz w:val="32"/>
          <w:szCs w:val="32"/>
        </w:rPr>
        <w:t>财政拨款基本支出</w:t>
      </w:r>
      <w:r>
        <w:rPr>
          <w:rFonts w:hint="eastAsia" w:ascii="仿宋_GB2312" w:hAnsi="仿宋_GB2312" w:eastAsia="仿宋_GB2312" w:cs="仿宋_GB2312"/>
          <w:sz w:val="32"/>
          <w:szCs w:val="32"/>
          <w:lang w:val="en-US" w:eastAsia="zh-CN"/>
        </w:rPr>
        <w:t>3008.57</w:t>
      </w:r>
      <w:r>
        <w:rPr>
          <w:rFonts w:hint="eastAsia" w:ascii="仿宋_GB2312" w:hAnsi="仿宋_GB2312" w:eastAsia="仿宋_GB2312" w:cs="仿宋_GB2312"/>
          <w:sz w:val="32"/>
          <w:szCs w:val="32"/>
        </w:rPr>
        <w:t>万元，其中：</w:t>
      </w:r>
    </w:p>
    <w:p w14:paraId="1A2571AF">
      <w:pPr>
        <w:pStyle w:val="13"/>
        <w:spacing w:line="600" w:lineRule="exact"/>
        <w:ind w:firstLine="640" w:firstLineChars="200"/>
        <w:rPr>
          <w:rFonts w:ascii="Times New Roman" w:hAnsi="Times New Roman" w:eastAsia="仿宋_GB2312"/>
          <w:sz w:val="32"/>
          <w:szCs w:val="32"/>
        </w:rPr>
      </w:pPr>
      <w:r>
        <w:rPr>
          <w:rFonts w:hint="eastAsia" w:ascii="仿宋_GB2312" w:hAnsi="仿宋_GB2312" w:eastAsia="仿宋_GB2312" w:cs="仿宋_GB2312"/>
          <w:b/>
          <w:bCs/>
          <w:sz w:val="32"/>
          <w:szCs w:val="32"/>
        </w:rPr>
        <w:t>人员经费</w:t>
      </w:r>
      <w:r>
        <w:rPr>
          <w:rFonts w:hint="eastAsia" w:ascii="仿宋_GB2312" w:hAnsi="仿宋_GB2312" w:eastAsia="仿宋_GB2312" w:cs="仿宋_GB2312"/>
          <w:sz w:val="32"/>
          <w:szCs w:val="32"/>
          <w:lang w:val="en-US" w:eastAsia="zh-CN"/>
        </w:rPr>
        <w:t>2900.46</w:t>
      </w:r>
      <w:r>
        <w:rPr>
          <w:rFonts w:hint="eastAsia" w:ascii="仿宋_GB2312" w:hAnsi="仿宋_GB2312" w:eastAsia="仿宋_GB2312" w:cs="仿宋_GB2312"/>
          <w:sz w:val="32"/>
          <w:szCs w:val="32"/>
        </w:rPr>
        <w:t>万元，占基本支出的</w:t>
      </w:r>
      <w:r>
        <w:rPr>
          <w:rFonts w:hint="eastAsia" w:ascii="仿宋_GB2312" w:hAnsi="仿宋_GB2312" w:eastAsia="仿宋_GB2312" w:cs="仿宋_GB2312"/>
          <w:sz w:val="32"/>
          <w:szCs w:val="32"/>
          <w:lang w:val="en-US" w:eastAsia="zh-CN"/>
        </w:rPr>
        <w:t>96.41</w:t>
      </w:r>
      <w:r>
        <w:rPr>
          <w:rFonts w:hint="eastAsia" w:ascii="仿宋_GB2312" w:hAnsi="仿宋_GB2312" w:eastAsia="仿宋_GB2312" w:cs="仿宋_GB2312"/>
          <w:sz w:val="32"/>
          <w:szCs w:val="32"/>
        </w:rPr>
        <w:t>%,主要包括</w:t>
      </w:r>
      <w:r>
        <w:rPr>
          <w:rFonts w:hint="eastAsia" w:ascii="Times New Roman" w:hAnsi="Times New Roman" w:eastAsia="仿宋_GB2312"/>
          <w:sz w:val="32"/>
          <w:szCs w:val="32"/>
        </w:rPr>
        <w:t>基本工资、津贴补贴、奖金、伙食补助费、绩效工资、机关事业单位基本养老保险缴费、职业年金缴费、住房公积金、职工基本医疗保险缴费、其他社会保障缴费、其他工资福利支出、退休费、医疗费补助、其他对个人和家庭的补助。</w:t>
      </w:r>
    </w:p>
    <w:p w14:paraId="51A336F2">
      <w:pPr>
        <w:pStyle w:val="13"/>
        <w:spacing w:line="600" w:lineRule="exact"/>
        <w:ind w:firstLine="640" w:firstLineChars="200"/>
        <w:rPr>
          <w:rFonts w:hint="eastAsia" w:ascii="仿宋_GB2312" w:hAnsi="仿宋_GB2312" w:eastAsia="仿宋_GB2312" w:cs="仿宋_GB2312"/>
          <w:b w:val="0"/>
          <w:bCs/>
          <w:sz w:val="32"/>
          <w:szCs w:val="32"/>
        </w:rPr>
      </w:pPr>
      <w:r>
        <w:rPr>
          <w:rFonts w:hint="eastAsia" w:ascii="仿宋_GB2312" w:hAnsi="仿宋_GB2312" w:eastAsia="仿宋_GB2312" w:cs="仿宋_GB2312"/>
          <w:b/>
          <w:bCs/>
          <w:sz w:val="32"/>
          <w:szCs w:val="32"/>
        </w:rPr>
        <w:t>公用经费</w:t>
      </w:r>
      <w:r>
        <w:rPr>
          <w:rFonts w:hint="eastAsia" w:ascii="仿宋_GB2312" w:hAnsi="仿宋_GB2312" w:eastAsia="仿宋_GB2312" w:cs="仿宋_GB2312"/>
          <w:sz w:val="32"/>
          <w:szCs w:val="32"/>
          <w:lang w:val="en-US" w:eastAsia="zh-CN"/>
        </w:rPr>
        <w:t>108.11</w:t>
      </w:r>
      <w:r>
        <w:rPr>
          <w:rFonts w:hint="eastAsia" w:ascii="仿宋_GB2312" w:hAnsi="仿宋_GB2312" w:eastAsia="仿宋_GB2312" w:cs="仿宋_GB2312"/>
          <w:sz w:val="32"/>
          <w:szCs w:val="32"/>
        </w:rPr>
        <w:t>万元，占基本支出的</w:t>
      </w:r>
      <w:r>
        <w:rPr>
          <w:rFonts w:hint="eastAsia" w:ascii="仿宋_GB2312" w:hAnsi="仿宋_GB2312" w:eastAsia="仿宋_GB2312" w:cs="仿宋_GB2312"/>
          <w:sz w:val="32"/>
          <w:szCs w:val="32"/>
          <w:lang w:val="en-US" w:eastAsia="zh-CN"/>
        </w:rPr>
        <w:t>3.59</w:t>
      </w:r>
      <w:r>
        <w:rPr>
          <w:rFonts w:hint="eastAsia" w:ascii="仿宋_GB2312" w:hAnsi="仿宋_GB2312" w:eastAsia="仿宋_GB2312" w:cs="仿宋_GB2312"/>
          <w:sz w:val="32"/>
          <w:szCs w:val="32"/>
        </w:rPr>
        <w:t>%，主要包括</w:t>
      </w:r>
      <w:r>
        <w:rPr>
          <w:rFonts w:hint="eastAsia" w:ascii="Times New Roman" w:hAnsi="Times New Roman" w:eastAsia="仿宋_GB2312"/>
          <w:sz w:val="32"/>
          <w:szCs w:val="32"/>
        </w:rPr>
        <w:t>办公费、印刷费、电费、邮电费、物业管理费、培训费、劳务费、工会经费、福利费、其他交通费用、其他商品和服务支出。</w:t>
      </w:r>
    </w:p>
    <w:p w14:paraId="12592558">
      <w:pPr>
        <w:pStyle w:val="13"/>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仿宋_GB2312" w:hAnsi="仿宋_GB2312" w:eastAsia="仿宋_GB2312" w:cs="仿宋_GB2312"/>
          <w:b/>
          <w:bCs/>
          <w:i/>
          <w:color w:val="auto"/>
          <w:kern w:val="0"/>
          <w:sz w:val="32"/>
          <w:szCs w:val="32"/>
          <w:lang w:val="en-US" w:eastAsia="zh-CN" w:bidi="ar-SA"/>
        </w:rPr>
      </w:pPr>
      <w:r>
        <w:rPr>
          <w:rFonts w:hint="eastAsia" w:ascii="黑体" w:hAnsi="黑体" w:eastAsia="黑体" w:cs="黑体"/>
          <w:b w:val="0"/>
          <w:bCs/>
          <w:sz w:val="32"/>
          <w:szCs w:val="32"/>
        </w:rPr>
        <w:t>七、政府性基金预算收入支出决算情况</w:t>
      </w:r>
    </w:p>
    <w:p w14:paraId="7B96C244">
      <w:pPr>
        <w:keepNext w:val="0"/>
        <w:keepLines w:val="0"/>
        <w:pageBreakBefore w:val="0"/>
        <w:widowControl w:val="0"/>
        <w:kinsoku/>
        <w:wordWrap/>
        <w:overflowPunct/>
        <w:topLinePunct w:val="0"/>
        <w:autoSpaceDE w:val="0"/>
        <w:autoSpaceDN w:val="0"/>
        <w:bidi w:val="0"/>
        <w:adjustRightInd w:val="0"/>
        <w:snapToGrid/>
        <w:spacing w:line="600" w:lineRule="exact"/>
        <w:ind w:firstLine="640" w:firstLineChars="200"/>
        <w:textAlignment w:val="auto"/>
        <w:rPr>
          <w:rFonts w:hint="eastAsia" w:ascii="黑体" w:hAnsi="黑体" w:eastAsia="黑体" w:cs="黑体"/>
          <w:b w:val="0"/>
          <w:bCs/>
          <w:color w:val="000000"/>
          <w:kern w:val="0"/>
          <w:sz w:val="32"/>
          <w:szCs w:val="32"/>
          <w:highlight w:val="none"/>
          <w:lang w:val="en-US" w:eastAsia="zh-CN" w:bidi="ar-SA"/>
        </w:rPr>
      </w:pPr>
      <w:r>
        <w:rPr>
          <w:rFonts w:hint="eastAsia" w:ascii="仿宋_GB2312" w:hAnsi="仿宋_GB2312" w:eastAsia="仿宋_GB2312" w:cs="仿宋_GB2312"/>
          <w:color w:val="000000"/>
          <w:kern w:val="0"/>
          <w:sz w:val="32"/>
          <w:szCs w:val="32"/>
          <w:lang w:val="en-US" w:eastAsia="zh-CN" w:bidi="ar-SA"/>
        </w:rPr>
        <w:t>2024年度政府性基金预算财政拨款收入0万元；年初结转和结余0万元；支出0万元，其中基本支出0万元，项目支出0万元；年末结转和结余0万元。</w:t>
      </w:r>
    </w:p>
    <w:p w14:paraId="28BDC771">
      <w:pPr>
        <w:keepNext w:val="0"/>
        <w:keepLines w:val="0"/>
        <w:pageBreakBefore w:val="0"/>
        <w:widowControl w:val="0"/>
        <w:kinsoku/>
        <w:wordWrap/>
        <w:overflowPunct/>
        <w:topLinePunct w:val="0"/>
        <w:autoSpaceDE w:val="0"/>
        <w:autoSpaceDN w:val="0"/>
        <w:bidi w:val="0"/>
        <w:adjustRightInd w:val="0"/>
        <w:snapToGrid/>
        <w:spacing w:line="600" w:lineRule="exact"/>
        <w:ind w:firstLine="640" w:firstLineChars="200"/>
        <w:textAlignment w:val="auto"/>
        <w:rPr>
          <w:rFonts w:hint="eastAsia" w:ascii="黑体" w:hAnsi="黑体" w:eastAsia="黑体" w:cs="黑体"/>
          <w:b w:val="0"/>
          <w:bCs/>
          <w:color w:val="000000"/>
          <w:kern w:val="0"/>
          <w:sz w:val="32"/>
          <w:szCs w:val="32"/>
          <w:lang w:val="en-US" w:eastAsia="zh-CN" w:bidi="ar-SA"/>
        </w:rPr>
      </w:pPr>
      <w:r>
        <w:rPr>
          <w:rFonts w:hint="eastAsia" w:ascii="黑体" w:hAnsi="黑体" w:eastAsia="黑体" w:cs="黑体"/>
          <w:b w:val="0"/>
          <w:bCs/>
          <w:color w:val="000000"/>
          <w:kern w:val="0"/>
          <w:sz w:val="32"/>
          <w:szCs w:val="32"/>
          <w:lang w:val="en-US" w:eastAsia="zh-CN" w:bidi="ar-SA"/>
        </w:rPr>
        <w:t>八、国有资本经营预算财政拨款支出决算情况</w:t>
      </w:r>
    </w:p>
    <w:p w14:paraId="64D19482">
      <w:pPr>
        <w:keepNext w:val="0"/>
        <w:keepLines w:val="0"/>
        <w:pageBreakBefore w:val="0"/>
        <w:widowControl w:val="0"/>
        <w:numPr>
          <w:ilvl w:val="0"/>
          <w:numId w:val="0"/>
        </w:numPr>
        <w:kinsoku/>
        <w:wordWrap/>
        <w:overflowPunct/>
        <w:topLinePunct w:val="0"/>
        <w:autoSpaceDE w:val="0"/>
        <w:autoSpaceDN w:val="0"/>
        <w:bidi w:val="0"/>
        <w:adjustRightInd w:val="0"/>
        <w:snapToGrid/>
        <w:spacing w:line="600" w:lineRule="exact"/>
        <w:ind w:firstLine="640" w:firstLineChars="200"/>
        <w:textAlignment w:val="auto"/>
        <w:rPr>
          <w:rFonts w:hint="eastAsia" w:ascii="黑体" w:hAnsi="黑体" w:eastAsia="黑体" w:cs="黑体"/>
          <w:b w:val="0"/>
          <w:bCs/>
          <w:sz w:val="32"/>
          <w:szCs w:val="32"/>
        </w:rPr>
      </w:pPr>
      <w:r>
        <w:rPr>
          <w:rFonts w:hint="eastAsia" w:ascii="仿宋_GB2312" w:hAnsi="仿宋_GB2312" w:eastAsia="仿宋_GB2312" w:cs="仿宋_GB2312"/>
          <w:color w:val="000000"/>
          <w:kern w:val="0"/>
          <w:sz w:val="32"/>
          <w:szCs w:val="32"/>
          <w:lang w:val="en-US" w:eastAsia="zh-CN" w:bidi="ar-SA"/>
        </w:rPr>
        <w:t>2024年度国有资本经营预算财政拨款收入0万元；年初结转和结余0万；支出0万元，其中：基本支出0万元，项目支出0万元；年末结转和结余0万元。</w:t>
      </w:r>
    </w:p>
    <w:p w14:paraId="5876C252">
      <w:pPr>
        <w:pStyle w:val="13"/>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黑体" w:hAnsi="黑体" w:eastAsia="黑体" w:cs="黑体"/>
          <w:b w:val="0"/>
          <w:bCs/>
          <w:sz w:val="32"/>
          <w:szCs w:val="32"/>
        </w:rPr>
      </w:pPr>
      <w:r>
        <w:rPr>
          <w:rFonts w:hint="eastAsia" w:hAnsi="黑体" w:cs="黑体"/>
          <w:b w:val="0"/>
          <w:bCs/>
          <w:sz w:val="32"/>
          <w:szCs w:val="32"/>
          <w:lang w:eastAsia="zh-CN"/>
        </w:rPr>
        <w:t>九、</w:t>
      </w:r>
      <w:r>
        <w:rPr>
          <w:rFonts w:hint="eastAsia" w:ascii="黑体" w:hAnsi="黑体" w:eastAsia="黑体" w:cs="黑体"/>
          <w:b w:val="0"/>
          <w:bCs/>
          <w:sz w:val="32"/>
          <w:szCs w:val="32"/>
        </w:rPr>
        <w:t>财政拨款三公经费支出决算情况说明</w:t>
      </w:r>
    </w:p>
    <w:p w14:paraId="6298EF1D">
      <w:pPr>
        <w:pStyle w:val="13"/>
        <w:overflowPunct w:val="0"/>
        <w:autoSpaceDE/>
        <w:autoSpaceDN/>
        <w:spacing w:line="600" w:lineRule="exact"/>
        <w:ind w:firstLine="640" w:firstLineChars="200"/>
        <w:jc w:val="both"/>
        <w:rPr>
          <w:rFonts w:ascii="Times New Roman" w:hAnsi="Times New Roman" w:eastAsia="楷体_GB2312" w:cs="Times New Roman"/>
          <w:b/>
          <w:sz w:val="32"/>
          <w:szCs w:val="32"/>
        </w:rPr>
      </w:pPr>
      <w:r>
        <w:rPr>
          <w:rFonts w:ascii="Times New Roman" w:hAnsi="Times New Roman" w:eastAsia="楷体_GB2312" w:cs="Times New Roman"/>
          <w:b/>
          <w:sz w:val="32"/>
          <w:szCs w:val="32"/>
        </w:rPr>
        <w:t>（一）</w:t>
      </w:r>
      <w:r>
        <w:rPr>
          <w:rFonts w:hint="eastAsia" w:ascii="Times New Roman" w:hAnsi="Times New Roman" w:eastAsia="楷体_GB2312" w:cs="Times New Roman"/>
          <w:b/>
          <w:sz w:val="32"/>
          <w:szCs w:val="32"/>
          <w:lang w:eastAsia="zh-CN"/>
        </w:rPr>
        <w:t>“三公”</w:t>
      </w:r>
      <w:r>
        <w:rPr>
          <w:rFonts w:ascii="Times New Roman" w:hAnsi="Times New Roman" w:eastAsia="楷体_GB2312" w:cs="Times New Roman"/>
          <w:b/>
          <w:sz w:val="32"/>
          <w:szCs w:val="32"/>
        </w:rPr>
        <w:t>经费财政拨款支出决算总体情况说明</w:t>
      </w:r>
    </w:p>
    <w:p w14:paraId="352D03A7">
      <w:pPr>
        <w:pStyle w:val="13"/>
        <w:overflowPunct w:val="0"/>
        <w:autoSpaceDE/>
        <w:autoSpaceDN/>
        <w:spacing w:line="600" w:lineRule="exact"/>
        <w:ind w:firstLine="640" w:firstLineChars="200"/>
        <w:jc w:val="both"/>
        <w:rPr>
          <w:rFonts w:ascii="Times New Roman" w:hAnsi="Times New Roman" w:eastAsia="楷体_GB2312" w:cs="Times New Roman"/>
          <w:b/>
          <w:sz w:val="32"/>
          <w:szCs w:val="32"/>
        </w:rPr>
      </w:pPr>
      <w:r>
        <w:rPr>
          <w:rFonts w:hint="eastAsia" w:ascii="仿宋_GB2312" w:hAnsi="仿宋_GB2312" w:eastAsia="仿宋_GB2312" w:cs="仿宋_GB2312"/>
          <w:color w:val="000000"/>
          <w:kern w:val="0"/>
          <w:sz w:val="32"/>
          <w:szCs w:val="32"/>
          <w:lang w:val="en-US" w:eastAsia="zh-CN" w:bidi="ar-SA"/>
        </w:rPr>
        <w:t>2024年度“三公”经费财政拨款支出预算为0万元，支出决算为0万元，决算数等于预算数，主要原因是我单位严格按预算执行决算；与上年一致，无增减变动，主要原因是按有关政策厉行节约，严控“三公经费”支出。</w:t>
      </w:r>
      <w:r>
        <w:rPr>
          <w:rFonts w:ascii="Times New Roman" w:hAnsi="Times New Roman" w:eastAsia="楷体_GB2312" w:cs="Times New Roman"/>
          <w:b/>
          <w:sz w:val="32"/>
          <w:szCs w:val="32"/>
        </w:rPr>
        <w:t>（二）</w:t>
      </w:r>
      <w:r>
        <w:rPr>
          <w:rFonts w:hint="eastAsia" w:ascii="Times New Roman" w:hAnsi="Times New Roman" w:eastAsia="楷体_GB2312" w:cs="Times New Roman"/>
          <w:b/>
          <w:sz w:val="32"/>
          <w:szCs w:val="32"/>
          <w:lang w:eastAsia="zh-CN"/>
        </w:rPr>
        <w:t>“三公”</w:t>
      </w:r>
      <w:r>
        <w:rPr>
          <w:rFonts w:ascii="Times New Roman" w:hAnsi="Times New Roman" w:eastAsia="楷体_GB2312" w:cs="Times New Roman"/>
          <w:b/>
          <w:sz w:val="32"/>
          <w:szCs w:val="32"/>
        </w:rPr>
        <w:t>经费财政拨款支出决算具体情况说明</w:t>
      </w:r>
    </w:p>
    <w:p w14:paraId="1CF083E8">
      <w:pPr>
        <w:pStyle w:val="13"/>
        <w:overflowPunct w:val="0"/>
        <w:autoSpaceDE/>
        <w:autoSpaceDN/>
        <w:spacing w:line="600" w:lineRule="exact"/>
        <w:ind w:firstLine="640" w:firstLineChars="200"/>
        <w:jc w:val="both"/>
        <w:rPr>
          <w:rFonts w:hint="eastAsia" w:ascii="仿宋_GB2312" w:hAnsi="仿宋_GB2312" w:eastAsia="仿宋_GB2312" w:cs="仿宋_GB2312"/>
          <w:color w:val="000000"/>
          <w:kern w:val="0"/>
          <w:sz w:val="32"/>
          <w:szCs w:val="32"/>
          <w:lang w:val="en-US" w:eastAsia="zh-CN" w:bidi="ar-SA"/>
        </w:rPr>
      </w:pPr>
      <w:r>
        <w:rPr>
          <w:rFonts w:ascii="Times New Roman" w:hAnsi="Times New Roman" w:eastAsia="仿宋_GB2312" w:cs="Times New Roman"/>
          <w:sz w:val="32"/>
          <w:szCs w:val="32"/>
        </w:rPr>
        <w:t>1.</w:t>
      </w:r>
      <w:r>
        <w:rPr>
          <w:rFonts w:hint="eastAsia" w:ascii="仿宋_GB2312" w:hAnsi="仿宋_GB2312" w:eastAsia="仿宋_GB2312" w:cs="仿宋_GB2312"/>
          <w:color w:val="000000"/>
          <w:kern w:val="0"/>
          <w:sz w:val="32"/>
          <w:szCs w:val="32"/>
          <w:lang w:val="en-US" w:eastAsia="zh-CN" w:bidi="ar-SA"/>
        </w:rPr>
        <w:t>因公出国（境）费支出预算为0万元，支出决算为0万元，决算数等于预算数，主要原因是我单位严格按预算执行决算；与上年一致，无增减变动，主要原因是未安排因公出国（境）活动。2024年度安排因公出国（境）团组0个，累计0人次。</w:t>
      </w:r>
    </w:p>
    <w:p w14:paraId="1CF535F1">
      <w:pPr>
        <w:pStyle w:val="13"/>
        <w:overflowPunct w:val="0"/>
        <w:autoSpaceDE/>
        <w:autoSpaceDN/>
        <w:spacing w:line="600" w:lineRule="exact"/>
        <w:ind w:firstLine="640" w:firstLineChars="200"/>
        <w:jc w:val="both"/>
        <w:rPr>
          <w:rFonts w:hint="eastAsia" w:ascii="仿宋_GB2312" w:hAnsi="仿宋_GB2312" w:eastAsia="仿宋_GB2312" w:cs="仿宋_GB2312"/>
          <w:color w:val="000000"/>
          <w:kern w:val="0"/>
          <w:sz w:val="32"/>
          <w:szCs w:val="32"/>
          <w:lang w:val="en-US" w:eastAsia="zh-CN" w:bidi="ar-SA"/>
        </w:rPr>
      </w:pPr>
      <w:r>
        <w:rPr>
          <w:rFonts w:ascii="Times New Roman" w:hAnsi="Times New Roman" w:eastAsia="仿宋_GB2312" w:cs="Times New Roman"/>
          <w:sz w:val="32"/>
          <w:szCs w:val="32"/>
        </w:rPr>
        <w:t>2.</w:t>
      </w:r>
      <w:r>
        <w:rPr>
          <w:rFonts w:hint="eastAsia" w:ascii="仿宋_GB2312" w:hAnsi="仿宋_GB2312" w:eastAsia="仿宋_GB2312" w:cs="仿宋_GB2312"/>
          <w:color w:val="000000"/>
          <w:kern w:val="0"/>
          <w:sz w:val="32"/>
          <w:szCs w:val="32"/>
          <w:lang w:val="en-US" w:eastAsia="zh-CN" w:bidi="ar-SA"/>
        </w:rPr>
        <w:t>公务用车购置费及运行维护费支出预算为0万元，支出决算为0万元，决算数等于预算数；与上年一致，无增减变动。其中：</w:t>
      </w:r>
    </w:p>
    <w:p w14:paraId="5AD2F290">
      <w:pPr>
        <w:pStyle w:val="13"/>
        <w:overflowPunct w:val="0"/>
        <w:autoSpaceDE/>
        <w:autoSpaceDN/>
        <w:spacing w:line="600" w:lineRule="exact"/>
        <w:ind w:firstLine="640" w:firstLineChars="200"/>
        <w:jc w:val="both"/>
        <w:rPr>
          <w:rFonts w:hint="eastAsia" w:ascii="仿宋_GB2312" w:hAnsi="仿宋_GB2312" w:eastAsia="仿宋_GB2312" w:cs="仿宋_GB2312"/>
          <w:color w:val="000000"/>
          <w:kern w:val="0"/>
          <w:sz w:val="32"/>
          <w:szCs w:val="32"/>
          <w:lang w:val="en-US" w:eastAsia="zh-CN" w:bidi="ar-SA"/>
        </w:rPr>
      </w:pPr>
      <w:r>
        <w:rPr>
          <w:rFonts w:hint="eastAsia" w:ascii="仿宋_GB2312" w:hAnsi="仿宋_GB2312" w:eastAsia="仿宋_GB2312" w:cs="仿宋_GB2312"/>
          <w:color w:val="000000"/>
          <w:kern w:val="0"/>
          <w:sz w:val="32"/>
          <w:szCs w:val="32"/>
          <w:lang w:val="en-US" w:eastAsia="zh-CN" w:bidi="ar-SA"/>
        </w:rPr>
        <w:t>公务用车购置费支出预算为0万元，支出决算为0万元，决算数等于预算数，主要原因是我单位严格按预算执行决算；与上年一致，无增减变动，主要原因是两年均未购置公务用车。本单位更新公务用车0辆。</w:t>
      </w:r>
    </w:p>
    <w:p w14:paraId="5F3F384F">
      <w:pPr>
        <w:pStyle w:val="13"/>
        <w:overflowPunct w:val="0"/>
        <w:autoSpaceDE/>
        <w:autoSpaceDN/>
        <w:spacing w:line="600" w:lineRule="exact"/>
        <w:ind w:firstLine="640" w:firstLineChars="200"/>
        <w:jc w:val="both"/>
        <w:rPr>
          <w:rFonts w:ascii="Times New Roman" w:hAnsi="Times New Roman" w:eastAsia="楷体" w:cs="Times New Roman"/>
          <w:b/>
          <w:bCs/>
          <w:i/>
          <w:color w:val="FF0000"/>
          <w:sz w:val="32"/>
          <w:szCs w:val="32"/>
        </w:rPr>
      </w:pPr>
      <w:r>
        <w:rPr>
          <w:rFonts w:hint="eastAsia" w:ascii="仿宋_GB2312" w:hAnsi="仿宋_GB2312" w:eastAsia="仿宋_GB2312" w:cs="仿宋_GB2312"/>
          <w:color w:val="000000"/>
          <w:kern w:val="0"/>
          <w:sz w:val="32"/>
          <w:szCs w:val="32"/>
          <w:lang w:val="en-US" w:eastAsia="zh-CN" w:bidi="ar-SA"/>
        </w:rPr>
        <w:t>公务用车运行维护费支出预算为0万元，支出决算为0万元，决算数等于预算数，主要原因是我单位严格按预算执行决算；与上年一致，无增减变动，主要原因是两年均无公务用车需要运行维护。 截止到2024年12月31日，我单位开支财政拨款的公务用车保有量为0辆。</w:t>
      </w:r>
    </w:p>
    <w:p w14:paraId="039328FA">
      <w:pPr>
        <w:pStyle w:val="13"/>
        <w:overflowPunct w:val="0"/>
        <w:autoSpaceDE/>
        <w:autoSpaceDN/>
        <w:spacing w:line="600" w:lineRule="exact"/>
        <w:ind w:firstLine="640" w:firstLineChars="200"/>
        <w:jc w:val="both"/>
        <w:rPr>
          <w:rFonts w:hint="eastAsia" w:ascii="Times New Roman" w:hAnsi="Times New Roman" w:eastAsia="仿宋_GB2312"/>
          <w:b/>
          <w:color w:val="auto"/>
          <w:sz w:val="32"/>
          <w:szCs w:val="32"/>
          <w:lang w:eastAsia="zh-CN"/>
        </w:rPr>
      </w:pPr>
      <w:r>
        <w:rPr>
          <w:rFonts w:hint="eastAsia" w:ascii="仿宋_GB2312" w:hAnsi="仿宋_GB2312" w:eastAsia="仿宋_GB2312" w:cs="仿宋_GB2312"/>
          <w:color w:val="000000"/>
          <w:kern w:val="0"/>
          <w:sz w:val="32"/>
          <w:szCs w:val="32"/>
          <w:lang w:val="en-US" w:eastAsia="zh-CN" w:bidi="ar-SA"/>
        </w:rPr>
        <w:t>3.公务接待费支出预算为 0万元，支出决算为0万元，决算数等于预算数，主要原因是严格执行中央八项规定；与上年一致，无增减变动，主要原因是按有关政策厉行节约，严控公务接待支出。2024年度共接待来访团组0个、来宾0人次。</w:t>
      </w:r>
    </w:p>
    <w:p w14:paraId="3D06ACE2">
      <w:pPr>
        <w:pStyle w:val="13"/>
        <w:keepNext w:val="0"/>
        <w:keepLines w:val="0"/>
        <w:pageBreakBefore w:val="0"/>
        <w:widowControl w:val="0"/>
        <w:kinsoku/>
        <w:wordWrap/>
        <w:overflowPunct/>
        <w:topLinePunct w:val="0"/>
        <w:bidi w:val="0"/>
        <w:snapToGrid/>
        <w:spacing w:line="600" w:lineRule="exact"/>
        <w:ind w:firstLine="640" w:firstLineChars="200"/>
        <w:textAlignment w:val="auto"/>
        <w:rPr>
          <w:rFonts w:ascii="Times New Roman" w:hAnsi="Times New Roman" w:eastAsia="仿宋_GB2312"/>
          <w:b/>
          <w:color w:val="auto"/>
          <w:sz w:val="32"/>
          <w:szCs w:val="32"/>
        </w:rPr>
      </w:pPr>
      <w:r>
        <w:rPr>
          <w:rFonts w:hint="eastAsia" w:ascii="Times New Roman" w:hAnsi="Times New Roman" w:eastAsia="仿宋_GB2312"/>
          <w:b/>
          <w:color w:val="auto"/>
          <w:sz w:val="32"/>
          <w:szCs w:val="32"/>
          <w:lang w:eastAsia="zh-CN"/>
        </w:rPr>
        <w:t>十</w:t>
      </w:r>
      <w:r>
        <w:rPr>
          <w:rFonts w:hint="eastAsia" w:ascii="Times New Roman" w:hAnsi="Times New Roman" w:eastAsia="仿宋_GB2312"/>
          <w:b/>
          <w:color w:val="auto"/>
          <w:sz w:val="32"/>
          <w:szCs w:val="32"/>
        </w:rPr>
        <w:t>、关于机关运行经费支出说明</w:t>
      </w:r>
    </w:p>
    <w:p w14:paraId="38BA3ACD">
      <w:pPr>
        <w:pStyle w:val="13"/>
        <w:overflowPunct w:val="0"/>
        <w:autoSpaceDE/>
        <w:autoSpaceDN/>
        <w:spacing w:line="600" w:lineRule="exact"/>
        <w:ind w:firstLine="640" w:firstLineChars="200"/>
        <w:jc w:val="both"/>
        <w:rPr>
          <w:rFonts w:hint="eastAsia" w:ascii="仿宋_GB2312" w:hAnsi="仿宋_GB2312" w:eastAsia="仿宋_GB2312" w:cs="仿宋_GB2312"/>
          <w:color w:val="000000"/>
          <w:kern w:val="0"/>
          <w:sz w:val="32"/>
          <w:szCs w:val="32"/>
          <w:lang w:val="en-US" w:eastAsia="zh-CN" w:bidi="ar-SA"/>
        </w:rPr>
      </w:pPr>
      <w:r>
        <w:rPr>
          <w:rFonts w:hint="eastAsia" w:ascii="仿宋_GB2312" w:hAnsi="仿宋_GB2312" w:eastAsia="仿宋_GB2312" w:cs="仿宋_GB2312"/>
          <w:color w:val="000000"/>
          <w:kern w:val="0"/>
          <w:sz w:val="32"/>
          <w:szCs w:val="32"/>
          <w:lang w:val="en-US" w:eastAsia="zh-CN" w:bidi="ar-SA"/>
        </w:rPr>
        <w:t>本级和所属单位均为事业单位，按照机关运行经费的口径，本年度机关运行经费为0。</w:t>
      </w:r>
    </w:p>
    <w:p w14:paraId="39684EF2">
      <w:pPr>
        <w:pStyle w:val="13"/>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黑体" w:hAnsi="黑体" w:eastAsia="黑体" w:cs="黑体"/>
          <w:b w:val="0"/>
          <w:bCs/>
          <w:sz w:val="32"/>
          <w:szCs w:val="32"/>
        </w:rPr>
      </w:pPr>
      <w:r>
        <w:rPr>
          <w:rFonts w:hint="eastAsia" w:ascii="黑体" w:hAnsi="黑体" w:eastAsia="黑体" w:cs="黑体"/>
          <w:b w:val="0"/>
          <w:bCs/>
          <w:sz w:val="32"/>
          <w:szCs w:val="32"/>
        </w:rPr>
        <w:t>十</w:t>
      </w:r>
      <w:r>
        <w:rPr>
          <w:rFonts w:hint="eastAsia" w:hAnsi="黑体" w:cs="黑体"/>
          <w:b w:val="0"/>
          <w:bCs/>
          <w:sz w:val="32"/>
          <w:szCs w:val="32"/>
          <w:lang w:eastAsia="zh-CN"/>
        </w:rPr>
        <w:t>一</w:t>
      </w:r>
      <w:r>
        <w:rPr>
          <w:rFonts w:hint="eastAsia" w:ascii="黑体" w:hAnsi="黑体" w:eastAsia="黑体" w:cs="黑体"/>
          <w:b w:val="0"/>
          <w:bCs/>
          <w:sz w:val="32"/>
          <w:szCs w:val="32"/>
        </w:rPr>
        <w:t>、一般性支出情况说明</w:t>
      </w:r>
    </w:p>
    <w:p w14:paraId="5E588319">
      <w:pPr>
        <w:pStyle w:val="13"/>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202</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val="en-US" w:eastAsia="zh-CN"/>
        </w:rPr>
        <w:t>年度，会议费年初预算0万元，支出决算为0万元。本单位无会议费的预算和支出决算数。</w:t>
      </w:r>
    </w:p>
    <w:p w14:paraId="121623F3">
      <w:pPr>
        <w:widowControl w:val="0"/>
        <w:autoSpaceDE w:val="0"/>
        <w:autoSpaceDN w:val="0"/>
        <w:adjustRightInd w:val="0"/>
        <w:ind w:firstLine="640" w:firstLineChars="200"/>
        <w:rPr>
          <w:rFonts w:hint="eastAsia" w:ascii="仿宋_GB2312" w:hAnsi="仿宋_GB2312" w:eastAsia="仿宋_GB2312" w:cs="仿宋_GB2312"/>
          <w:color w:val="000000"/>
          <w:kern w:val="0"/>
          <w:sz w:val="32"/>
          <w:szCs w:val="32"/>
          <w:lang w:val="en-US" w:eastAsia="zh-CN" w:bidi="ar-SA"/>
        </w:rPr>
      </w:pPr>
      <w:r>
        <w:rPr>
          <w:rFonts w:hint="eastAsia" w:ascii="仿宋_GB2312" w:hAnsi="仿宋_GB2312" w:eastAsia="仿宋_GB2312" w:cs="仿宋_GB2312"/>
          <w:color w:val="000000"/>
          <w:kern w:val="0"/>
          <w:sz w:val="32"/>
          <w:szCs w:val="32"/>
          <w:lang w:val="en-US" w:eastAsia="zh-CN" w:bidi="ar-SA"/>
        </w:rPr>
        <w:t>培训费年初预算0万元，支出决算为0万元。本单位无培训费的预算和支出决算数。</w:t>
      </w:r>
    </w:p>
    <w:p w14:paraId="1AAFB9B9">
      <w:pPr>
        <w:pStyle w:val="13"/>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仿宋_GB2312" w:hAnsi="仿宋_GB2312" w:eastAsia="仿宋_GB2312" w:cs="仿宋_GB2312"/>
          <w:color w:val="000000"/>
          <w:kern w:val="0"/>
          <w:sz w:val="32"/>
          <w:szCs w:val="32"/>
          <w:lang w:val="en-US" w:eastAsia="zh-CN" w:bidi="ar-SA"/>
        </w:rPr>
      </w:pPr>
      <w:r>
        <w:rPr>
          <w:rFonts w:hint="eastAsia" w:ascii="仿宋_GB2312" w:hAnsi="仿宋_GB2312" w:eastAsia="仿宋_GB2312" w:cs="仿宋_GB2312"/>
          <w:color w:val="000000"/>
          <w:kern w:val="0"/>
          <w:sz w:val="32"/>
          <w:szCs w:val="32"/>
          <w:lang w:val="en-US" w:eastAsia="zh-CN" w:bidi="ar-SA"/>
        </w:rPr>
        <w:t>举办节庆、晚会、论坛、赛事活动年初预算0万元，支出决算为0万元。本单位无举办节庆、晚会、论坛、赛事等活动的预算和支出决算数。</w:t>
      </w:r>
    </w:p>
    <w:p w14:paraId="252D0BEE">
      <w:pPr>
        <w:pStyle w:val="13"/>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黑体" w:hAnsi="黑体" w:eastAsia="黑体" w:cs="黑体"/>
          <w:b w:val="0"/>
          <w:bCs/>
          <w:sz w:val="32"/>
          <w:szCs w:val="32"/>
        </w:rPr>
      </w:pPr>
      <w:r>
        <w:rPr>
          <w:rFonts w:hint="eastAsia" w:ascii="黑体" w:hAnsi="黑体" w:eastAsia="黑体" w:cs="黑体"/>
          <w:b w:val="0"/>
          <w:bCs/>
          <w:sz w:val="32"/>
          <w:szCs w:val="32"/>
        </w:rPr>
        <w:t>十</w:t>
      </w:r>
      <w:r>
        <w:rPr>
          <w:rFonts w:hint="eastAsia" w:hAnsi="黑体" w:cs="黑体"/>
          <w:b w:val="0"/>
          <w:bCs/>
          <w:sz w:val="32"/>
          <w:szCs w:val="32"/>
          <w:lang w:eastAsia="zh-CN"/>
        </w:rPr>
        <w:t>二</w:t>
      </w:r>
      <w:r>
        <w:rPr>
          <w:rFonts w:hint="eastAsia" w:ascii="黑体" w:hAnsi="黑体" w:eastAsia="黑体" w:cs="黑体"/>
          <w:b w:val="0"/>
          <w:bCs/>
          <w:sz w:val="32"/>
          <w:szCs w:val="32"/>
        </w:rPr>
        <w:t>、关于政府采购支出说明</w:t>
      </w:r>
    </w:p>
    <w:p w14:paraId="4120C9CB">
      <w:pPr>
        <w:pStyle w:val="13"/>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sz w:val="32"/>
          <w:szCs w:val="32"/>
        </w:rPr>
        <w:t>本部门202</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年度政府采购支出总额</w:t>
      </w:r>
      <w:r>
        <w:rPr>
          <w:rFonts w:hint="eastAsia" w:ascii="仿宋_GB2312" w:hAnsi="仿宋_GB2312" w:eastAsia="仿宋_GB2312" w:cs="仿宋_GB2312"/>
          <w:sz w:val="32"/>
          <w:szCs w:val="32"/>
          <w:lang w:val="en-US" w:eastAsia="zh-CN"/>
        </w:rPr>
        <w:t>261.43</w:t>
      </w:r>
      <w:r>
        <w:rPr>
          <w:rFonts w:hint="eastAsia" w:ascii="仿宋_GB2312" w:hAnsi="仿宋_GB2312" w:eastAsia="仿宋_GB2312" w:cs="仿宋_GB2312"/>
          <w:sz w:val="32"/>
          <w:szCs w:val="32"/>
        </w:rPr>
        <w:t>万元，其中：政府采购货物支出</w:t>
      </w:r>
      <w:r>
        <w:rPr>
          <w:rFonts w:hint="eastAsia" w:ascii="仿宋_GB2312" w:hAnsi="仿宋_GB2312" w:eastAsia="仿宋_GB2312" w:cs="仿宋_GB2312"/>
          <w:sz w:val="32"/>
          <w:szCs w:val="32"/>
          <w:lang w:val="en-US" w:eastAsia="zh-CN"/>
        </w:rPr>
        <w:t>31.55</w:t>
      </w:r>
      <w:r>
        <w:rPr>
          <w:rFonts w:hint="eastAsia" w:ascii="仿宋_GB2312" w:hAnsi="仿宋_GB2312" w:eastAsia="仿宋_GB2312" w:cs="仿宋_GB2312"/>
          <w:sz w:val="32"/>
          <w:szCs w:val="32"/>
        </w:rPr>
        <w:t>万元、政府采购工程支出</w:t>
      </w:r>
      <w:r>
        <w:rPr>
          <w:rFonts w:hint="eastAsia" w:ascii="仿宋_GB2312" w:hAnsi="仿宋_GB2312" w:eastAsia="仿宋_GB2312" w:cs="仿宋_GB2312"/>
          <w:sz w:val="32"/>
          <w:szCs w:val="32"/>
          <w:lang w:val="en-US" w:eastAsia="zh-CN"/>
        </w:rPr>
        <w:t>72</w:t>
      </w:r>
      <w:r>
        <w:rPr>
          <w:rFonts w:hint="eastAsia" w:ascii="仿宋_GB2312" w:hAnsi="仿宋_GB2312" w:eastAsia="仿宋_GB2312" w:cs="仿宋_GB2312"/>
          <w:sz w:val="32"/>
          <w:szCs w:val="32"/>
        </w:rPr>
        <w:t>万元、政府采购服务支出</w:t>
      </w:r>
      <w:r>
        <w:rPr>
          <w:rFonts w:hint="eastAsia" w:ascii="仿宋_GB2312" w:hAnsi="仿宋_GB2312" w:eastAsia="仿宋_GB2312" w:cs="仿宋_GB2312"/>
          <w:sz w:val="32"/>
          <w:szCs w:val="32"/>
          <w:lang w:val="en-US" w:eastAsia="zh-CN"/>
        </w:rPr>
        <w:t>157.88</w:t>
      </w:r>
      <w:r>
        <w:rPr>
          <w:rFonts w:hint="eastAsia" w:ascii="仿宋_GB2312" w:hAnsi="仿宋_GB2312" w:eastAsia="仿宋_GB2312" w:cs="仿宋_GB2312"/>
          <w:sz w:val="32"/>
          <w:szCs w:val="32"/>
        </w:rPr>
        <w:t>万元。授予中小企业合同金额</w:t>
      </w:r>
      <w:r>
        <w:rPr>
          <w:rFonts w:hint="eastAsia" w:ascii="仿宋_GB2312" w:hAnsi="仿宋_GB2312" w:eastAsia="仿宋_GB2312" w:cs="仿宋_GB2312"/>
          <w:sz w:val="32"/>
          <w:szCs w:val="32"/>
          <w:lang w:val="en-US" w:eastAsia="zh-CN"/>
        </w:rPr>
        <w:t>261.43</w:t>
      </w:r>
      <w:r>
        <w:rPr>
          <w:rFonts w:hint="eastAsia" w:ascii="仿宋_GB2312" w:hAnsi="仿宋_GB2312" w:eastAsia="仿宋_GB2312" w:cs="仿宋_GB2312"/>
          <w:sz w:val="32"/>
          <w:szCs w:val="32"/>
        </w:rPr>
        <w:t>万元，占政府采购支出总额的</w:t>
      </w:r>
      <w:r>
        <w:rPr>
          <w:rFonts w:hint="eastAsia" w:ascii="仿宋_GB2312" w:hAnsi="仿宋_GB2312" w:eastAsia="仿宋_GB2312" w:cs="仿宋_GB2312"/>
          <w:sz w:val="32"/>
          <w:szCs w:val="32"/>
          <w:lang w:val="en-US" w:eastAsia="zh-CN"/>
        </w:rPr>
        <w:t>100</w:t>
      </w:r>
      <w:r>
        <w:rPr>
          <w:rFonts w:hint="eastAsia" w:ascii="仿宋_GB2312" w:hAnsi="仿宋_GB2312" w:eastAsia="仿宋_GB2312" w:cs="仿宋_GB2312"/>
          <w:sz w:val="32"/>
          <w:szCs w:val="32"/>
        </w:rPr>
        <w:t>%，其中：授予小微企业合同金额</w:t>
      </w:r>
      <w:r>
        <w:rPr>
          <w:rFonts w:hint="eastAsia" w:ascii="仿宋_GB2312" w:hAnsi="仿宋_GB2312" w:eastAsia="仿宋_GB2312" w:cs="仿宋_GB2312"/>
          <w:sz w:val="32"/>
          <w:szCs w:val="32"/>
          <w:lang w:val="en-US" w:eastAsia="zh-CN"/>
        </w:rPr>
        <w:t>261.43</w:t>
      </w:r>
      <w:r>
        <w:rPr>
          <w:rFonts w:hint="eastAsia" w:ascii="仿宋_GB2312" w:hAnsi="仿宋_GB2312" w:eastAsia="仿宋_GB2312" w:cs="仿宋_GB2312"/>
          <w:sz w:val="32"/>
          <w:szCs w:val="32"/>
        </w:rPr>
        <w:t>万元，</w:t>
      </w:r>
      <w:r>
        <w:rPr>
          <w:rFonts w:hint="eastAsia" w:ascii="仿宋_GB2312" w:hAnsi="仿宋_GB2312" w:eastAsia="仿宋_GB2312" w:cs="仿宋_GB2312"/>
          <w:color w:val="auto"/>
          <w:sz w:val="32"/>
          <w:szCs w:val="32"/>
        </w:rPr>
        <w:t>占</w:t>
      </w:r>
      <w:r>
        <w:rPr>
          <w:rFonts w:hint="eastAsia" w:ascii="仿宋_GB2312" w:hAnsi="仿宋_GB2312" w:eastAsia="仿宋_GB2312" w:cs="仿宋_GB2312"/>
          <w:color w:val="auto"/>
          <w:sz w:val="32"/>
          <w:szCs w:val="32"/>
          <w:lang w:eastAsia="zh-CN"/>
        </w:rPr>
        <w:t>授予中小企业合同金额</w:t>
      </w:r>
      <w:r>
        <w:rPr>
          <w:rFonts w:hint="eastAsia" w:ascii="仿宋_GB2312" w:hAnsi="仿宋_GB2312" w:eastAsia="仿宋_GB2312" w:cs="仿宋_GB2312"/>
          <w:color w:val="auto"/>
          <w:sz w:val="32"/>
          <w:szCs w:val="32"/>
        </w:rPr>
        <w:t>的</w:t>
      </w:r>
      <w:r>
        <w:rPr>
          <w:rFonts w:hint="eastAsia" w:ascii="仿宋_GB2312" w:hAnsi="仿宋_GB2312" w:eastAsia="仿宋_GB2312" w:cs="仿宋_GB2312"/>
          <w:color w:val="auto"/>
          <w:sz w:val="32"/>
          <w:szCs w:val="32"/>
          <w:lang w:val="en-US" w:eastAsia="zh-CN"/>
        </w:rPr>
        <w:t>100</w:t>
      </w:r>
      <w:r>
        <w:rPr>
          <w:rFonts w:hint="eastAsia" w:ascii="仿宋_GB2312" w:hAnsi="仿宋_GB2312" w:eastAsia="仿宋_GB2312" w:cs="仿宋_GB2312"/>
          <w:color w:val="auto"/>
          <w:sz w:val="32"/>
          <w:szCs w:val="32"/>
        </w:rPr>
        <w:t>%。货物采购授予中小</w:t>
      </w:r>
      <w:r>
        <w:rPr>
          <w:rFonts w:hint="eastAsia" w:ascii="Times New Roman" w:hAnsi="Times New Roman" w:eastAsia="仿宋_GB2312"/>
          <w:color w:val="auto"/>
          <w:sz w:val="32"/>
          <w:szCs w:val="32"/>
        </w:rPr>
        <w:t>企业合同金</w:t>
      </w:r>
      <w:r>
        <w:rPr>
          <w:rFonts w:hint="eastAsia" w:ascii="仿宋_GB2312" w:hAnsi="仿宋_GB2312" w:eastAsia="仿宋_GB2312" w:cs="仿宋_GB2312"/>
          <w:color w:val="auto"/>
          <w:sz w:val="32"/>
          <w:szCs w:val="32"/>
        </w:rPr>
        <w:t>额占货物支出金额的</w:t>
      </w:r>
      <w:r>
        <w:rPr>
          <w:rFonts w:hint="eastAsia" w:ascii="仿宋_GB2312" w:hAnsi="仿宋_GB2312" w:eastAsia="仿宋_GB2312" w:cs="仿宋_GB2312"/>
          <w:color w:val="auto"/>
          <w:sz w:val="32"/>
          <w:szCs w:val="32"/>
          <w:lang w:val="en-US" w:eastAsia="zh-CN"/>
        </w:rPr>
        <w:t>100</w:t>
      </w:r>
      <w:r>
        <w:rPr>
          <w:rFonts w:hint="eastAsia" w:ascii="仿宋_GB2312" w:hAnsi="仿宋_GB2312" w:eastAsia="仿宋_GB2312" w:cs="仿宋_GB2312"/>
          <w:color w:val="auto"/>
          <w:sz w:val="32"/>
          <w:szCs w:val="32"/>
        </w:rPr>
        <w:t>%，工程采购授予中小企业合同金额占工程支出金额的</w:t>
      </w:r>
      <w:r>
        <w:rPr>
          <w:rFonts w:hint="eastAsia" w:ascii="仿宋_GB2312" w:hAnsi="仿宋_GB2312" w:eastAsia="仿宋_GB2312" w:cs="仿宋_GB2312"/>
          <w:color w:val="auto"/>
          <w:sz w:val="32"/>
          <w:szCs w:val="32"/>
          <w:lang w:val="en-US" w:eastAsia="zh-CN"/>
        </w:rPr>
        <w:t>100</w:t>
      </w:r>
      <w:r>
        <w:rPr>
          <w:rFonts w:hint="eastAsia" w:ascii="仿宋_GB2312" w:hAnsi="仿宋_GB2312" w:eastAsia="仿宋_GB2312" w:cs="仿宋_GB2312"/>
          <w:color w:val="auto"/>
          <w:sz w:val="32"/>
          <w:szCs w:val="32"/>
        </w:rPr>
        <w:t>%，服务采购授予中小企业合同金额占服务支出金额的</w:t>
      </w:r>
      <w:r>
        <w:rPr>
          <w:rFonts w:hint="eastAsia" w:ascii="仿宋_GB2312" w:hAnsi="仿宋_GB2312" w:eastAsia="仿宋_GB2312" w:cs="仿宋_GB2312"/>
          <w:color w:val="auto"/>
          <w:sz w:val="32"/>
          <w:szCs w:val="32"/>
          <w:lang w:val="en-US" w:eastAsia="zh-CN"/>
        </w:rPr>
        <w:t>100</w:t>
      </w:r>
      <w:r>
        <w:rPr>
          <w:rFonts w:hint="eastAsia" w:ascii="仿宋_GB2312" w:hAnsi="仿宋_GB2312" w:eastAsia="仿宋_GB2312" w:cs="仿宋_GB2312"/>
          <w:color w:val="auto"/>
          <w:sz w:val="32"/>
          <w:szCs w:val="32"/>
        </w:rPr>
        <w:t>%。</w:t>
      </w:r>
    </w:p>
    <w:p w14:paraId="246A0DF6">
      <w:pPr>
        <w:pStyle w:val="13"/>
        <w:keepNext w:val="0"/>
        <w:keepLines w:val="0"/>
        <w:pageBreakBefore w:val="0"/>
        <w:widowControl w:val="0"/>
        <w:kinsoku/>
        <w:wordWrap/>
        <w:overflowPunct/>
        <w:topLinePunct w:val="0"/>
        <w:autoSpaceDE w:val="0"/>
        <w:autoSpaceDN w:val="0"/>
        <w:bidi w:val="0"/>
        <w:adjustRightInd w:val="0"/>
        <w:snapToGrid/>
        <w:spacing w:line="580" w:lineRule="exact"/>
        <w:ind w:firstLine="640" w:firstLineChars="200"/>
        <w:textAlignment w:val="auto"/>
        <w:rPr>
          <w:rFonts w:hint="eastAsia" w:ascii="黑体" w:hAnsi="黑体" w:eastAsia="黑体" w:cs="黑体"/>
          <w:b w:val="0"/>
          <w:bCs/>
          <w:color w:val="auto"/>
          <w:sz w:val="32"/>
          <w:szCs w:val="32"/>
        </w:rPr>
      </w:pPr>
      <w:r>
        <w:rPr>
          <w:rFonts w:hint="eastAsia" w:ascii="黑体" w:hAnsi="黑体" w:eastAsia="黑体" w:cs="黑体"/>
          <w:b w:val="0"/>
          <w:bCs/>
          <w:color w:val="auto"/>
          <w:sz w:val="32"/>
          <w:szCs w:val="32"/>
        </w:rPr>
        <w:t>十</w:t>
      </w:r>
      <w:r>
        <w:rPr>
          <w:rFonts w:hint="eastAsia" w:hAnsi="黑体" w:cs="黑体"/>
          <w:b w:val="0"/>
          <w:bCs/>
          <w:color w:val="auto"/>
          <w:sz w:val="32"/>
          <w:szCs w:val="32"/>
          <w:lang w:eastAsia="zh-CN"/>
        </w:rPr>
        <w:t>三</w:t>
      </w:r>
      <w:r>
        <w:rPr>
          <w:rFonts w:hint="eastAsia" w:ascii="黑体" w:hAnsi="黑体" w:eastAsia="黑体" w:cs="黑体"/>
          <w:b w:val="0"/>
          <w:bCs/>
          <w:color w:val="auto"/>
          <w:sz w:val="32"/>
          <w:szCs w:val="32"/>
        </w:rPr>
        <w:t>、关于国有资产占用情况说明</w:t>
      </w:r>
    </w:p>
    <w:p w14:paraId="0441A98C">
      <w:pPr>
        <w:pStyle w:val="13"/>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截至2024年12月31日，本单位共有车辆0辆，其中，</w:t>
      </w:r>
      <w:r>
        <w:rPr>
          <w:rFonts w:hint="eastAsia" w:ascii="仿宋_GB2312" w:hAnsi="仿宋_GB2312" w:eastAsia="仿宋_GB2312" w:cs="仿宋_GB2312"/>
          <w:color w:val="auto"/>
          <w:sz w:val="32"/>
          <w:szCs w:val="32"/>
          <w:lang w:eastAsia="zh-CN"/>
        </w:rPr>
        <w:t>副部（省）级及以上领导用车</w:t>
      </w:r>
      <w:r>
        <w:rPr>
          <w:rFonts w:hint="eastAsia" w:ascii="仿宋_GB2312" w:hAnsi="仿宋_GB2312" w:eastAsia="仿宋_GB2312" w:cs="仿宋_GB2312"/>
          <w:color w:val="auto"/>
          <w:sz w:val="32"/>
          <w:szCs w:val="32"/>
          <w:lang w:val="en-US" w:eastAsia="zh-CN"/>
        </w:rPr>
        <w:t>0</w:t>
      </w:r>
      <w:r>
        <w:rPr>
          <w:rFonts w:hint="eastAsia" w:ascii="仿宋_GB2312" w:hAnsi="仿宋_GB2312" w:eastAsia="仿宋_GB2312" w:cs="仿宋_GB2312"/>
          <w:color w:val="auto"/>
          <w:sz w:val="32"/>
          <w:szCs w:val="32"/>
          <w:lang w:eastAsia="zh-CN"/>
        </w:rPr>
        <w:t>辆、主要负责人用车</w:t>
      </w:r>
      <w:r>
        <w:rPr>
          <w:rFonts w:hint="eastAsia" w:ascii="仿宋_GB2312" w:hAnsi="仿宋_GB2312" w:eastAsia="仿宋_GB2312" w:cs="仿宋_GB2312"/>
          <w:color w:val="auto"/>
          <w:sz w:val="32"/>
          <w:szCs w:val="32"/>
          <w:lang w:val="en-US" w:eastAsia="zh-CN"/>
        </w:rPr>
        <w:t>0</w:t>
      </w:r>
      <w:r>
        <w:rPr>
          <w:rFonts w:hint="eastAsia" w:ascii="仿宋_GB2312" w:hAnsi="仿宋_GB2312" w:eastAsia="仿宋_GB2312" w:cs="仿宋_GB2312"/>
          <w:color w:val="auto"/>
          <w:sz w:val="32"/>
          <w:szCs w:val="32"/>
          <w:lang w:eastAsia="zh-CN"/>
        </w:rPr>
        <w:t>辆、机要通信用车</w:t>
      </w:r>
      <w:r>
        <w:rPr>
          <w:rFonts w:hint="eastAsia" w:ascii="仿宋_GB2312" w:hAnsi="仿宋_GB2312" w:eastAsia="仿宋_GB2312" w:cs="仿宋_GB2312"/>
          <w:color w:val="auto"/>
          <w:sz w:val="32"/>
          <w:szCs w:val="32"/>
          <w:lang w:val="en-US" w:eastAsia="zh-CN"/>
        </w:rPr>
        <w:t>0</w:t>
      </w:r>
      <w:r>
        <w:rPr>
          <w:rFonts w:hint="eastAsia" w:ascii="仿宋_GB2312" w:hAnsi="仿宋_GB2312" w:eastAsia="仿宋_GB2312" w:cs="仿宋_GB2312"/>
          <w:color w:val="auto"/>
          <w:sz w:val="32"/>
          <w:szCs w:val="32"/>
          <w:lang w:eastAsia="zh-CN"/>
        </w:rPr>
        <w:t>辆、应急保障用车</w:t>
      </w:r>
      <w:r>
        <w:rPr>
          <w:rFonts w:hint="eastAsia" w:ascii="仿宋_GB2312" w:hAnsi="仿宋_GB2312" w:eastAsia="仿宋_GB2312" w:cs="仿宋_GB2312"/>
          <w:color w:val="auto"/>
          <w:sz w:val="32"/>
          <w:szCs w:val="32"/>
          <w:lang w:val="en-US" w:eastAsia="zh-CN"/>
        </w:rPr>
        <w:t>0</w:t>
      </w:r>
      <w:r>
        <w:rPr>
          <w:rFonts w:hint="eastAsia" w:ascii="仿宋_GB2312" w:hAnsi="仿宋_GB2312" w:eastAsia="仿宋_GB2312" w:cs="仿宋_GB2312"/>
          <w:color w:val="auto"/>
          <w:sz w:val="32"/>
          <w:szCs w:val="32"/>
          <w:lang w:eastAsia="zh-CN"/>
        </w:rPr>
        <w:t>辆、执法执勤用车</w:t>
      </w:r>
      <w:r>
        <w:rPr>
          <w:rFonts w:hint="eastAsia" w:ascii="仿宋_GB2312" w:hAnsi="仿宋_GB2312" w:eastAsia="仿宋_GB2312" w:cs="仿宋_GB2312"/>
          <w:color w:val="auto"/>
          <w:sz w:val="32"/>
          <w:szCs w:val="32"/>
          <w:lang w:val="en-US" w:eastAsia="zh-CN"/>
        </w:rPr>
        <w:t>0</w:t>
      </w:r>
      <w:r>
        <w:rPr>
          <w:rFonts w:hint="eastAsia" w:ascii="仿宋_GB2312" w:hAnsi="仿宋_GB2312" w:eastAsia="仿宋_GB2312" w:cs="仿宋_GB2312"/>
          <w:color w:val="auto"/>
          <w:sz w:val="32"/>
          <w:szCs w:val="32"/>
          <w:lang w:eastAsia="zh-CN"/>
        </w:rPr>
        <w:t>辆、特种专业技术用车</w:t>
      </w:r>
      <w:r>
        <w:rPr>
          <w:rFonts w:hint="eastAsia" w:ascii="仿宋_GB2312" w:hAnsi="仿宋_GB2312" w:eastAsia="仿宋_GB2312" w:cs="仿宋_GB2312"/>
          <w:color w:val="auto"/>
          <w:sz w:val="32"/>
          <w:szCs w:val="32"/>
          <w:lang w:val="en-US" w:eastAsia="zh-CN"/>
        </w:rPr>
        <w:t>0</w:t>
      </w:r>
      <w:r>
        <w:rPr>
          <w:rFonts w:hint="eastAsia" w:ascii="仿宋_GB2312" w:hAnsi="仿宋_GB2312" w:eastAsia="仿宋_GB2312" w:cs="仿宋_GB2312"/>
          <w:color w:val="auto"/>
          <w:sz w:val="32"/>
          <w:szCs w:val="32"/>
          <w:lang w:eastAsia="zh-CN"/>
        </w:rPr>
        <w:t>辆、离退休干部服务用车</w:t>
      </w:r>
      <w:r>
        <w:rPr>
          <w:rFonts w:hint="eastAsia" w:ascii="仿宋_GB2312" w:hAnsi="仿宋_GB2312" w:eastAsia="仿宋_GB2312" w:cs="仿宋_GB2312"/>
          <w:color w:val="auto"/>
          <w:sz w:val="32"/>
          <w:szCs w:val="32"/>
          <w:lang w:val="en-US" w:eastAsia="zh-CN"/>
        </w:rPr>
        <w:t>0</w:t>
      </w:r>
      <w:r>
        <w:rPr>
          <w:rFonts w:hint="eastAsia" w:ascii="仿宋_GB2312" w:hAnsi="仿宋_GB2312" w:eastAsia="仿宋_GB2312" w:cs="仿宋_GB2312"/>
          <w:color w:val="auto"/>
          <w:sz w:val="32"/>
          <w:szCs w:val="32"/>
          <w:lang w:eastAsia="zh-CN"/>
        </w:rPr>
        <w:t>辆、其他用车</w:t>
      </w:r>
      <w:r>
        <w:rPr>
          <w:rFonts w:hint="eastAsia" w:ascii="仿宋_GB2312" w:hAnsi="仿宋_GB2312" w:eastAsia="仿宋_GB2312" w:cs="仿宋_GB2312"/>
          <w:color w:val="auto"/>
          <w:sz w:val="32"/>
          <w:szCs w:val="32"/>
          <w:lang w:val="en-US" w:eastAsia="zh-CN"/>
        </w:rPr>
        <w:t>0</w:t>
      </w:r>
      <w:r>
        <w:rPr>
          <w:rFonts w:hint="eastAsia" w:ascii="仿宋_GB2312" w:hAnsi="仿宋_GB2312" w:eastAsia="仿宋_GB2312" w:cs="仿宋_GB2312"/>
          <w:color w:val="auto"/>
          <w:sz w:val="32"/>
          <w:szCs w:val="32"/>
          <w:lang w:eastAsia="zh-CN"/>
        </w:rPr>
        <w:t>辆；单位价值100万元以上设备（不含车辆）</w:t>
      </w:r>
      <w:r>
        <w:rPr>
          <w:rFonts w:hint="eastAsia" w:ascii="仿宋_GB2312" w:hAnsi="仿宋_GB2312" w:eastAsia="仿宋_GB2312" w:cs="仿宋_GB2312"/>
          <w:color w:val="auto"/>
          <w:sz w:val="32"/>
          <w:szCs w:val="32"/>
          <w:lang w:val="en-US" w:eastAsia="zh-CN"/>
        </w:rPr>
        <w:t>0</w:t>
      </w:r>
      <w:r>
        <w:rPr>
          <w:rFonts w:hint="eastAsia" w:ascii="仿宋_GB2312" w:hAnsi="仿宋_GB2312" w:eastAsia="仿宋_GB2312" w:cs="仿宋_GB2312"/>
          <w:color w:val="auto"/>
          <w:sz w:val="32"/>
          <w:szCs w:val="32"/>
          <w:lang w:eastAsia="zh-CN"/>
        </w:rPr>
        <w:t>台（套）</w:t>
      </w:r>
      <w:r>
        <w:rPr>
          <w:rFonts w:hint="eastAsia" w:ascii="仿宋_GB2312" w:hAnsi="仿宋_GB2312" w:eastAsia="仿宋_GB2312" w:cs="仿宋_GB2312"/>
          <w:color w:val="auto"/>
          <w:sz w:val="32"/>
          <w:szCs w:val="32"/>
          <w:lang w:val="en-US" w:eastAsia="zh-CN"/>
        </w:rPr>
        <w:t>。</w:t>
      </w:r>
    </w:p>
    <w:p w14:paraId="0A8224AC">
      <w:pPr>
        <w:pStyle w:val="13"/>
        <w:keepNext w:val="0"/>
        <w:keepLines w:val="0"/>
        <w:pageBreakBefore w:val="0"/>
        <w:widowControl w:val="0"/>
        <w:kinsoku/>
        <w:wordWrap/>
        <w:overflowPunct/>
        <w:topLinePunct w:val="0"/>
        <w:autoSpaceDE w:val="0"/>
        <w:autoSpaceDN w:val="0"/>
        <w:bidi w:val="0"/>
        <w:adjustRightInd w:val="0"/>
        <w:snapToGrid/>
        <w:spacing w:line="580" w:lineRule="exact"/>
        <w:ind w:firstLine="640" w:firstLineChars="200"/>
        <w:textAlignment w:val="auto"/>
        <w:rPr>
          <w:rFonts w:hint="eastAsia" w:ascii="黑体" w:hAnsi="黑体" w:eastAsia="黑体" w:cs="黑体"/>
          <w:b w:val="0"/>
          <w:bCs/>
          <w:color w:val="auto"/>
          <w:sz w:val="32"/>
          <w:szCs w:val="32"/>
          <w:highlight w:val="none"/>
        </w:rPr>
      </w:pPr>
      <w:r>
        <w:rPr>
          <w:rFonts w:hint="eastAsia" w:ascii="黑体" w:hAnsi="黑体" w:eastAsia="黑体" w:cs="黑体"/>
          <w:b w:val="0"/>
          <w:bCs/>
          <w:color w:val="auto"/>
          <w:sz w:val="32"/>
          <w:szCs w:val="32"/>
          <w:highlight w:val="none"/>
        </w:rPr>
        <w:t>十</w:t>
      </w:r>
      <w:r>
        <w:rPr>
          <w:rFonts w:hint="eastAsia" w:hAnsi="黑体" w:cs="黑体"/>
          <w:b w:val="0"/>
          <w:bCs/>
          <w:color w:val="auto"/>
          <w:sz w:val="32"/>
          <w:szCs w:val="32"/>
          <w:highlight w:val="none"/>
          <w:lang w:eastAsia="zh-CN"/>
        </w:rPr>
        <w:t>四</w:t>
      </w:r>
      <w:r>
        <w:rPr>
          <w:rFonts w:hint="eastAsia" w:ascii="黑体" w:hAnsi="黑体" w:eastAsia="黑体" w:cs="黑体"/>
          <w:b w:val="0"/>
          <w:bCs/>
          <w:color w:val="auto"/>
          <w:sz w:val="32"/>
          <w:szCs w:val="32"/>
          <w:highlight w:val="none"/>
        </w:rPr>
        <w:t>、关于</w:t>
      </w:r>
      <w:r>
        <w:rPr>
          <w:rFonts w:hint="eastAsia" w:ascii="Times New Roman" w:hAnsi="Times New Roman" w:eastAsia="仿宋_GB2312"/>
          <w:color w:val="auto"/>
          <w:sz w:val="32"/>
          <w:szCs w:val="32"/>
          <w:highlight w:val="none"/>
        </w:rPr>
        <w:t>202</w:t>
      </w:r>
      <w:r>
        <w:rPr>
          <w:rFonts w:hint="eastAsia" w:ascii="Times New Roman" w:hAnsi="Times New Roman" w:eastAsia="仿宋_GB2312"/>
          <w:color w:val="auto"/>
          <w:sz w:val="32"/>
          <w:szCs w:val="32"/>
          <w:highlight w:val="none"/>
          <w:lang w:val="en-US" w:eastAsia="zh-CN"/>
        </w:rPr>
        <w:t>4</w:t>
      </w:r>
      <w:r>
        <w:rPr>
          <w:rFonts w:hint="eastAsia" w:ascii="黑体" w:hAnsi="黑体" w:eastAsia="黑体" w:cs="黑体"/>
          <w:b w:val="0"/>
          <w:bCs/>
          <w:color w:val="auto"/>
          <w:sz w:val="32"/>
          <w:szCs w:val="32"/>
          <w:highlight w:val="none"/>
        </w:rPr>
        <w:t>年度</w:t>
      </w:r>
      <w:r>
        <w:rPr>
          <w:rFonts w:hint="eastAsia" w:hAnsi="黑体" w:cs="黑体"/>
          <w:b w:val="0"/>
          <w:bCs/>
          <w:color w:val="auto"/>
          <w:sz w:val="32"/>
          <w:szCs w:val="32"/>
          <w:highlight w:val="none"/>
          <w:lang w:eastAsia="zh-CN"/>
        </w:rPr>
        <w:t>预算</w:t>
      </w:r>
      <w:r>
        <w:rPr>
          <w:rFonts w:hint="eastAsia" w:ascii="黑体" w:hAnsi="黑体" w:eastAsia="黑体" w:cs="黑体"/>
          <w:b w:val="0"/>
          <w:bCs/>
          <w:color w:val="auto"/>
          <w:sz w:val="32"/>
          <w:szCs w:val="32"/>
          <w:highlight w:val="none"/>
        </w:rPr>
        <w:t>绩效</w:t>
      </w:r>
      <w:r>
        <w:rPr>
          <w:rFonts w:hint="eastAsia" w:hAnsi="黑体" w:cs="黑体"/>
          <w:b w:val="0"/>
          <w:bCs/>
          <w:color w:val="auto"/>
          <w:sz w:val="32"/>
          <w:szCs w:val="32"/>
          <w:highlight w:val="none"/>
          <w:lang w:eastAsia="zh-CN"/>
        </w:rPr>
        <w:t>管理</w:t>
      </w:r>
      <w:r>
        <w:rPr>
          <w:rFonts w:hint="eastAsia" w:ascii="黑体" w:hAnsi="黑体" w:eastAsia="黑体" w:cs="黑体"/>
          <w:b w:val="0"/>
          <w:bCs/>
          <w:color w:val="auto"/>
          <w:sz w:val="32"/>
          <w:szCs w:val="32"/>
          <w:highlight w:val="none"/>
        </w:rPr>
        <w:t>情况的说明</w:t>
      </w:r>
    </w:p>
    <w:p w14:paraId="0EB60D67">
      <w:pPr>
        <w:overflowPunct w:val="0"/>
        <w:spacing w:line="600" w:lineRule="exact"/>
        <w:ind w:firstLine="640" w:firstLineChars="200"/>
        <w:rPr>
          <w:rFonts w:ascii="Times New Roman" w:hAnsi="Times New Roman" w:eastAsia="楷体_GB2312" w:cs="Times New Roman"/>
          <w:b/>
          <w:bCs/>
          <w:sz w:val="32"/>
          <w:szCs w:val="32"/>
        </w:rPr>
      </w:pPr>
      <w:r>
        <w:rPr>
          <w:rFonts w:ascii="Times New Roman" w:hAnsi="Times New Roman" w:eastAsia="楷体_GB2312" w:cs="Times New Roman"/>
          <w:b/>
          <w:bCs/>
          <w:sz w:val="32"/>
          <w:szCs w:val="32"/>
        </w:rPr>
        <w:t>（一）绩效评价工作开展情况</w:t>
      </w:r>
    </w:p>
    <w:p w14:paraId="2559DDC6">
      <w:pPr>
        <w:overflowPunct w:val="0"/>
        <w:spacing w:line="600" w:lineRule="exact"/>
        <w:ind w:firstLine="640" w:firstLineChars="200"/>
        <w:rPr>
          <w:rFonts w:ascii="Times New Roman" w:hAnsi="Times New Roman" w:eastAsia="仿宋_GB2312" w:cs="Times New Roman"/>
          <w:kern w:val="0"/>
          <w:sz w:val="32"/>
          <w:szCs w:val="32"/>
          <w:highlight w:val="none"/>
        </w:rPr>
      </w:pPr>
      <w:r>
        <w:rPr>
          <w:rFonts w:hint="eastAsia" w:ascii="Times New Roman" w:hAnsi="Times New Roman" w:eastAsia="仿宋_GB2312" w:cs="Times New Roman"/>
          <w:kern w:val="0"/>
          <w:sz w:val="32"/>
          <w:szCs w:val="32"/>
          <w:highlight w:val="none"/>
          <w:lang w:val="en-US" w:eastAsia="zh-CN"/>
        </w:rPr>
        <w:t>1.</w:t>
      </w:r>
      <w:r>
        <w:rPr>
          <w:rFonts w:hint="eastAsia" w:ascii="Times New Roman" w:hAnsi="Times New Roman" w:eastAsia="仿宋_GB2312" w:cs="Times New Roman"/>
          <w:b/>
          <w:bCs/>
          <w:kern w:val="0"/>
          <w:sz w:val="32"/>
          <w:szCs w:val="32"/>
          <w:lang w:val="en-US" w:eastAsia="zh-CN"/>
        </w:rPr>
        <w:t>绩</w:t>
      </w:r>
      <w:r>
        <w:rPr>
          <w:rFonts w:ascii="Times New Roman" w:hAnsi="Times New Roman" w:eastAsia="仿宋_GB2312" w:cs="Times New Roman"/>
          <w:b/>
          <w:bCs/>
          <w:kern w:val="0"/>
          <w:sz w:val="32"/>
          <w:szCs w:val="32"/>
        </w:rPr>
        <w:t>效自评开展情况。</w:t>
      </w:r>
      <w:r>
        <w:rPr>
          <w:rFonts w:ascii="Times New Roman" w:hAnsi="Times New Roman" w:eastAsia="仿宋_GB2312" w:cs="Times New Roman"/>
          <w:kern w:val="0"/>
          <w:sz w:val="32"/>
          <w:szCs w:val="32"/>
        </w:rPr>
        <w:t>组织对2024年度本部门（单位）整体支出开展绩效自评，涉及项目</w:t>
      </w:r>
      <w:r>
        <w:rPr>
          <w:rFonts w:hint="eastAsia" w:ascii="Times New Roman" w:hAnsi="Times New Roman" w:eastAsia="仿宋_GB2312" w:cs="Times New Roman"/>
          <w:kern w:val="0"/>
          <w:sz w:val="32"/>
          <w:szCs w:val="32"/>
          <w:lang w:val="en-US" w:eastAsia="zh-CN"/>
        </w:rPr>
        <w:t>8</w:t>
      </w:r>
      <w:r>
        <w:rPr>
          <w:rFonts w:ascii="Times New Roman" w:hAnsi="Times New Roman" w:eastAsia="仿宋_GB2312" w:cs="Times New Roman"/>
          <w:kern w:val="0"/>
          <w:sz w:val="32"/>
          <w:szCs w:val="32"/>
        </w:rPr>
        <w:t xml:space="preserve"> 个，共涉及资金</w:t>
      </w:r>
      <w:r>
        <w:rPr>
          <w:rFonts w:hint="eastAsia" w:ascii="Times New Roman" w:hAnsi="Times New Roman" w:eastAsia="仿宋_GB2312" w:cs="Times New Roman"/>
          <w:kern w:val="0"/>
          <w:sz w:val="32"/>
          <w:szCs w:val="32"/>
          <w:lang w:val="en-US" w:eastAsia="zh-CN"/>
        </w:rPr>
        <w:t>615.34</w:t>
      </w:r>
      <w:r>
        <w:rPr>
          <w:rFonts w:ascii="Times New Roman" w:hAnsi="Times New Roman" w:eastAsia="仿宋_GB2312" w:cs="Times New Roman"/>
          <w:kern w:val="0"/>
          <w:sz w:val="32"/>
          <w:szCs w:val="32"/>
        </w:rPr>
        <w:t>万元。其中，一般公共预算项目</w:t>
      </w:r>
      <w:r>
        <w:rPr>
          <w:rFonts w:hint="eastAsia" w:ascii="Times New Roman" w:hAnsi="Times New Roman" w:eastAsia="仿宋_GB2312" w:cs="Times New Roman"/>
          <w:kern w:val="0"/>
          <w:sz w:val="32"/>
          <w:szCs w:val="32"/>
          <w:lang w:val="en-US" w:eastAsia="zh-CN"/>
        </w:rPr>
        <w:t>8</w:t>
      </w:r>
      <w:r>
        <w:rPr>
          <w:rFonts w:ascii="Times New Roman" w:hAnsi="Times New Roman" w:eastAsia="仿宋_GB2312" w:cs="Times New Roman"/>
          <w:kern w:val="0"/>
          <w:sz w:val="32"/>
          <w:szCs w:val="32"/>
        </w:rPr>
        <w:t xml:space="preserve"> 个</w:t>
      </w:r>
      <w:r>
        <w:rPr>
          <w:rFonts w:hint="eastAsia" w:ascii="Times New Roman" w:hAnsi="Times New Roman" w:eastAsia="仿宋_GB2312" w:cs="Times New Roman"/>
          <w:kern w:val="0"/>
          <w:sz w:val="32"/>
          <w:szCs w:val="32"/>
          <w:lang w:val="en-US" w:eastAsia="zh-CN"/>
        </w:rPr>
        <w:t>615.34</w:t>
      </w:r>
      <w:r>
        <w:rPr>
          <w:rFonts w:ascii="Times New Roman" w:hAnsi="Times New Roman" w:eastAsia="仿宋_GB2312" w:cs="Times New Roman"/>
          <w:kern w:val="0"/>
          <w:sz w:val="32"/>
          <w:szCs w:val="32"/>
        </w:rPr>
        <w:t xml:space="preserve"> 万元，占一般公共预算支出总额的</w:t>
      </w:r>
      <w:r>
        <w:rPr>
          <w:rFonts w:hint="eastAsia" w:ascii="Times New Roman" w:hAnsi="Times New Roman" w:eastAsia="仿宋_GB2312" w:cs="Times New Roman"/>
          <w:kern w:val="0"/>
          <w:sz w:val="32"/>
          <w:szCs w:val="32"/>
          <w:lang w:val="en-US" w:eastAsia="zh-CN"/>
        </w:rPr>
        <w:t>100</w:t>
      </w:r>
      <w:r>
        <w:rPr>
          <w:rFonts w:ascii="Times New Roman" w:hAnsi="Times New Roman" w:eastAsia="仿宋_GB2312" w:cs="Times New Roman"/>
          <w:kern w:val="0"/>
          <w:sz w:val="32"/>
          <w:szCs w:val="32"/>
        </w:rPr>
        <w:t>%；政府性基金预算项目</w:t>
      </w:r>
      <w:r>
        <w:rPr>
          <w:rFonts w:hint="eastAsia" w:ascii="Times New Roman" w:hAnsi="Times New Roman" w:eastAsia="仿宋_GB2312" w:cs="Times New Roman"/>
          <w:kern w:val="0"/>
          <w:sz w:val="32"/>
          <w:szCs w:val="32"/>
          <w:lang w:val="en-US" w:eastAsia="zh-CN"/>
        </w:rPr>
        <w:t>0</w:t>
      </w:r>
      <w:r>
        <w:rPr>
          <w:rFonts w:ascii="Times New Roman" w:hAnsi="Times New Roman" w:eastAsia="仿宋_GB2312" w:cs="Times New Roman"/>
          <w:kern w:val="0"/>
          <w:sz w:val="32"/>
          <w:szCs w:val="32"/>
        </w:rPr>
        <w:t xml:space="preserve"> 个</w:t>
      </w:r>
      <w:r>
        <w:rPr>
          <w:rFonts w:hint="eastAsia" w:ascii="Times New Roman" w:hAnsi="Times New Roman" w:eastAsia="仿宋_GB2312" w:cs="Times New Roman"/>
          <w:kern w:val="0"/>
          <w:sz w:val="32"/>
          <w:szCs w:val="32"/>
          <w:lang w:val="en-US" w:eastAsia="zh-CN"/>
        </w:rPr>
        <w:t>0</w:t>
      </w:r>
      <w:r>
        <w:rPr>
          <w:rFonts w:ascii="Times New Roman" w:hAnsi="Times New Roman" w:eastAsia="仿宋_GB2312" w:cs="Times New Roman"/>
          <w:kern w:val="0"/>
          <w:sz w:val="32"/>
          <w:szCs w:val="32"/>
        </w:rPr>
        <w:t xml:space="preserve"> 万元；国有资本经营预算项目</w:t>
      </w:r>
      <w:r>
        <w:rPr>
          <w:rFonts w:hint="eastAsia" w:ascii="Times New Roman" w:hAnsi="Times New Roman" w:eastAsia="仿宋_GB2312" w:cs="Times New Roman"/>
          <w:kern w:val="0"/>
          <w:sz w:val="32"/>
          <w:szCs w:val="32"/>
          <w:lang w:val="en-US" w:eastAsia="zh-CN"/>
        </w:rPr>
        <w:t>0</w:t>
      </w:r>
      <w:r>
        <w:rPr>
          <w:rFonts w:ascii="Times New Roman" w:hAnsi="Times New Roman" w:eastAsia="仿宋_GB2312" w:cs="Times New Roman"/>
          <w:kern w:val="0"/>
          <w:sz w:val="32"/>
          <w:szCs w:val="32"/>
        </w:rPr>
        <w:t xml:space="preserve"> 个</w:t>
      </w:r>
      <w:r>
        <w:rPr>
          <w:rFonts w:hint="eastAsia" w:ascii="Times New Roman" w:hAnsi="Times New Roman" w:eastAsia="仿宋_GB2312" w:cs="Times New Roman"/>
          <w:kern w:val="0"/>
          <w:sz w:val="32"/>
          <w:szCs w:val="32"/>
          <w:lang w:val="en-US" w:eastAsia="zh-CN"/>
        </w:rPr>
        <w:t>0</w:t>
      </w:r>
      <w:r>
        <w:rPr>
          <w:rFonts w:ascii="Times New Roman" w:hAnsi="Times New Roman" w:eastAsia="仿宋_GB2312" w:cs="Times New Roman"/>
          <w:kern w:val="0"/>
          <w:sz w:val="32"/>
          <w:szCs w:val="32"/>
        </w:rPr>
        <w:t>万元；</w:t>
      </w:r>
      <w:r>
        <w:rPr>
          <w:rFonts w:ascii="Times New Roman" w:hAnsi="Times New Roman" w:eastAsia="仿宋_GB2312" w:cs="Times New Roman"/>
          <w:kern w:val="0"/>
          <w:sz w:val="32"/>
          <w:szCs w:val="32"/>
          <w:highlight w:val="none"/>
        </w:rPr>
        <w:t>社会保险基金预算项目</w:t>
      </w:r>
      <w:r>
        <w:rPr>
          <w:rFonts w:hint="eastAsia" w:ascii="Times New Roman" w:hAnsi="Times New Roman" w:eastAsia="仿宋_GB2312" w:cs="Times New Roman"/>
          <w:kern w:val="0"/>
          <w:sz w:val="32"/>
          <w:szCs w:val="32"/>
          <w:highlight w:val="none"/>
          <w:lang w:val="en-US" w:eastAsia="zh-CN"/>
        </w:rPr>
        <w:t>0</w:t>
      </w:r>
      <w:r>
        <w:rPr>
          <w:rFonts w:ascii="Times New Roman" w:hAnsi="Times New Roman" w:eastAsia="仿宋_GB2312" w:cs="Times New Roman"/>
          <w:kern w:val="0"/>
          <w:sz w:val="32"/>
          <w:szCs w:val="32"/>
          <w:highlight w:val="none"/>
        </w:rPr>
        <w:t>个</w:t>
      </w:r>
      <w:r>
        <w:rPr>
          <w:rFonts w:hint="eastAsia" w:ascii="Times New Roman" w:hAnsi="Times New Roman" w:eastAsia="仿宋_GB2312" w:cs="Times New Roman"/>
          <w:kern w:val="0"/>
          <w:sz w:val="32"/>
          <w:szCs w:val="32"/>
          <w:highlight w:val="none"/>
          <w:lang w:val="en-US" w:eastAsia="zh-CN"/>
        </w:rPr>
        <w:t>0</w:t>
      </w:r>
      <w:r>
        <w:rPr>
          <w:rFonts w:ascii="Times New Roman" w:hAnsi="Times New Roman" w:eastAsia="仿宋_GB2312" w:cs="Times New Roman"/>
          <w:kern w:val="0"/>
          <w:sz w:val="32"/>
          <w:szCs w:val="32"/>
          <w:highlight w:val="none"/>
        </w:rPr>
        <w:t xml:space="preserve"> 万元。</w:t>
      </w:r>
    </w:p>
    <w:p w14:paraId="7C65853C">
      <w:pPr>
        <w:overflowPunct w:val="0"/>
        <w:spacing w:line="600" w:lineRule="exact"/>
        <w:ind w:firstLine="640" w:firstLineChars="200"/>
        <w:rPr>
          <w:rFonts w:hint="eastAsia" w:ascii="Times New Roman" w:hAnsi="Times New Roman" w:eastAsia="仿宋_GB2312" w:cs="Times New Roman"/>
          <w:kern w:val="0"/>
          <w:sz w:val="32"/>
          <w:szCs w:val="32"/>
          <w:lang w:eastAsia="zh-CN"/>
        </w:rPr>
      </w:pPr>
      <w:r>
        <w:rPr>
          <w:rFonts w:hint="eastAsia" w:ascii="Times New Roman" w:hAnsi="Times New Roman" w:eastAsia="仿宋_GB2312" w:cs="Times New Roman"/>
          <w:kern w:val="0"/>
          <w:sz w:val="32"/>
          <w:szCs w:val="32"/>
          <w:highlight w:val="none"/>
          <w:lang w:val="en-US" w:eastAsia="zh-CN"/>
        </w:rPr>
        <w:t>2.</w:t>
      </w:r>
      <w:r>
        <w:rPr>
          <w:rFonts w:hint="eastAsia" w:ascii="Times New Roman" w:hAnsi="Times New Roman" w:eastAsia="仿宋_GB2312" w:cs="Times New Roman"/>
          <w:kern w:val="0"/>
          <w:sz w:val="32"/>
          <w:szCs w:val="32"/>
          <w:lang w:val="en-US" w:eastAsia="zh-CN"/>
        </w:rPr>
        <w:t>本单位为二级预算单位，部门评价开展情况可详见上级部门决算公开说明。</w:t>
      </w:r>
    </w:p>
    <w:p w14:paraId="004D01B3">
      <w:pPr>
        <w:overflowPunct w:val="0"/>
        <w:spacing w:line="600" w:lineRule="exact"/>
        <w:ind w:firstLine="640" w:firstLineChars="200"/>
        <w:rPr>
          <w:rFonts w:hint="eastAsia" w:ascii="Times New Roman" w:hAnsi="Times New Roman" w:eastAsia="仿宋_GB2312" w:cs="Times New Roman"/>
          <w:kern w:val="0"/>
          <w:sz w:val="32"/>
          <w:szCs w:val="32"/>
          <w:lang w:val="en-US" w:eastAsia="zh-CN"/>
        </w:rPr>
      </w:pPr>
      <w:r>
        <w:rPr>
          <w:rFonts w:hint="eastAsia" w:ascii="Times New Roman" w:hAnsi="Times New Roman" w:eastAsia="仿宋_GB2312" w:cs="Times New Roman"/>
          <w:kern w:val="0"/>
          <w:sz w:val="32"/>
          <w:szCs w:val="32"/>
          <w:lang w:val="en-US" w:eastAsia="zh-CN"/>
        </w:rPr>
        <w:t>3.本单位为二级预算单位，事前绩效评估开展情况可详见上级部门决算公开说明。</w:t>
      </w:r>
    </w:p>
    <w:p w14:paraId="6FC8205B">
      <w:pPr>
        <w:overflowPunct w:val="0"/>
        <w:spacing w:line="600" w:lineRule="exact"/>
        <w:ind w:firstLine="640" w:firstLineChars="200"/>
        <w:rPr>
          <w:rFonts w:ascii="Times New Roman" w:hAnsi="Times New Roman" w:eastAsia="楷体_GB2312" w:cs="Times New Roman"/>
          <w:b/>
          <w:bCs/>
          <w:sz w:val="32"/>
          <w:szCs w:val="32"/>
        </w:rPr>
      </w:pPr>
      <w:r>
        <w:rPr>
          <w:rFonts w:ascii="Times New Roman" w:hAnsi="Times New Roman" w:eastAsia="楷体_GB2312" w:cs="Times New Roman"/>
          <w:b/>
          <w:bCs/>
          <w:sz w:val="32"/>
          <w:szCs w:val="32"/>
        </w:rPr>
        <w:t>（二）绩效评价结果</w:t>
      </w:r>
    </w:p>
    <w:p w14:paraId="23042700">
      <w:pPr>
        <w:autoSpaceDE w:val="0"/>
        <w:autoSpaceDN w:val="0"/>
        <w:adjustRightInd w:val="0"/>
        <w:spacing w:line="600" w:lineRule="exact"/>
        <w:ind w:firstLine="640" w:firstLineChars="200"/>
        <w:jc w:val="left"/>
        <w:rPr>
          <w:rFonts w:ascii="仿宋_GB2312" w:hAnsi="仿宋_GB2312" w:eastAsia="仿宋_GB2312" w:cs="仿宋_GB2312"/>
          <w:sz w:val="32"/>
          <w:szCs w:val="32"/>
        </w:rPr>
      </w:pPr>
      <w:r>
        <w:rPr>
          <w:rFonts w:hint="eastAsia" w:ascii="Times New Roman" w:hAnsi="Times New Roman" w:eastAsia="仿宋_GB2312" w:cs="Times New Roman"/>
          <w:kern w:val="0"/>
          <w:sz w:val="32"/>
          <w:szCs w:val="32"/>
          <w:lang w:val="en-US" w:eastAsia="zh-CN"/>
        </w:rPr>
        <w:t>1.</w:t>
      </w:r>
      <w:r>
        <w:rPr>
          <w:rFonts w:ascii="Times New Roman" w:hAnsi="Times New Roman" w:eastAsia="仿宋_GB2312" w:cs="Times New Roman"/>
          <w:b/>
          <w:bCs/>
          <w:kern w:val="0"/>
          <w:sz w:val="32"/>
          <w:szCs w:val="32"/>
        </w:rPr>
        <w:t>绩效自评结果。</w:t>
      </w:r>
      <w:r>
        <w:rPr>
          <w:rFonts w:ascii="Times New Roman" w:hAnsi="Times New Roman" w:eastAsia="仿宋_GB2312" w:cs="Times New Roman"/>
          <w:kern w:val="0"/>
          <w:sz w:val="32"/>
          <w:szCs w:val="32"/>
        </w:rPr>
        <w:t>2024年度本部门（单位）整体支出</w:t>
      </w:r>
      <w:r>
        <w:rPr>
          <w:rFonts w:ascii="Times New Roman" w:hAnsi="Times New Roman" w:eastAsia="仿宋_GB2312" w:cs="Times New Roman"/>
          <w:sz w:val="32"/>
          <w:szCs w:val="32"/>
        </w:rPr>
        <w:t>全年预算数</w:t>
      </w:r>
      <w:r>
        <w:rPr>
          <w:rFonts w:hint="eastAsia" w:ascii="Times New Roman" w:hAnsi="Times New Roman" w:eastAsia="仿宋_GB2312" w:cs="Times New Roman"/>
          <w:sz w:val="32"/>
          <w:szCs w:val="32"/>
          <w:lang w:val="en-US" w:eastAsia="zh-CN"/>
        </w:rPr>
        <w:t>4970.61</w:t>
      </w:r>
      <w:r>
        <w:rPr>
          <w:rFonts w:ascii="Times New Roman" w:hAnsi="Times New Roman" w:eastAsia="仿宋_GB2312" w:cs="Times New Roman"/>
          <w:sz w:val="32"/>
          <w:szCs w:val="32"/>
        </w:rPr>
        <w:t>万元，执行数</w:t>
      </w:r>
      <w:r>
        <w:rPr>
          <w:rFonts w:hint="eastAsia" w:ascii="Times New Roman" w:hAnsi="Times New Roman" w:eastAsia="仿宋_GB2312" w:cs="Times New Roman"/>
          <w:sz w:val="32"/>
          <w:szCs w:val="32"/>
          <w:lang w:val="en-US" w:eastAsia="zh-CN"/>
        </w:rPr>
        <w:t>4879.67</w:t>
      </w:r>
      <w:r>
        <w:rPr>
          <w:rFonts w:ascii="Times New Roman" w:hAnsi="Times New Roman" w:eastAsia="仿宋_GB2312" w:cs="Times New Roman"/>
          <w:sz w:val="32"/>
          <w:szCs w:val="32"/>
        </w:rPr>
        <w:t>万元，完成预算的</w:t>
      </w:r>
      <w:r>
        <w:rPr>
          <w:rFonts w:hint="eastAsia" w:ascii="Times New Roman" w:hAnsi="Times New Roman" w:eastAsia="仿宋_GB2312" w:cs="Times New Roman"/>
          <w:sz w:val="32"/>
          <w:szCs w:val="32"/>
          <w:lang w:val="en-US" w:eastAsia="zh-CN"/>
        </w:rPr>
        <w:t>98.17</w:t>
      </w:r>
      <w:r>
        <w:rPr>
          <w:rFonts w:ascii="Times New Roman" w:hAnsi="Times New Roman" w:eastAsia="仿宋_GB2312" w:cs="Times New Roman"/>
          <w:sz w:val="32"/>
          <w:szCs w:val="32"/>
        </w:rPr>
        <w:t>%</w:t>
      </w:r>
      <w:r>
        <w:rPr>
          <w:rFonts w:ascii="Times New Roman" w:hAnsi="Times New Roman" w:eastAsia="仿宋_GB2312" w:cs="Times New Roman"/>
          <w:kern w:val="0"/>
          <w:sz w:val="32"/>
          <w:szCs w:val="32"/>
        </w:rPr>
        <w:t>，绩效自评得分</w:t>
      </w:r>
      <w:r>
        <w:rPr>
          <w:rFonts w:hint="eastAsia" w:ascii="Times New Roman" w:hAnsi="Times New Roman" w:eastAsia="仿宋_GB2312" w:cs="Times New Roman"/>
          <w:sz w:val="32"/>
          <w:szCs w:val="32"/>
          <w:lang w:val="en-US" w:eastAsia="zh-CN"/>
        </w:rPr>
        <w:t>96</w:t>
      </w:r>
      <w:r>
        <w:rPr>
          <w:rFonts w:ascii="Times New Roman" w:hAnsi="Times New Roman" w:eastAsia="仿宋_GB2312" w:cs="Times New Roman"/>
          <w:sz w:val="32"/>
          <w:szCs w:val="32"/>
        </w:rPr>
        <w:t>分</w:t>
      </w:r>
      <w:r>
        <w:rPr>
          <w:rFonts w:ascii="Times New Roman" w:hAnsi="Times New Roman" w:eastAsia="仿宋_GB2312" w:cs="Times New Roman"/>
          <w:kern w:val="0"/>
          <w:sz w:val="32"/>
          <w:szCs w:val="32"/>
        </w:rPr>
        <w:t>，评价等级为</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lang w:val="en-US" w:eastAsia="zh-CN"/>
        </w:rPr>
        <w:t>良好</w:t>
      </w:r>
      <w:r>
        <w:rPr>
          <w:rFonts w:ascii="Times New Roman" w:hAnsi="Times New Roman" w:eastAsia="仿宋_GB2312" w:cs="Times New Roman"/>
          <w:sz w:val="32"/>
          <w:szCs w:val="32"/>
        </w:rPr>
        <w:t>”。绩效目标完成情况：</w:t>
      </w:r>
      <w:r>
        <w:rPr>
          <w:rFonts w:hint="eastAsia" w:ascii="仿宋_GB2312" w:hAnsi="仿宋_GB2312" w:eastAsia="仿宋_GB2312" w:cs="仿宋_GB2312"/>
          <w:sz w:val="32"/>
          <w:szCs w:val="32"/>
        </w:rPr>
        <w:t>一是保证学校正常经费开支；二是有效提升学校整体教育教学和办学条件水平。发现的主要问题及原因：一是绩效目标设置科学性有待提高；二是由于部分绩效指标设置不够全面，绩效指标设置的科学性、准确性有待提升。下一步改进措施：一是多措并举，提高绩效管理水平；二是加强预算编制，加快资金执行效率；三是建立绩效管理制度，加强绩效运行监控。</w:t>
      </w:r>
    </w:p>
    <w:p w14:paraId="1F555EDA">
      <w:pPr>
        <w:overflowPunct w:val="0"/>
        <w:spacing w:line="600" w:lineRule="exact"/>
        <w:ind w:firstLine="640" w:firstLineChars="200"/>
        <w:rPr>
          <w:rFonts w:hint="eastAsia" w:ascii="仿宋_GB2312" w:hAnsi="仿宋_GB2312" w:eastAsia="仿宋_GB2312" w:cs="仿宋_GB2312"/>
          <w:sz w:val="32"/>
          <w:szCs w:val="32"/>
        </w:rPr>
      </w:pPr>
      <w:r>
        <w:rPr>
          <w:rFonts w:hint="eastAsia" w:ascii="Times New Roman" w:hAnsi="Times New Roman" w:eastAsia="仿宋_GB2312" w:cs="Times New Roman"/>
          <w:kern w:val="0"/>
          <w:sz w:val="32"/>
          <w:szCs w:val="32"/>
          <w:lang w:val="en-US" w:eastAsia="zh-CN"/>
        </w:rPr>
        <w:t>2.</w:t>
      </w:r>
      <w:r>
        <w:rPr>
          <w:rFonts w:hint="eastAsia" w:ascii="仿宋_GB2312" w:hAnsi="仿宋_GB2312" w:eastAsia="仿宋_GB2312" w:cs="仿宋_GB2312"/>
          <w:sz w:val="32"/>
          <w:szCs w:val="32"/>
          <w:lang w:val="en-US" w:eastAsia="zh-CN"/>
        </w:rPr>
        <w:t>本单位为二级预算单位，部门评价结果可详见上级部门决算公开说明。</w:t>
      </w:r>
    </w:p>
    <w:p w14:paraId="594CEC69">
      <w:pPr>
        <w:overflowPunct w:val="0"/>
        <w:spacing w:line="600" w:lineRule="exact"/>
        <w:ind w:firstLine="640" w:firstLineChars="200"/>
        <w:rPr>
          <w:rFonts w:hint="eastAsia" w:ascii="仿宋_GB2312" w:hAnsi="仿宋_GB2312" w:eastAsia="仿宋_GB2312" w:cs="仿宋_GB2312"/>
          <w:sz w:val="32"/>
          <w:szCs w:val="32"/>
          <w:lang w:val="en-US" w:eastAsia="zh-CN"/>
        </w:rPr>
      </w:pPr>
      <w:r>
        <w:rPr>
          <w:rFonts w:hint="eastAsia" w:ascii="Times New Roman" w:hAnsi="Times New Roman" w:eastAsia="仿宋_GB2312" w:cs="Times New Roman"/>
          <w:kern w:val="0"/>
          <w:sz w:val="32"/>
          <w:szCs w:val="32"/>
          <w:lang w:val="en-US" w:eastAsia="zh-CN"/>
        </w:rPr>
        <w:t>3.</w:t>
      </w:r>
      <w:r>
        <w:rPr>
          <w:rFonts w:hint="eastAsia" w:ascii="仿宋_GB2312" w:hAnsi="仿宋_GB2312" w:eastAsia="仿宋_GB2312" w:cs="仿宋_GB2312"/>
          <w:sz w:val="32"/>
          <w:szCs w:val="32"/>
          <w:lang w:val="en-US" w:eastAsia="zh-CN"/>
        </w:rPr>
        <w:t>本单位为二级预算单位，事前绩效评估结果可详见上级部门决算公开说明。</w:t>
      </w:r>
    </w:p>
    <w:p w14:paraId="5DC4775D">
      <w:pPr>
        <w:pStyle w:val="13"/>
        <w:keepNext w:val="0"/>
        <w:keepLines w:val="0"/>
        <w:pageBreakBefore w:val="0"/>
        <w:widowControl w:val="0"/>
        <w:kinsoku/>
        <w:wordWrap/>
        <w:overflowPunct/>
        <w:topLinePunct w:val="0"/>
        <w:autoSpaceDE w:val="0"/>
        <w:autoSpaceDN w:val="0"/>
        <w:bidi w:val="0"/>
        <w:adjustRightInd w:val="0"/>
        <w:snapToGrid/>
        <w:spacing w:line="580" w:lineRule="exact"/>
        <w:jc w:val="left"/>
        <w:textAlignment w:val="auto"/>
        <w:rPr>
          <w:rFonts w:hint="eastAsia" w:ascii="Times New Roman" w:hAnsi="Times New Roman" w:eastAsia="仿宋_GB2312"/>
          <w:color w:val="FF0000"/>
          <w:sz w:val="32"/>
          <w:szCs w:val="32"/>
        </w:rPr>
      </w:pPr>
    </w:p>
    <w:p w14:paraId="2C89E516">
      <w:pPr>
        <w:numPr>
          <w:ilvl w:val="0"/>
          <w:numId w:val="3"/>
        </w:numPr>
        <w:autoSpaceDE w:val="0"/>
        <w:autoSpaceDN w:val="0"/>
        <w:adjustRightInd w:val="0"/>
        <w:ind w:firstLine="640" w:firstLineChars="200"/>
        <w:jc w:val="left"/>
        <w:rPr>
          <w:rFonts w:ascii="Times New Roman" w:hAnsi="Times New Roman" w:eastAsia="楷体_GB2312" w:cs="Times New Roman"/>
          <w:b/>
          <w:bCs/>
          <w:color w:val="auto"/>
          <w:kern w:val="2"/>
          <w:sz w:val="32"/>
          <w:szCs w:val="32"/>
          <w:highlight w:val="none"/>
        </w:rPr>
      </w:pPr>
      <w:r>
        <w:rPr>
          <w:rFonts w:ascii="Times New Roman" w:hAnsi="Times New Roman" w:eastAsia="楷体_GB2312" w:cs="Times New Roman"/>
          <w:b/>
          <w:bCs/>
          <w:color w:val="auto"/>
          <w:kern w:val="2"/>
          <w:sz w:val="32"/>
          <w:szCs w:val="32"/>
          <w:highlight w:val="none"/>
        </w:rPr>
        <w:t>评价结果应用情况</w:t>
      </w:r>
    </w:p>
    <w:p w14:paraId="4B27641D">
      <w:pPr>
        <w:pStyle w:val="2"/>
        <w:keepNext w:val="0"/>
        <w:keepLines w:val="0"/>
        <w:pageBreakBefore w:val="0"/>
        <w:widowControl w:val="0"/>
        <w:kinsoku/>
        <w:wordWrap/>
        <w:overflowPunct/>
        <w:topLinePunct w:val="0"/>
        <w:bidi w:val="0"/>
        <w:spacing w:line="600" w:lineRule="exact"/>
        <w:ind w:firstLine="640" w:firstLineChars="200"/>
        <w:textAlignment w:val="auto"/>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根据2024年度绩效评价结果，在2025年的预算管理和资金安排上，可以优先保障高效项目、优化调整低效支出，并进一步强化全过程绩效管</w:t>
      </w:r>
      <w:bookmarkStart w:id="0" w:name="_GoBack"/>
      <w:bookmarkEnd w:id="0"/>
      <w:r>
        <w:rPr>
          <w:rFonts w:hint="eastAsia" w:ascii="Times New Roman" w:hAnsi="Times New Roman" w:eastAsia="仿宋_GB2312" w:cs="Times New Roman"/>
          <w:kern w:val="2"/>
          <w:sz w:val="32"/>
          <w:szCs w:val="32"/>
          <w:lang w:val="en-US" w:eastAsia="zh-CN" w:bidi="ar-SA"/>
        </w:rPr>
        <w:t>理。</w:t>
      </w:r>
    </w:p>
    <w:p w14:paraId="30CE3BAB">
      <w:pPr>
        <w:pStyle w:val="2"/>
        <w:keepNext w:val="0"/>
        <w:keepLines w:val="0"/>
        <w:pageBreakBefore w:val="0"/>
        <w:widowControl w:val="0"/>
        <w:kinsoku/>
        <w:wordWrap/>
        <w:overflowPunct/>
        <w:topLinePunct w:val="0"/>
        <w:bidi w:val="0"/>
        <w:spacing w:line="600" w:lineRule="exact"/>
        <w:ind w:firstLine="640" w:firstLineChars="200"/>
        <w:textAlignment w:val="auto"/>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新增项目强化事前评估，对于2025年新增的支出项目，将严格开展事前绩效评估，把评估结果作为申请预算的前置条件，确保新增项目立项依据充分、绩效目标明确。</w:t>
      </w:r>
    </w:p>
    <w:p w14:paraId="4B743443">
      <w:pPr>
        <w:pStyle w:val="2"/>
        <w:keepNext w:val="0"/>
        <w:keepLines w:val="0"/>
        <w:pageBreakBefore w:val="0"/>
        <w:widowControl w:val="0"/>
        <w:kinsoku/>
        <w:wordWrap/>
        <w:overflowPunct/>
        <w:topLinePunct w:val="0"/>
        <w:bidi w:val="0"/>
        <w:spacing w:line="600" w:lineRule="exact"/>
        <w:ind w:firstLine="640" w:firstLineChars="200"/>
        <w:textAlignment w:val="auto"/>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倾斜资源支持重点领域：根据绩效评价结果，将资金进一步向学生资助、教学质量提升、校园安全等社会效益显著的重点领域集中。持续压减一般性支出，严格落实过紧日子要求，在2025年预算中，继续压减公用经费和非重点、非刚性的一般性支出，将节省的资金用于保障民生和重点项目建设。</w:t>
      </w:r>
    </w:p>
    <w:p w14:paraId="1284CECD">
      <w:pPr>
        <w:pStyle w:val="2"/>
        <w:keepNext w:val="0"/>
        <w:keepLines w:val="0"/>
        <w:pageBreakBefore w:val="0"/>
        <w:widowControl w:val="0"/>
        <w:kinsoku/>
        <w:wordWrap/>
        <w:overflowPunct/>
        <w:topLinePunct w:val="0"/>
        <w:bidi w:val="0"/>
        <w:spacing w:line="600" w:lineRule="exact"/>
        <w:ind w:firstLine="640" w:firstLineChars="200"/>
        <w:textAlignment w:val="auto"/>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加快预算执行进度，针对部分项目支出进度偏慢、资金未能当年使用完毕的问题，将加强预算执行监控，督促项目实施单位加快进度。对按规定未能支出的资金，将按制度收回财政统筹使用。</w:t>
      </w:r>
    </w:p>
    <w:p w14:paraId="272EBFE7">
      <w:pPr>
        <w:pStyle w:val="2"/>
        <w:keepNext w:val="0"/>
        <w:keepLines w:val="0"/>
        <w:pageBreakBefore w:val="0"/>
        <w:widowControl w:val="0"/>
        <w:kinsoku/>
        <w:wordWrap/>
        <w:overflowPunct/>
        <w:topLinePunct w:val="0"/>
        <w:bidi w:val="0"/>
        <w:spacing w:line="600" w:lineRule="exact"/>
        <w:ind w:firstLine="640" w:firstLineChars="200"/>
        <w:textAlignment w:val="auto"/>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强化绩效结果应用刚性约束：建立并严格执行“绩效评价—结果反馈—问题整改—整改反馈—预算挂钩”的闭环管理机制，将绩效评价结果作为下一年度预算编制的核心依据。</w:t>
      </w:r>
    </w:p>
    <w:p w14:paraId="4FA607BF">
      <w:pPr>
        <w:pStyle w:val="2"/>
        <w:keepNext w:val="0"/>
        <w:keepLines w:val="0"/>
        <w:pageBreakBefore w:val="0"/>
        <w:widowControl w:val="0"/>
        <w:kinsoku/>
        <w:wordWrap/>
        <w:overflowPunct/>
        <w:topLinePunct w:val="0"/>
        <w:bidi w:val="0"/>
        <w:spacing w:line="600" w:lineRule="exact"/>
        <w:ind w:firstLine="640" w:firstLineChars="200"/>
        <w:textAlignment w:val="auto"/>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总的来说，将2024年的绩效评价结果切实应用到2025年的预算管理中，核心是做到奖优罚劣。通过优化资源配置，强化绩效约束，能够不断提升财政资金的使用效益，更好地支持学校教育事业发展。</w:t>
      </w:r>
    </w:p>
    <w:p w14:paraId="5E8AD5A5">
      <w:pPr>
        <w:keepNext w:val="0"/>
        <w:keepLines w:val="0"/>
        <w:pageBreakBefore w:val="0"/>
        <w:widowControl w:val="0"/>
        <w:kinsoku/>
        <w:wordWrap/>
        <w:overflowPunct/>
        <w:topLinePunct w:val="0"/>
        <w:autoSpaceDE w:val="0"/>
        <w:autoSpaceDN w:val="0"/>
        <w:bidi w:val="0"/>
        <w:adjustRightInd w:val="0"/>
        <w:spacing w:line="600" w:lineRule="exact"/>
        <w:ind w:firstLine="640" w:firstLineChars="200"/>
        <w:jc w:val="left"/>
        <w:textAlignment w:val="auto"/>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预算绩效管理开展情况、绩效目标和绩效评价报告等，已在市政府部门财政预决算公开平台上向社会公开，详见附件。</w:t>
      </w:r>
    </w:p>
    <w:p w14:paraId="62BEA247">
      <w:pPr>
        <w:pStyle w:val="2"/>
        <w:rPr>
          <w:rFonts w:hint="eastAsia" w:ascii="Times New Roman" w:hAnsi="Times New Roman" w:eastAsia="仿宋_GB2312" w:cs="Times New Roman"/>
          <w:kern w:val="2"/>
          <w:sz w:val="32"/>
          <w:szCs w:val="32"/>
          <w:lang w:val="en-US" w:eastAsia="zh-CN" w:bidi="ar-SA"/>
        </w:rPr>
      </w:pPr>
    </w:p>
    <w:p w14:paraId="47586AB8">
      <w:pPr>
        <w:numPr>
          <w:ilvl w:val="0"/>
          <w:numId w:val="0"/>
        </w:numPr>
        <w:autoSpaceDE w:val="0"/>
        <w:autoSpaceDN w:val="0"/>
        <w:adjustRightInd w:val="0"/>
        <w:jc w:val="left"/>
        <w:rPr>
          <w:rFonts w:hint="eastAsia" w:ascii="仿宋_GB2312" w:hAnsi="仿宋_GB2312" w:eastAsia="仿宋_GB2312" w:cs="仿宋_GB2312"/>
          <w:kern w:val="2"/>
          <w:sz w:val="32"/>
          <w:szCs w:val="32"/>
          <w:lang w:val="en-US" w:eastAsia="zh-CN" w:bidi="ar-SA"/>
        </w:rPr>
      </w:pPr>
    </w:p>
    <w:p w14:paraId="147E06D0">
      <w:pPr>
        <w:pStyle w:val="13"/>
        <w:jc w:val="both"/>
        <w:rPr>
          <w:rFonts w:hint="eastAsia" w:ascii="方正小标宋_GBK" w:hAnsi="方正小标宋_GBK" w:eastAsia="方正小标宋_GBK" w:cs="方正小标宋_GBK"/>
          <w:sz w:val="24"/>
          <w:szCs w:val="24"/>
        </w:rPr>
      </w:pPr>
    </w:p>
    <w:p w14:paraId="3D83FDA1">
      <w:pPr>
        <w:pStyle w:val="13"/>
        <w:jc w:val="center"/>
        <w:rPr>
          <w:rFonts w:hint="eastAsia" w:ascii="方正小标宋_GBK" w:hAnsi="方正小标宋_GBK" w:eastAsia="方正小标宋_GBK" w:cs="方正小标宋_GBK"/>
          <w:sz w:val="72"/>
          <w:szCs w:val="72"/>
        </w:rPr>
      </w:pPr>
    </w:p>
    <w:p w14:paraId="6FB6F211">
      <w:pPr>
        <w:pStyle w:val="13"/>
        <w:jc w:val="center"/>
        <w:rPr>
          <w:rFonts w:hint="eastAsia" w:ascii="方正小标宋_GBK" w:hAnsi="方正小标宋_GBK" w:eastAsia="方正小标宋_GBK" w:cs="方正小标宋_GBK"/>
          <w:sz w:val="72"/>
          <w:szCs w:val="72"/>
        </w:rPr>
      </w:pPr>
    </w:p>
    <w:p w14:paraId="3A01B6B0">
      <w:pPr>
        <w:pStyle w:val="13"/>
        <w:jc w:val="center"/>
        <w:rPr>
          <w:rFonts w:hint="eastAsia" w:ascii="方正小标宋_GBK" w:hAnsi="方正小标宋_GBK" w:eastAsia="方正小标宋_GBK" w:cs="方正小标宋_GBK"/>
          <w:sz w:val="72"/>
          <w:szCs w:val="72"/>
        </w:rPr>
      </w:pPr>
    </w:p>
    <w:p w14:paraId="475C1000">
      <w:pPr>
        <w:pStyle w:val="13"/>
        <w:jc w:val="center"/>
        <w:rPr>
          <w:rFonts w:hint="eastAsia" w:ascii="方正小标宋_GBK" w:hAnsi="方正小标宋_GBK" w:eastAsia="方正小标宋_GBK" w:cs="方正小标宋_GBK"/>
          <w:sz w:val="72"/>
          <w:szCs w:val="72"/>
        </w:rPr>
      </w:pPr>
    </w:p>
    <w:p w14:paraId="6A5A782C">
      <w:pPr>
        <w:pStyle w:val="13"/>
        <w:jc w:val="center"/>
        <w:rPr>
          <w:rFonts w:hint="eastAsia" w:ascii="方正小标宋_GBK" w:hAnsi="方正小标宋_GBK" w:eastAsia="方正小标宋_GBK" w:cs="方正小标宋_GBK"/>
          <w:sz w:val="72"/>
          <w:szCs w:val="72"/>
        </w:rPr>
      </w:pPr>
      <w:r>
        <w:rPr>
          <w:rFonts w:hint="eastAsia" w:ascii="方正小标宋_GBK" w:hAnsi="方正小标宋_GBK" w:eastAsia="方正小标宋_GBK" w:cs="方正小标宋_GBK"/>
          <w:sz w:val="72"/>
          <w:szCs w:val="72"/>
        </w:rPr>
        <w:t>第四部分</w:t>
      </w:r>
    </w:p>
    <w:p w14:paraId="2DDD6447">
      <w:pPr>
        <w:jc w:val="center"/>
        <w:rPr>
          <w:rFonts w:hint="eastAsia" w:ascii="方正小标宋_GBK" w:hAnsi="方正小标宋_GBK" w:eastAsia="方正小标宋_GBK" w:cs="方正小标宋_GBK"/>
          <w:color w:val="000000"/>
          <w:kern w:val="0"/>
          <w:sz w:val="70"/>
          <w:szCs w:val="70"/>
        </w:rPr>
      </w:pPr>
    </w:p>
    <w:p w14:paraId="41992F86">
      <w:pPr>
        <w:pStyle w:val="13"/>
        <w:jc w:val="center"/>
        <w:rPr>
          <w:rFonts w:hint="eastAsia" w:ascii="方正小标宋_GBK" w:hAnsi="方正小标宋_GBK" w:eastAsia="方正小标宋_GBK" w:cs="方正小标宋_GBK"/>
          <w:sz w:val="70"/>
          <w:szCs w:val="70"/>
          <w:lang w:eastAsia="zh-CN"/>
        </w:rPr>
      </w:pPr>
      <w:r>
        <w:rPr>
          <w:rFonts w:hint="eastAsia" w:ascii="方正小标宋_GBK" w:hAnsi="方正小标宋_GBK" w:eastAsia="方正小标宋_GBK" w:cs="方正小标宋_GBK"/>
          <w:color w:val="000000"/>
          <w:kern w:val="0"/>
          <w:sz w:val="70"/>
          <w:szCs w:val="70"/>
        </w:rPr>
        <w:t>名词解释</w:t>
      </w:r>
    </w:p>
    <w:p w14:paraId="571298D0">
      <w:pPr>
        <w:pStyle w:val="2"/>
      </w:pPr>
    </w:p>
    <w:p w14:paraId="5331F884">
      <w:pPr>
        <w:pStyle w:val="3"/>
      </w:pPr>
    </w:p>
    <w:p w14:paraId="2CCAD852"/>
    <w:p w14:paraId="440E89DF">
      <w:pPr>
        <w:pStyle w:val="2"/>
      </w:pPr>
    </w:p>
    <w:p w14:paraId="645B9B76">
      <w:pPr>
        <w:pStyle w:val="3"/>
      </w:pPr>
    </w:p>
    <w:p w14:paraId="539F25AC"/>
    <w:p w14:paraId="47AFAB8F">
      <w:pPr>
        <w:pStyle w:val="2"/>
      </w:pPr>
    </w:p>
    <w:p w14:paraId="479D6353">
      <w:pPr>
        <w:pStyle w:val="3"/>
      </w:pPr>
    </w:p>
    <w:p w14:paraId="648103ED"/>
    <w:p w14:paraId="08A5EA8F">
      <w:pPr>
        <w:pStyle w:val="2"/>
      </w:pPr>
    </w:p>
    <w:p w14:paraId="3FD0BAB6">
      <w:pPr>
        <w:pStyle w:val="3"/>
      </w:pPr>
    </w:p>
    <w:p w14:paraId="1CAE18D7"/>
    <w:p w14:paraId="5994BDDC">
      <w:pPr>
        <w:pStyle w:val="2"/>
      </w:pPr>
    </w:p>
    <w:p w14:paraId="51F60F8D">
      <w:pPr>
        <w:pStyle w:val="3"/>
      </w:pPr>
    </w:p>
    <w:p w14:paraId="715B8195"/>
    <w:p w14:paraId="3F608935">
      <w:pPr>
        <w:pStyle w:val="2"/>
      </w:pPr>
    </w:p>
    <w:p w14:paraId="274FE3C9">
      <w:pPr>
        <w:ind w:firstLine="640" w:firstLineChars="200"/>
        <w:jc w:val="left"/>
        <w:rPr>
          <w:rFonts w:hint="eastAsia" w:ascii="仿宋_GB2312" w:hAnsi="仿宋_GB2312" w:eastAsia="仿宋_GB2312" w:cs="仿宋_GB2312"/>
          <w:color w:val="000000"/>
          <w:kern w:val="0"/>
          <w:sz w:val="32"/>
          <w:szCs w:val="32"/>
        </w:rPr>
      </w:pPr>
    </w:p>
    <w:p w14:paraId="1741E604">
      <w:pPr>
        <w:ind w:firstLine="640" w:firstLineChars="200"/>
        <w:jc w:val="left"/>
        <w:rPr>
          <w:rFonts w:hint="eastAsia" w:ascii="仿宋_GB2312" w:hAnsi="仿宋_GB2312" w:eastAsia="仿宋_GB2312" w:cs="仿宋_GB2312"/>
          <w:color w:val="000000"/>
          <w:kern w:val="0"/>
          <w:sz w:val="32"/>
          <w:szCs w:val="32"/>
        </w:rPr>
      </w:pPr>
    </w:p>
    <w:p w14:paraId="02E59030">
      <w:pPr>
        <w:ind w:firstLine="640" w:firstLineChars="200"/>
        <w:jc w:val="left"/>
        <w:rPr>
          <w:rFonts w:hint="eastAsia" w:ascii="仿宋_GB2312" w:hAnsi="仿宋_GB2312" w:eastAsia="仿宋_GB2312" w:cs="仿宋_GB2312"/>
          <w:color w:val="000000"/>
          <w:kern w:val="0"/>
          <w:sz w:val="32"/>
          <w:szCs w:val="32"/>
        </w:rPr>
      </w:pPr>
    </w:p>
    <w:p w14:paraId="61CE71B9">
      <w:pPr>
        <w:pStyle w:val="2"/>
        <w:rPr>
          <w:rFonts w:hint="eastAsia"/>
        </w:rPr>
      </w:pPr>
    </w:p>
    <w:p w14:paraId="793F6BC2">
      <w:pPr>
        <w:ind w:firstLine="640" w:firstLineChars="200"/>
        <w:jc w:val="left"/>
        <w:rPr>
          <w:rFonts w:hint="eastAsia" w:ascii="仿宋_GB2312" w:hAnsi="仿宋_GB2312" w:eastAsia="仿宋_GB2312" w:cs="仿宋_GB2312"/>
          <w:color w:val="000000"/>
          <w:kern w:val="0"/>
          <w:sz w:val="32"/>
          <w:szCs w:val="32"/>
        </w:rPr>
      </w:pPr>
    </w:p>
    <w:p w14:paraId="754BC716">
      <w:pPr>
        <w:ind w:firstLine="640" w:firstLineChars="200"/>
        <w:jc w:val="left"/>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一、“三公”经费：指用财政拨款安排的因公出国（境）费、公务用车购置及运行费和公务接待费。其中，因公出国（境）费反映出国（境）的住宿费、旅费、伙食补助费、杂费、培训费等支出；公务用车购置及运行费反映单位公务用车购置费及租用费、燃料费、维修费、过路过桥费、保险费、安全奖励费用等支出；公务接待费反映单位按规定开支的各类公务接待（含外宾接待）支出。</w:t>
      </w:r>
    </w:p>
    <w:p w14:paraId="575346AC">
      <w:pPr>
        <w:ind w:firstLine="640" w:firstLineChars="200"/>
        <w:jc w:val="left"/>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二、机关运行经费</w:t>
      </w:r>
      <w:r>
        <w:rPr>
          <w:rFonts w:hint="eastAsia" w:ascii="仿宋_GB2312" w:hAnsi="仿宋_GB2312" w:eastAsia="仿宋_GB2312" w:cs="仿宋_GB2312"/>
          <w:color w:val="000000"/>
          <w:kern w:val="0"/>
          <w:sz w:val="32"/>
          <w:szCs w:val="32"/>
          <w:lang w:eastAsia="zh-CN"/>
        </w:rPr>
        <w:t>，指为保障行政单位（包括参照公务员法管理的事业单位）运行用于购买货物和服务的各项资金</w:t>
      </w:r>
      <w:r>
        <w:rPr>
          <w:rFonts w:hint="eastAsia" w:ascii="仿宋_GB2312" w:hAnsi="仿宋_GB2312" w:eastAsia="仿宋_GB2312" w:cs="仿宋_GB2312"/>
          <w:color w:val="000000"/>
          <w:kern w:val="0"/>
          <w:sz w:val="32"/>
          <w:szCs w:val="32"/>
        </w:rPr>
        <w:t>，包括办公</w:t>
      </w:r>
      <w:r>
        <w:rPr>
          <w:rFonts w:hint="eastAsia" w:ascii="仿宋_GB2312" w:hAnsi="仿宋_GB2312" w:eastAsia="仿宋_GB2312" w:cs="仿宋_GB2312"/>
          <w:color w:val="000000"/>
          <w:kern w:val="0"/>
          <w:sz w:val="32"/>
          <w:szCs w:val="32"/>
          <w:lang w:eastAsia="zh-CN"/>
        </w:rPr>
        <w:t>费、</w:t>
      </w:r>
      <w:r>
        <w:rPr>
          <w:rFonts w:hint="eastAsia" w:ascii="仿宋_GB2312" w:hAnsi="仿宋_GB2312" w:eastAsia="仿宋_GB2312" w:cs="仿宋_GB2312"/>
          <w:color w:val="000000"/>
          <w:kern w:val="0"/>
          <w:sz w:val="32"/>
          <w:szCs w:val="32"/>
        </w:rPr>
        <w:t>印刷费、邮电费、差旅费、会议费、日常维修费、专用材料及一般设备购置费、办公用房水电费、办公用房取暖费、办公用房物业管理费、公务用车运行维护费以及其他费用。</w:t>
      </w:r>
    </w:p>
    <w:p w14:paraId="3FD0CA6F">
      <w:pPr>
        <w:pStyle w:val="13"/>
        <w:spacing w:line="600" w:lineRule="exact"/>
        <w:ind w:firstLine="640" w:firstLineChars="200"/>
        <w:rPr>
          <w:rFonts w:ascii="仿宋_GB2312" w:hAnsi="仿宋_GB2312" w:eastAsia="仿宋_GB2312" w:cs="仿宋_GB2312"/>
          <w:color w:val="auto"/>
          <w:kern w:val="2"/>
          <w:sz w:val="32"/>
          <w:szCs w:val="32"/>
        </w:rPr>
      </w:pPr>
      <w:r>
        <w:rPr>
          <w:rFonts w:hint="eastAsia" w:ascii="仿宋_GB2312" w:hAnsi="仿宋_GB2312" w:eastAsia="仿宋_GB2312" w:cs="仿宋_GB2312"/>
          <w:color w:val="auto"/>
          <w:kern w:val="2"/>
          <w:sz w:val="32"/>
          <w:szCs w:val="32"/>
        </w:rPr>
        <w:t>三、一般预算财政拨款(补助)收入:指财政部门拨入的各类经费。</w:t>
      </w:r>
    </w:p>
    <w:p w14:paraId="7D77C082">
      <w:pPr>
        <w:pStyle w:val="13"/>
        <w:spacing w:line="600" w:lineRule="exact"/>
        <w:ind w:firstLine="640" w:firstLineChars="200"/>
        <w:rPr>
          <w:rFonts w:ascii="仿宋_GB2312" w:hAnsi="仿宋_GB2312" w:eastAsia="仿宋_GB2312" w:cs="仿宋_GB2312"/>
          <w:color w:val="auto"/>
          <w:kern w:val="2"/>
          <w:sz w:val="32"/>
          <w:szCs w:val="32"/>
        </w:rPr>
      </w:pPr>
      <w:r>
        <w:rPr>
          <w:rFonts w:hint="eastAsia" w:ascii="仿宋_GB2312" w:hAnsi="仿宋_GB2312" w:eastAsia="仿宋_GB2312" w:cs="仿宋_GB2312"/>
          <w:color w:val="auto"/>
          <w:kern w:val="2"/>
          <w:sz w:val="32"/>
          <w:szCs w:val="32"/>
        </w:rPr>
        <w:t>四、财政拨款收入:指本级财政当年拨付的资金。</w:t>
      </w:r>
    </w:p>
    <w:p w14:paraId="383D389F">
      <w:pPr>
        <w:pStyle w:val="13"/>
        <w:spacing w:line="600" w:lineRule="exact"/>
        <w:ind w:firstLine="640" w:firstLineChars="200"/>
        <w:rPr>
          <w:rFonts w:ascii="仿宋_GB2312" w:hAnsi="仿宋_GB2312" w:eastAsia="仿宋_GB2312" w:cs="仿宋_GB2312"/>
          <w:color w:val="auto"/>
          <w:kern w:val="2"/>
          <w:sz w:val="32"/>
          <w:szCs w:val="32"/>
        </w:rPr>
      </w:pPr>
      <w:r>
        <w:rPr>
          <w:rFonts w:hint="eastAsia" w:ascii="仿宋_GB2312" w:hAnsi="仿宋_GB2312" w:eastAsia="仿宋_GB2312" w:cs="仿宋_GB2312"/>
          <w:color w:val="auto"/>
          <w:kern w:val="2"/>
          <w:sz w:val="32"/>
          <w:szCs w:val="32"/>
        </w:rPr>
        <w:t>五、社会保障和就业支出(类):是指用于社会保障和就业方面的支出，包括保障机构正常运转、完成日常和特定的工作任务或事业发展目标的支出。归口管理的行政单位离退休，指离退休人员管理机构统一管理的机关离退休人员的经费。</w:t>
      </w:r>
    </w:p>
    <w:p w14:paraId="4E2B05C3">
      <w:pPr>
        <w:pStyle w:val="13"/>
        <w:spacing w:line="600" w:lineRule="exact"/>
        <w:ind w:firstLine="640" w:firstLineChars="200"/>
        <w:rPr>
          <w:rFonts w:ascii="仿宋_GB2312" w:hAnsi="仿宋_GB2312" w:eastAsia="仿宋_GB2312" w:cs="仿宋_GB2312"/>
          <w:color w:val="auto"/>
          <w:kern w:val="2"/>
          <w:sz w:val="32"/>
          <w:szCs w:val="32"/>
        </w:rPr>
      </w:pPr>
      <w:r>
        <w:rPr>
          <w:rFonts w:hint="eastAsia" w:ascii="仿宋_GB2312" w:hAnsi="仿宋_GB2312" w:eastAsia="仿宋_GB2312" w:cs="仿宋_GB2312"/>
          <w:color w:val="auto"/>
          <w:kern w:val="2"/>
          <w:sz w:val="32"/>
          <w:szCs w:val="32"/>
        </w:rPr>
        <w:t>六、医疗卫生与计划生育支出(类):是指用于医疗卫生与计划生育方面的支出，包括保障机构正常运转、完成日常和特定的工作任务或事业发展目标的支出</w:t>
      </w:r>
    </w:p>
    <w:p w14:paraId="0C5654E7">
      <w:pPr>
        <w:pStyle w:val="13"/>
        <w:spacing w:line="600" w:lineRule="exact"/>
        <w:ind w:firstLine="640" w:firstLineChars="200"/>
        <w:rPr>
          <w:rFonts w:ascii="仿宋_GB2312" w:hAnsi="仿宋_GB2312" w:eastAsia="仿宋_GB2312" w:cs="仿宋_GB2312"/>
          <w:color w:val="auto"/>
          <w:kern w:val="2"/>
          <w:sz w:val="32"/>
          <w:szCs w:val="32"/>
        </w:rPr>
      </w:pPr>
      <w:r>
        <w:rPr>
          <w:rFonts w:hint="eastAsia" w:ascii="仿宋_GB2312" w:hAnsi="仿宋_GB2312" w:eastAsia="仿宋_GB2312" w:cs="仿宋_GB2312"/>
          <w:color w:val="auto"/>
          <w:kern w:val="2"/>
          <w:sz w:val="32"/>
          <w:szCs w:val="32"/>
        </w:rPr>
        <w:t>七、住房保障支出(类):是指用于住房方面的支出，包括保障机构正常运转、完成日常和特定的工作任务或事业发展目标的支出。</w:t>
      </w:r>
    </w:p>
    <w:p w14:paraId="27966FAB">
      <w:pPr>
        <w:pStyle w:val="13"/>
        <w:spacing w:line="600" w:lineRule="exact"/>
        <w:ind w:firstLine="640" w:firstLineChars="200"/>
        <w:rPr>
          <w:rFonts w:ascii="仿宋_GB2312" w:hAnsi="仿宋_GB2312" w:eastAsia="仿宋_GB2312" w:cs="仿宋_GB2312"/>
          <w:color w:val="auto"/>
          <w:kern w:val="2"/>
          <w:sz w:val="32"/>
          <w:szCs w:val="32"/>
        </w:rPr>
      </w:pPr>
      <w:r>
        <w:rPr>
          <w:rFonts w:hint="eastAsia" w:ascii="仿宋_GB2312" w:hAnsi="仿宋_GB2312" w:eastAsia="仿宋_GB2312" w:cs="仿宋_GB2312"/>
          <w:color w:val="auto"/>
          <w:kern w:val="2"/>
          <w:sz w:val="32"/>
          <w:szCs w:val="32"/>
        </w:rPr>
        <w:t>八、预算绩效:即政府预算资金实施所产生的效益、效率和效果。</w:t>
      </w:r>
    </w:p>
    <w:p w14:paraId="3415776C">
      <w:pPr>
        <w:pStyle w:val="13"/>
        <w:spacing w:line="600" w:lineRule="exact"/>
        <w:ind w:firstLine="640" w:firstLineChars="200"/>
        <w:rPr>
          <w:rFonts w:ascii="仿宋_GB2312" w:hAnsi="仿宋_GB2312" w:eastAsia="仿宋_GB2312" w:cs="仿宋_GB2312"/>
          <w:color w:val="auto"/>
          <w:kern w:val="2"/>
          <w:sz w:val="32"/>
          <w:szCs w:val="32"/>
        </w:rPr>
      </w:pPr>
      <w:r>
        <w:rPr>
          <w:rFonts w:hint="eastAsia" w:ascii="仿宋_GB2312" w:hAnsi="仿宋_GB2312" w:eastAsia="仿宋_GB2312" w:cs="仿宋_GB2312"/>
          <w:color w:val="auto"/>
          <w:kern w:val="2"/>
          <w:sz w:val="32"/>
          <w:szCs w:val="32"/>
        </w:rPr>
        <w:t>九、基本支出:指保障机构正常运转、完成日常工作任务而发生的人员支出和公用支出。</w:t>
      </w:r>
    </w:p>
    <w:p w14:paraId="7CD67E11">
      <w:pPr>
        <w:pStyle w:val="13"/>
        <w:spacing w:line="600" w:lineRule="exact"/>
        <w:ind w:firstLine="640" w:firstLineChars="200"/>
        <w:rPr>
          <w:rFonts w:hint="eastAsia" w:ascii="楷体" w:hAnsi="楷体" w:eastAsia="楷体" w:cs="楷体"/>
          <w:b/>
          <w:bCs/>
          <w:i/>
          <w:color w:val="FF0000"/>
          <w:sz w:val="32"/>
          <w:szCs w:val="32"/>
        </w:rPr>
      </w:pPr>
      <w:r>
        <w:rPr>
          <w:rFonts w:hint="eastAsia" w:ascii="仿宋_GB2312" w:hAnsi="仿宋_GB2312" w:eastAsia="仿宋_GB2312" w:cs="仿宋_GB2312"/>
          <w:color w:val="auto"/>
          <w:kern w:val="2"/>
          <w:sz w:val="32"/>
          <w:szCs w:val="32"/>
        </w:rPr>
        <w:t>十、项目支出:指在基本支出之外为完成特定行政任务和事业发展目标所发生的支出。</w:t>
      </w:r>
    </w:p>
    <w:p w14:paraId="48435FDE">
      <w:pPr>
        <w:pStyle w:val="13"/>
        <w:jc w:val="center"/>
        <w:rPr>
          <w:rFonts w:hint="eastAsia" w:ascii="仿宋_GB2312" w:hAnsi="仿宋_GB2312" w:eastAsia="仿宋_GB2312" w:cs="仿宋_GB2312"/>
          <w:sz w:val="32"/>
          <w:szCs w:val="32"/>
        </w:rPr>
      </w:pPr>
    </w:p>
    <w:p w14:paraId="1D47518A">
      <w:pPr>
        <w:pStyle w:val="3"/>
      </w:pPr>
    </w:p>
    <w:p w14:paraId="580CF8E4"/>
    <w:p w14:paraId="0C17744C">
      <w:pPr>
        <w:pStyle w:val="2"/>
      </w:pPr>
    </w:p>
    <w:p w14:paraId="7B8BABF4">
      <w:pPr>
        <w:pStyle w:val="3"/>
      </w:pPr>
    </w:p>
    <w:p w14:paraId="354ECFD8">
      <w:pPr>
        <w:pStyle w:val="3"/>
        <w:ind w:left="0" w:leftChars="0" w:firstLine="0" w:firstLineChars="0"/>
      </w:pPr>
    </w:p>
    <w:p w14:paraId="51C67B38"/>
    <w:p w14:paraId="4D131F3E"/>
    <w:p w14:paraId="7CFBCE3C">
      <w:pPr>
        <w:pStyle w:val="2"/>
      </w:pPr>
    </w:p>
    <w:p w14:paraId="5C3DE094">
      <w:pPr>
        <w:pStyle w:val="13"/>
        <w:jc w:val="both"/>
        <w:rPr>
          <w:rFonts w:hint="eastAsia" w:ascii="方正小标宋_GBK" w:hAnsi="方正小标宋_GBK" w:eastAsia="方正小标宋_GBK" w:cs="方正小标宋_GBK"/>
          <w:sz w:val="72"/>
          <w:szCs w:val="72"/>
        </w:rPr>
      </w:pPr>
    </w:p>
    <w:p w14:paraId="0C1858E3">
      <w:pPr>
        <w:pStyle w:val="13"/>
        <w:jc w:val="center"/>
        <w:rPr>
          <w:rFonts w:hint="eastAsia" w:ascii="方正小标宋_GBK" w:hAnsi="方正小标宋_GBK" w:eastAsia="方正小标宋_GBK" w:cs="方正小标宋_GBK"/>
          <w:sz w:val="70"/>
          <w:szCs w:val="70"/>
        </w:rPr>
      </w:pPr>
      <w:r>
        <w:rPr>
          <w:rFonts w:hint="eastAsia" w:ascii="方正小标宋_GBK" w:hAnsi="方正小标宋_GBK" w:eastAsia="方正小标宋_GBK" w:cs="方正小标宋_GBK"/>
          <w:sz w:val="72"/>
          <w:szCs w:val="72"/>
        </w:rPr>
        <w:t>第</w:t>
      </w:r>
      <w:r>
        <w:rPr>
          <w:rFonts w:hint="eastAsia" w:ascii="方正小标宋_GBK" w:hAnsi="方正小标宋_GBK" w:eastAsia="方正小标宋_GBK" w:cs="方正小标宋_GBK"/>
          <w:sz w:val="72"/>
          <w:szCs w:val="72"/>
          <w:lang w:eastAsia="zh-CN"/>
        </w:rPr>
        <w:t>五</w:t>
      </w:r>
      <w:r>
        <w:rPr>
          <w:rFonts w:hint="eastAsia" w:ascii="方正小标宋_GBK" w:hAnsi="方正小标宋_GBK" w:eastAsia="方正小标宋_GBK" w:cs="方正小标宋_GBK"/>
          <w:sz w:val="72"/>
          <w:szCs w:val="72"/>
        </w:rPr>
        <w:t>部分</w:t>
      </w:r>
    </w:p>
    <w:p w14:paraId="592BF6CA">
      <w:pPr>
        <w:pStyle w:val="13"/>
        <w:jc w:val="both"/>
        <w:rPr>
          <w:rFonts w:hint="eastAsia" w:ascii="方正小标宋_GBK" w:hAnsi="方正小标宋_GBK" w:eastAsia="方正小标宋_GBK" w:cs="方正小标宋_GBK"/>
          <w:sz w:val="70"/>
          <w:szCs w:val="70"/>
          <w:lang w:eastAsia="zh-CN"/>
        </w:rPr>
      </w:pPr>
    </w:p>
    <w:p w14:paraId="490142D3">
      <w:pPr>
        <w:pStyle w:val="13"/>
        <w:jc w:val="center"/>
        <w:rPr>
          <w:rFonts w:hint="eastAsia" w:ascii="方正小标宋_GBK" w:hAnsi="方正小标宋_GBK" w:eastAsia="方正小标宋_GBK" w:cs="方正小标宋_GBK"/>
          <w:sz w:val="70"/>
          <w:szCs w:val="70"/>
          <w:lang w:eastAsia="zh-CN"/>
        </w:rPr>
      </w:pPr>
      <w:r>
        <w:rPr>
          <w:rFonts w:hint="eastAsia" w:ascii="方正小标宋_GBK" w:hAnsi="方正小标宋_GBK" w:eastAsia="方正小标宋_GBK" w:cs="方正小标宋_GBK"/>
          <w:sz w:val="70"/>
          <w:szCs w:val="70"/>
          <w:lang w:eastAsia="zh-CN"/>
        </w:rPr>
        <w:t>附</w:t>
      </w:r>
      <w:r>
        <w:rPr>
          <w:rFonts w:hint="eastAsia" w:ascii="方正小标宋_GBK" w:hAnsi="方正小标宋_GBK" w:eastAsia="方正小标宋_GBK" w:cs="方正小标宋_GBK"/>
          <w:sz w:val="70"/>
          <w:szCs w:val="70"/>
          <w:lang w:val="en-US" w:eastAsia="zh-CN"/>
        </w:rPr>
        <w:t xml:space="preserve"> </w:t>
      </w:r>
      <w:r>
        <w:rPr>
          <w:rFonts w:hint="eastAsia" w:ascii="方正小标宋_GBK" w:hAnsi="方正小标宋_GBK" w:eastAsia="方正小标宋_GBK" w:cs="方正小标宋_GBK"/>
          <w:sz w:val="70"/>
          <w:szCs w:val="70"/>
          <w:lang w:eastAsia="zh-CN"/>
        </w:rPr>
        <w:t>件</w:t>
      </w:r>
    </w:p>
    <w:p w14:paraId="3243C04E">
      <w:pPr>
        <w:ind w:firstLine="640" w:firstLineChars="200"/>
        <w:jc w:val="left"/>
        <w:rPr>
          <w:rFonts w:hint="eastAsia" w:ascii="宋体" w:hAnsi="宋体" w:eastAsia="宋体" w:cs="黑体"/>
          <w:b/>
          <w:color w:val="000000"/>
          <w:kern w:val="0"/>
          <w:sz w:val="32"/>
          <w:szCs w:val="32"/>
          <w:lang w:val="en-US" w:eastAsia="zh-CN"/>
        </w:rPr>
      </w:pPr>
    </w:p>
    <w:p w14:paraId="4EAC9354">
      <w:pPr>
        <w:ind w:firstLine="640" w:firstLineChars="200"/>
        <w:jc w:val="left"/>
        <w:rPr>
          <w:rFonts w:hint="eastAsia" w:ascii="宋体" w:hAnsi="宋体" w:eastAsia="宋体" w:cs="黑体"/>
          <w:b/>
          <w:color w:val="000000"/>
          <w:kern w:val="0"/>
          <w:sz w:val="32"/>
          <w:szCs w:val="32"/>
          <w:lang w:val="en-US" w:eastAsia="zh-CN"/>
        </w:rPr>
      </w:pPr>
      <w:r>
        <w:rPr>
          <w:rFonts w:hint="eastAsia" w:ascii="宋体" w:hAnsi="宋体" w:eastAsia="宋体" w:cs="黑体"/>
          <w:b/>
          <w:color w:val="000000"/>
          <w:kern w:val="0"/>
          <w:sz w:val="32"/>
          <w:szCs w:val="32"/>
          <w:lang w:val="en-US" w:eastAsia="zh-CN"/>
        </w:rPr>
        <w:t>1、</w:t>
      </w:r>
      <w:r>
        <w:rPr>
          <w:rFonts w:hint="eastAsia" w:ascii="宋体" w:hAnsi="宋体" w:eastAsia="宋体" w:cs="黑体"/>
          <w:b/>
          <w:color w:val="000000"/>
          <w:kern w:val="0"/>
          <w:sz w:val="32"/>
          <w:szCs w:val="32"/>
          <w:highlight w:val="none"/>
          <w:lang w:val="en-US" w:eastAsia="zh-CN"/>
        </w:rPr>
        <w:t>2024</w:t>
      </w:r>
      <w:r>
        <w:rPr>
          <w:rFonts w:hint="eastAsia" w:ascii="宋体" w:hAnsi="宋体" w:eastAsia="宋体" w:cs="黑体"/>
          <w:b/>
          <w:color w:val="000000"/>
          <w:kern w:val="0"/>
          <w:sz w:val="32"/>
          <w:szCs w:val="32"/>
          <w:lang w:val="en-US" w:eastAsia="zh-CN"/>
        </w:rPr>
        <w:t>年部门决算公开表格</w:t>
      </w:r>
    </w:p>
    <w:p w14:paraId="27E2EE8B">
      <w:pPr>
        <w:ind w:firstLine="640" w:firstLineChars="200"/>
        <w:jc w:val="left"/>
        <w:rPr>
          <w:rFonts w:ascii="宋体" w:hAnsi="宋体" w:eastAsia="宋体" w:cs="黑体"/>
          <w:color w:val="000000"/>
          <w:kern w:val="0"/>
          <w:sz w:val="32"/>
          <w:szCs w:val="32"/>
        </w:rPr>
      </w:pPr>
      <w:r>
        <w:rPr>
          <w:rFonts w:hint="eastAsia" w:ascii="宋体" w:hAnsi="宋体" w:eastAsia="宋体" w:cs="黑体"/>
          <w:b/>
          <w:color w:val="000000"/>
          <w:kern w:val="0"/>
          <w:sz w:val="32"/>
          <w:szCs w:val="32"/>
          <w:lang w:val="en-US" w:eastAsia="zh-CN"/>
        </w:rPr>
        <w:t>2、</w:t>
      </w:r>
      <w:r>
        <w:rPr>
          <w:rFonts w:hint="eastAsia" w:ascii="宋体" w:hAnsi="宋体" w:eastAsia="宋体" w:cs="黑体"/>
          <w:b/>
          <w:color w:val="000000"/>
          <w:kern w:val="0"/>
          <w:sz w:val="32"/>
          <w:szCs w:val="32"/>
          <w:highlight w:val="none"/>
        </w:rPr>
        <w:t>202</w:t>
      </w:r>
      <w:r>
        <w:rPr>
          <w:rFonts w:hint="eastAsia" w:ascii="宋体" w:hAnsi="宋体" w:eastAsia="宋体" w:cs="黑体"/>
          <w:b/>
          <w:color w:val="000000"/>
          <w:kern w:val="0"/>
          <w:sz w:val="32"/>
          <w:szCs w:val="32"/>
          <w:highlight w:val="none"/>
          <w:lang w:val="en-US" w:eastAsia="zh-CN"/>
        </w:rPr>
        <w:t>4</w:t>
      </w:r>
      <w:r>
        <w:rPr>
          <w:rFonts w:hint="eastAsia" w:ascii="宋体" w:hAnsi="宋体" w:eastAsia="宋体" w:cs="黑体"/>
          <w:b/>
          <w:color w:val="000000"/>
          <w:kern w:val="0"/>
          <w:sz w:val="32"/>
          <w:szCs w:val="32"/>
        </w:rPr>
        <w:t>年度部门整体支出绩效评价报告</w:t>
      </w:r>
    </w:p>
    <w:p w14:paraId="045AD96C"/>
    <w:sectPr>
      <w:pgSz w:w="11906" w:h="16838"/>
      <w:pgMar w:top="720" w:right="720" w:bottom="720" w:left="720" w:header="851" w:footer="992" w:gutter="0"/>
      <w:cols w:space="425"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_GBK">
    <w:altName w:val="微软雅黑"/>
    <w:panose1 w:val="02000000000000000000"/>
    <w:charset w:val="86"/>
    <w:family w:val="script"/>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_GB2312">
    <w:altName w:val="仿宋"/>
    <w:panose1 w:val="00000000000000000000"/>
    <w:charset w:val="00"/>
    <w:family w:val="auto"/>
    <w:pitch w:val="default"/>
    <w:sig w:usb0="00000000" w:usb1="00000000" w:usb2="00000000" w:usb3="00000000" w:csb0="0000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44413D4"/>
    <w:multiLevelType w:val="singleLevel"/>
    <w:tmpl w:val="844413D4"/>
    <w:lvl w:ilvl="0" w:tentative="0">
      <w:start w:val="3"/>
      <w:numFmt w:val="decimal"/>
      <w:suff w:val="nothing"/>
      <w:lvlText w:val="%1、"/>
      <w:lvlJc w:val="left"/>
    </w:lvl>
  </w:abstractNum>
  <w:abstractNum w:abstractNumId="1">
    <w:nsid w:val="8EDECFD4"/>
    <w:multiLevelType w:val="singleLevel"/>
    <w:tmpl w:val="8EDECFD4"/>
    <w:lvl w:ilvl="0" w:tentative="0">
      <w:start w:val="3"/>
      <w:numFmt w:val="chineseCounting"/>
      <w:suff w:val="nothing"/>
      <w:lvlText w:val="（%1）"/>
      <w:lvlJc w:val="left"/>
      <w:rPr>
        <w:rFonts w:hint="eastAsia"/>
      </w:rPr>
    </w:lvl>
  </w:abstractNum>
  <w:abstractNum w:abstractNumId="2">
    <w:nsid w:val="373518C1"/>
    <w:multiLevelType w:val="multilevel"/>
    <w:tmpl w:val="373518C1"/>
    <w:lvl w:ilvl="0" w:tentative="0">
      <w:start w:val="1"/>
      <w:numFmt w:val="none"/>
      <w:lvlText w:val="一、"/>
      <w:lvlJc w:val="left"/>
      <w:pPr>
        <w:ind w:left="720" w:hanging="7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506F9"/>
    <w:rsid w:val="0002229B"/>
    <w:rsid w:val="000273BD"/>
    <w:rsid w:val="00040CBC"/>
    <w:rsid w:val="000415B7"/>
    <w:rsid w:val="00041E3F"/>
    <w:rsid w:val="00055DAA"/>
    <w:rsid w:val="00061F7B"/>
    <w:rsid w:val="000658A3"/>
    <w:rsid w:val="00074155"/>
    <w:rsid w:val="000A3F69"/>
    <w:rsid w:val="00103957"/>
    <w:rsid w:val="00152C6D"/>
    <w:rsid w:val="00162D39"/>
    <w:rsid w:val="001678BD"/>
    <w:rsid w:val="00182373"/>
    <w:rsid w:val="001A67DB"/>
    <w:rsid w:val="001C3C29"/>
    <w:rsid w:val="001D51E5"/>
    <w:rsid w:val="001E080D"/>
    <w:rsid w:val="001E53D0"/>
    <w:rsid w:val="001F0C3B"/>
    <w:rsid w:val="00202C82"/>
    <w:rsid w:val="00214427"/>
    <w:rsid w:val="00226CB7"/>
    <w:rsid w:val="00264552"/>
    <w:rsid w:val="00264EF9"/>
    <w:rsid w:val="00265724"/>
    <w:rsid w:val="0027426B"/>
    <w:rsid w:val="002E0A30"/>
    <w:rsid w:val="003130C4"/>
    <w:rsid w:val="00316C4B"/>
    <w:rsid w:val="0032192B"/>
    <w:rsid w:val="003479BD"/>
    <w:rsid w:val="0037197D"/>
    <w:rsid w:val="003768D5"/>
    <w:rsid w:val="003926B9"/>
    <w:rsid w:val="003C47E6"/>
    <w:rsid w:val="003C4FC2"/>
    <w:rsid w:val="00416E61"/>
    <w:rsid w:val="0042790C"/>
    <w:rsid w:val="004506F9"/>
    <w:rsid w:val="004717A2"/>
    <w:rsid w:val="00473DF3"/>
    <w:rsid w:val="00487911"/>
    <w:rsid w:val="00491741"/>
    <w:rsid w:val="004B0CEE"/>
    <w:rsid w:val="00500E5F"/>
    <w:rsid w:val="005122EF"/>
    <w:rsid w:val="0051441A"/>
    <w:rsid w:val="00517C33"/>
    <w:rsid w:val="00517D5F"/>
    <w:rsid w:val="00523644"/>
    <w:rsid w:val="0054069E"/>
    <w:rsid w:val="00544866"/>
    <w:rsid w:val="005767CC"/>
    <w:rsid w:val="00590D9F"/>
    <w:rsid w:val="00595D26"/>
    <w:rsid w:val="005A74E6"/>
    <w:rsid w:val="005B404E"/>
    <w:rsid w:val="005D4D55"/>
    <w:rsid w:val="005E2CFB"/>
    <w:rsid w:val="005F2103"/>
    <w:rsid w:val="005F3D1C"/>
    <w:rsid w:val="0062378F"/>
    <w:rsid w:val="00641842"/>
    <w:rsid w:val="00651EEC"/>
    <w:rsid w:val="00686673"/>
    <w:rsid w:val="00691E8C"/>
    <w:rsid w:val="006A22C4"/>
    <w:rsid w:val="006A351B"/>
    <w:rsid w:val="006B0422"/>
    <w:rsid w:val="006C1B53"/>
    <w:rsid w:val="006D7730"/>
    <w:rsid w:val="006E5284"/>
    <w:rsid w:val="006F3EB5"/>
    <w:rsid w:val="00702E34"/>
    <w:rsid w:val="00704395"/>
    <w:rsid w:val="00710FE7"/>
    <w:rsid w:val="00717621"/>
    <w:rsid w:val="00720FF1"/>
    <w:rsid w:val="00727A53"/>
    <w:rsid w:val="00787B42"/>
    <w:rsid w:val="007C4539"/>
    <w:rsid w:val="007F3657"/>
    <w:rsid w:val="00812ED5"/>
    <w:rsid w:val="008277D9"/>
    <w:rsid w:val="0084478C"/>
    <w:rsid w:val="0086638C"/>
    <w:rsid w:val="008A3E8D"/>
    <w:rsid w:val="009237C4"/>
    <w:rsid w:val="00944C48"/>
    <w:rsid w:val="00950252"/>
    <w:rsid w:val="00967F5D"/>
    <w:rsid w:val="009A0F95"/>
    <w:rsid w:val="009B3ADF"/>
    <w:rsid w:val="009B4D8E"/>
    <w:rsid w:val="009C3B52"/>
    <w:rsid w:val="009E6817"/>
    <w:rsid w:val="009E6E9A"/>
    <w:rsid w:val="00A01D2B"/>
    <w:rsid w:val="00A42218"/>
    <w:rsid w:val="00A70249"/>
    <w:rsid w:val="00A70B02"/>
    <w:rsid w:val="00A71D9F"/>
    <w:rsid w:val="00A92E9F"/>
    <w:rsid w:val="00AB18FF"/>
    <w:rsid w:val="00B33BEA"/>
    <w:rsid w:val="00B57C9F"/>
    <w:rsid w:val="00B63572"/>
    <w:rsid w:val="00B845B3"/>
    <w:rsid w:val="00B85D8B"/>
    <w:rsid w:val="00BB4A40"/>
    <w:rsid w:val="00BD6C3E"/>
    <w:rsid w:val="00BE3674"/>
    <w:rsid w:val="00C10681"/>
    <w:rsid w:val="00C3049A"/>
    <w:rsid w:val="00C31B1E"/>
    <w:rsid w:val="00C77645"/>
    <w:rsid w:val="00CE04C3"/>
    <w:rsid w:val="00CE76A0"/>
    <w:rsid w:val="00D148C6"/>
    <w:rsid w:val="00D17A8A"/>
    <w:rsid w:val="00D415BA"/>
    <w:rsid w:val="00D63780"/>
    <w:rsid w:val="00D644EE"/>
    <w:rsid w:val="00DD06FF"/>
    <w:rsid w:val="00DD5FE9"/>
    <w:rsid w:val="00E00C7A"/>
    <w:rsid w:val="00E37D6C"/>
    <w:rsid w:val="00E55B68"/>
    <w:rsid w:val="00E561AE"/>
    <w:rsid w:val="00E67BE6"/>
    <w:rsid w:val="00E8683C"/>
    <w:rsid w:val="00EA2B72"/>
    <w:rsid w:val="00F74360"/>
    <w:rsid w:val="00FB462F"/>
    <w:rsid w:val="00FE16FA"/>
    <w:rsid w:val="00FE328A"/>
    <w:rsid w:val="00FE6269"/>
    <w:rsid w:val="00FF5CD6"/>
    <w:rsid w:val="02151639"/>
    <w:rsid w:val="027520D7"/>
    <w:rsid w:val="05077877"/>
    <w:rsid w:val="055931AB"/>
    <w:rsid w:val="059958AD"/>
    <w:rsid w:val="062A142B"/>
    <w:rsid w:val="06673425"/>
    <w:rsid w:val="06C857E7"/>
    <w:rsid w:val="08962DA7"/>
    <w:rsid w:val="08C24A73"/>
    <w:rsid w:val="092E203A"/>
    <w:rsid w:val="09420EAD"/>
    <w:rsid w:val="0A405516"/>
    <w:rsid w:val="0A505B3E"/>
    <w:rsid w:val="0D0D4996"/>
    <w:rsid w:val="10F37004"/>
    <w:rsid w:val="11944E2C"/>
    <w:rsid w:val="12583BA5"/>
    <w:rsid w:val="12C50511"/>
    <w:rsid w:val="13BA5B9C"/>
    <w:rsid w:val="13D36C5E"/>
    <w:rsid w:val="1796247C"/>
    <w:rsid w:val="1D97DEFF"/>
    <w:rsid w:val="1DFF72E5"/>
    <w:rsid w:val="1EFC6F07"/>
    <w:rsid w:val="1F0527A6"/>
    <w:rsid w:val="20930952"/>
    <w:rsid w:val="21A47E8B"/>
    <w:rsid w:val="22AA3280"/>
    <w:rsid w:val="22AC03C2"/>
    <w:rsid w:val="245800EA"/>
    <w:rsid w:val="263F63D5"/>
    <w:rsid w:val="27702CEA"/>
    <w:rsid w:val="27D43F35"/>
    <w:rsid w:val="283B15FE"/>
    <w:rsid w:val="286C4045"/>
    <w:rsid w:val="28CD1A76"/>
    <w:rsid w:val="28FA7B14"/>
    <w:rsid w:val="291D29FD"/>
    <w:rsid w:val="2AB81CB0"/>
    <w:rsid w:val="2B8C3E6A"/>
    <w:rsid w:val="2CE101E6"/>
    <w:rsid w:val="2EE10029"/>
    <w:rsid w:val="2FDF85B8"/>
    <w:rsid w:val="2FFFEE04"/>
    <w:rsid w:val="31750EFD"/>
    <w:rsid w:val="31C95635"/>
    <w:rsid w:val="32335040"/>
    <w:rsid w:val="34CD01C2"/>
    <w:rsid w:val="34DF85B0"/>
    <w:rsid w:val="37CB1876"/>
    <w:rsid w:val="38764B99"/>
    <w:rsid w:val="38E2331B"/>
    <w:rsid w:val="3B8F36BC"/>
    <w:rsid w:val="40EF2A79"/>
    <w:rsid w:val="43EB5BA5"/>
    <w:rsid w:val="45603F46"/>
    <w:rsid w:val="45800144"/>
    <w:rsid w:val="45C73FC5"/>
    <w:rsid w:val="45E16709"/>
    <w:rsid w:val="462F1B6A"/>
    <w:rsid w:val="47FE35A2"/>
    <w:rsid w:val="491FF225"/>
    <w:rsid w:val="498E0956"/>
    <w:rsid w:val="4A25750C"/>
    <w:rsid w:val="4A3414FD"/>
    <w:rsid w:val="4AB368C6"/>
    <w:rsid w:val="4B756271"/>
    <w:rsid w:val="4D245859"/>
    <w:rsid w:val="4D7367E0"/>
    <w:rsid w:val="4DD3102D"/>
    <w:rsid w:val="4EC310A1"/>
    <w:rsid w:val="4EDD6607"/>
    <w:rsid w:val="4FFD214C"/>
    <w:rsid w:val="52650DED"/>
    <w:rsid w:val="52E8557B"/>
    <w:rsid w:val="5352765A"/>
    <w:rsid w:val="546D409E"/>
    <w:rsid w:val="555B2034"/>
    <w:rsid w:val="559452E9"/>
    <w:rsid w:val="5777D4F5"/>
    <w:rsid w:val="57F22B6F"/>
    <w:rsid w:val="59DD8326"/>
    <w:rsid w:val="5BFE5E0F"/>
    <w:rsid w:val="5C10035B"/>
    <w:rsid w:val="5CB5471F"/>
    <w:rsid w:val="5D4226F5"/>
    <w:rsid w:val="5DEF592A"/>
    <w:rsid w:val="5DF97DD7"/>
    <w:rsid w:val="5EBA01EF"/>
    <w:rsid w:val="5EEB267A"/>
    <w:rsid w:val="5F9A19AB"/>
    <w:rsid w:val="5FC6BB1E"/>
    <w:rsid w:val="5FF720F1"/>
    <w:rsid w:val="600F4147"/>
    <w:rsid w:val="60A54AAB"/>
    <w:rsid w:val="622964C1"/>
    <w:rsid w:val="628C5F22"/>
    <w:rsid w:val="628E1C9B"/>
    <w:rsid w:val="657C227E"/>
    <w:rsid w:val="677551D7"/>
    <w:rsid w:val="67FF5C0B"/>
    <w:rsid w:val="69D00DEB"/>
    <w:rsid w:val="6A5135AE"/>
    <w:rsid w:val="6A794FDE"/>
    <w:rsid w:val="6A876FCF"/>
    <w:rsid w:val="6BAA11C7"/>
    <w:rsid w:val="6BAA4A2F"/>
    <w:rsid w:val="6C30791F"/>
    <w:rsid w:val="6DDEC5C0"/>
    <w:rsid w:val="6EFC0924"/>
    <w:rsid w:val="6F286FD3"/>
    <w:rsid w:val="6FB74722"/>
    <w:rsid w:val="6FD26F02"/>
    <w:rsid w:val="6FEF8B7E"/>
    <w:rsid w:val="703A69CB"/>
    <w:rsid w:val="7053007F"/>
    <w:rsid w:val="717429FF"/>
    <w:rsid w:val="717FE77F"/>
    <w:rsid w:val="71962AA0"/>
    <w:rsid w:val="71A6591B"/>
    <w:rsid w:val="732301DD"/>
    <w:rsid w:val="737D59BA"/>
    <w:rsid w:val="737F32B1"/>
    <w:rsid w:val="73BD3FCA"/>
    <w:rsid w:val="776BDA01"/>
    <w:rsid w:val="77C37683"/>
    <w:rsid w:val="77FA0515"/>
    <w:rsid w:val="78540E39"/>
    <w:rsid w:val="79112886"/>
    <w:rsid w:val="79396B5E"/>
    <w:rsid w:val="79CD0628"/>
    <w:rsid w:val="79FF515B"/>
    <w:rsid w:val="7C30208F"/>
    <w:rsid w:val="7C4E5B9F"/>
    <w:rsid w:val="7C865339"/>
    <w:rsid w:val="7DFBFF20"/>
    <w:rsid w:val="7E9E1962"/>
    <w:rsid w:val="7E9F11B4"/>
    <w:rsid w:val="7F37EC1E"/>
    <w:rsid w:val="7F7C0DDA"/>
    <w:rsid w:val="7F7DCD9D"/>
    <w:rsid w:val="7F970A6F"/>
    <w:rsid w:val="7FC1FFF3"/>
    <w:rsid w:val="7FC69637"/>
    <w:rsid w:val="7FDF8620"/>
    <w:rsid w:val="7FEC41B1"/>
    <w:rsid w:val="7FFB242F"/>
    <w:rsid w:val="7FFDB408"/>
    <w:rsid w:val="7FFE4EEB"/>
    <w:rsid w:val="95FB2B98"/>
    <w:rsid w:val="9A639BC2"/>
    <w:rsid w:val="9FF7D786"/>
    <w:rsid w:val="ABBFB23D"/>
    <w:rsid w:val="B6BE5A03"/>
    <w:rsid w:val="B8C93228"/>
    <w:rsid w:val="C3B4DA5A"/>
    <w:rsid w:val="C4FF458C"/>
    <w:rsid w:val="C7BBD038"/>
    <w:rsid w:val="CBFF70E0"/>
    <w:rsid w:val="CFF50B82"/>
    <w:rsid w:val="CFFFAD89"/>
    <w:rsid w:val="DFFE359E"/>
    <w:rsid w:val="DFFE4FFD"/>
    <w:rsid w:val="DFFF5403"/>
    <w:rsid w:val="EBC3E00A"/>
    <w:rsid w:val="EDFBE100"/>
    <w:rsid w:val="EEABED75"/>
    <w:rsid w:val="EF7E8003"/>
    <w:rsid w:val="F56FDF51"/>
    <w:rsid w:val="F5F3EE78"/>
    <w:rsid w:val="F6B69F17"/>
    <w:rsid w:val="F6E5BB3A"/>
    <w:rsid w:val="F77F1D61"/>
    <w:rsid w:val="F7FED3A9"/>
    <w:rsid w:val="F8C9DB26"/>
    <w:rsid w:val="F97E8EAE"/>
    <w:rsid w:val="FB36E1A6"/>
    <w:rsid w:val="FB3BE134"/>
    <w:rsid w:val="FCFF4275"/>
    <w:rsid w:val="FD7FEEEA"/>
    <w:rsid w:val="FDFFB577"/>
    <w:rsid w:val="FEEA50FE"/>
    <w:rsid w:val="FF7D47A9"/>
    <w:rsid w:val="FFCF21CB"/>
    <w:rsid w:val="FFF94102"/>
    <w:rsid w:val="FFFF1C8B"/>
    <w:rsid w:val="FFFF743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99" w:name="Normal Indent"/>
    <w:lsdException w:qFormat="1" w:unhideWhenUsed="0" w:uiPriority="0"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qFormat="1"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10">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2">
    <w:name w:val="footnote text"/>
    <w:basedOn w:val="1"/>
    <w:next w:val="3"/>
    <w:semiHidden/>
    <w:qFormat/>
    <w:uiPriority w:val="0"/>
    <w:pPr>
      <w:snapToGrid w:val="0"/>
      <w:jc w:val="left"/>
    </w:pPr>
    <w:rPr>
      <w:sz w:val="18"/>
      <w:szCs w:val="18"/>
    </w:rPr>
  </w:style>
  <w:style w:type="paragraph" w:styleId="3">
    <w:name w:val="Body Text First Indent 2"/>
    <w:basedOn w:val="4"/>
    <w:next w:val="1"/>
    <w:unhideWhenUsed/>
    <w:qFormat/>
    <w:uiPriority w:val="99"/>
    <w:pPr>
      <w:ind w:firstLine="420" w:firstLineChars="200"/>
    </w:pPr>
  </w:style>
  <w:style w:type="paragraph" w:styleId="4">
    <w:name w:val="Body Text Indent"/>
    <w:basedOn w:val="1"/>
    <w:next w:val="3"/>
    <w:unhideWhenUsed/>
    <w:qFormat/>
    <w:uiPriority w:val="99"/>
    <w:pPr>
      <w:widowControl/>
      <w:spacing w:after="120"/>
      <w:ind w:left="420" w:leftChars="200"/>
      <w:jc w:val="left"/>
    </w:pPr>
    <w:rPr>
      <w:rFonts w:ascii="宋体" w:hAnsi="宋体" w:eastAsia="宋体" w:cs="宋体"/>
      <w:kern w:val="0"/>
      <w:sz w:val="24"/>
    </w:rPr>
  </w:style>
  <w:style w:type="paragraph" w:styleId="5">
    <w:name w:val="Normal Indent"/>
    <w:basedOn w:val="1"/>
    <w:semiHidden/>
    <w:qFormat/>
    <w:uiPriority w:val="99"/>
    <w:pPr>
      <w:ind w:firstLine="420" w:firstLineChars="200"/>
    </w:pPr>
  </w:style>
  <w:style w:type="paragraph" w:styleId="6">
    <w:name w:val="Balloon Text"/>
    <w:basedOn w:val="1"/>
    <w:link w:val="15"/>
    <w:semiHidden/>
    <w:unhideWhenUsed/>
    <w:qFormat/>
    <w:uiPriority w:val="99"/>
    <w:rPr>
      <w:sz w:val="18"/>
      <w:szCs w:val="18"/>
    </w:rPr>
  </w:style>
  <w:style w:type="paragraph" w:styleId="7">
    <w:name w:val="footer"/>
    <w:basedOn w:val="1"/>
    <w:link w:val="12"/>
    <w:unhideWhenUsed/>
    <w:qFormat/>
    <w:uiPriority w:val="99"/>
    <w:pPr>
      <w:tabs>
        <w:tab w:val="center" w:pos="4153"/>
        <w:tab w:val="right" w:pos="8306"/>
      </w:tabs>
      <w:snapToGrid w:val="0"/>
      <w:jc w:val="left"/>
    </w:pPr>
    <w:rPr>
      <w:sz w:val="18"/>
      <w:szCs w:val="18"/>
    </w:rPr>
  </w:style>
  <w:style w:type="paragraph" w:styleId="8">
    <w:name w:val="header"/>
    <w:basedOn w:val="1"/>
    <w:link w:val="11"/>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11">
    <w:name w:val="页眉 Char"/>
    <w:basedOn w:val="10"/>
    <w:link w:val="8"/>
    <w:qFormat/>
    <w:uiPriority w:val="99"/>
    <w:rPr>
      <w:sz w:val="18"/>
      <w:szCs w:val="18"/>
    </w:rPr>
  </w:style>
  <w:style w:type="character" w:customStyle="1" w:styleId="12">
    <w:name w:val="页脚 Char"/>
    <w:basedOn w:val="10"/>
    <w:link w:val="7"/>
    <w:qFormat/>
    <w:uiPriority w:val="99"/>
    <w:rPr>
      <w:sz w:val="18"/>
      <w:szCs w:val="18"/>
    </w:rPr>
  </w:style>
  <w:style w:type="paragraph" w:customStyle="1" w:styleId="13">
    <w:name w:val="Default"/>
    <w:qFormat/>
    <w:uiPriority w:val="0"/>
    <w:pPr>
      <w:widowControl w:val="0"/>
      <w:autoSpaceDE w:val="0"/>
      <w:autoSpaceDN w:val="0"/>
      <w:adjustRightInd w:val="0"/>
    </w:pPr>
    <w:rPr>
      <w:rFonts w:ascii="黑体" w:eastAsia="黑体" w:cs="黑体" w:hAnsiTheme="minorHAnsi"/>
      <w:color w:val="000000"/>
      <w:kern w:val="0"/>
      <w:sz w:val="24"/>
      <w:szCs w:val="24"/>
      <w:lang w:val="en-US" w:eastAsia="zh-CN" w:bidi="ar-SA"/>
    </w:rPr>
  </w:style>
  <w:style w:type="paragraph" w:styleId="14">
    <w:name w:val="List Paragraph"/>
    <w:basedOn w:val="1"/>
    <w:qFormat/>
    <w:uiPriority w:val="34"/>
    <w:pPr>
      <w:ind w:firstLine="420" w:firstLineChars="200"/>
    </w:pPr>
  </w:style>
  <w:style w:type="character" w:customStyle="1" w:styleId="15">
    <w:name w:val="批注框文本 Char"/>
    <w:basedOn w:val="10"/>
    <w:link w:val="6"/>
    <w:semiHidden/>
    <w:qFormat/>
    <w:uiPriority w:val="99"/>
    <w:rPr>
      <w:sz w:val="18"/>
      <w:szCs w:val="18"/>
    </w:rPr>
  </w:style>
  <w:style w:type="character" w:customStyle="1" w:styleId="16">
    <w:name w:val="font01"/>
    <w:basedOn w:val="10"/>
    <w:qFormat/>
    <w:uiPriority w:val="0"/>
    <w:rPr>
      <w:rFonts w:hint="eastAsia" w:ascii="宋体" w:hAnsi="宋体" w:eastAsia="宋体" w:cs="宋体"/>
      <w:color w:val="000000"/>
      <w:sz w:val="22"/>
      <w:szCs w:val="22"/>
      <w:u w:val="none"/>
    </w:rPr>
  </w:style>
  <w:style w:type="character" w:customStyle="1" w:styleId="17">
    <w:name w:val="font21"/>
    <w:basedOn w:val="10"/>
    <w:qFormat/>
    <w:uiPriority w:val="0"/>
    <w:rPr>
      <w:rFonts w:hint="eastAsia" w:ascii="宋体" w:hAnsi="宋体" w:eastAsia="宋体" w:cs="宋体"/>
      <w:color w:val="000000"/>
      <w:sz w:val="24"/>
      <w:szCs w:val="24"/>
      <w:u w:val="none"/>
    </w:rPr>
  </w:style>
  <w:style w:type="character" w:customStyle="1" w:styleId="18">
    <w:name w:val="font11"/>
    <w:basedOn w:val="10"/>
    <w:qFormat/>
    <w:uiPriority w:val="0"/>
    <w:rPr>
      <w:rFonts w:hint="eastAsia" w:ascii="宋体" w:hAnsi="宋体" w:eastAsia="宋体" w:cs="宋体"/>
      <w:color w:val="000000"/>
      <w:sz w:val="24"/>
      <w:szCs w:val="24"/>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17</Pages>
  <Words>4206</Words>
  <Characters>4650</Characters>
  <Lines>63</Lines>
  <Paragraphs>18</Paragraphs>
  <TotalTime>47</TotalTime>
  <ScaleCrop>false</ScaleCrop>
  <LinksUpToDate>false</LinksUpToDate>
  <CharactersWithSpaces>4669</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2020-07-10T18:32:00Z</dcterms:created>
  <dc:creator>李航 null</dc:creator>
  <cp:lastModifiedBy>yin荟</cp:lastModifiedBy>
  <cp:lastPrinted>2024-08-11T02:20:00Z</cp:lastPrinted>
  <dcterms:modified xsi:type="dcterms:W3CDTF">2025-10-14T01:25:05Z</dcterms:modified>
  <cp:revision>67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98623D6660B449428EB8E073C6C952EA</vt:lpwstr>
  </property>
  <property fmtid="{D5CDD505-2E9C-101B-9397-08002B2CF9AE}" pid="4" name="KSOTemplateDocerSaveRecord">
    <vt:lpwstr>eyJoZGlkIjoiZTZkOTEwM2ZhMWEyMjI0ODRhNDZhNGI4OTU5YTcwMGQiLCJ1c2VySWQiOiIxMjU2NDgxODYxIn0=</vt:lpwstr>
  </property>
</Properties>
</file>