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FB241">
      <w:pPr>
        <w:spacing w:line="900" w:lineRule="exact"/>
        <w:jc w:val="center"/>
        <w:rPr>
          <w:rFonts w:ascii="方正小标宋简体" w:eastAsia="方正小标宋简体"/>
          <w:w w:val="90"/>
          <w:sz w:val="52"/>
          <w:szCs w:val="52"/>
        </w:rPr>
      </w:pPr>
    </w:p>
    <w:p w14:paraId="4131E1C9">
      <w:pPr>
        <w:spacing w:line="900" w:lineRule="exact"/>
        <w:jc w:val="center"/>
        <w:rPr>
          <w:rFonts w:ascii="方正小标宋简体" w:eastAsia="方正小标宋简体"/>
          <w:w w:val="90"/>
          <w:sz w:val="52"/>
          <w:szCs w:val="52"/>
        </w:rPr>
      </w:pPr>
    </w:p>
    <w:p w14:paraId="3C036D4A">
      <w:pPr>
        <w:spacing w:line="900" w:lineRule="exact"/>
        <w:jc w:val="center"/>
        <w:rPr>
          <w:rFonts w:ascii="仿宋" w:hAnsi="仿宋" w:eastAsia="仿宋" w:cs="方正小标宋简体"/>
          <w:w w:val="90"/>
          <w:sz w:val="52"/>
          <w:szCs w:val="52"/>
        </w:rPr>
      </w:pPr>
      <w:r>
        <w:rPr>
          <w:rFonts w:hint="eastAsia" w:ascii="仿宋" w:hAnsi="仿宋" w:eastAsia="仿宋" w:cs="方正小标宋简体"/>
          <w:w w:val="90"/>
          <w:sz w:val="52"/>
          <w:szCs w:val="52"/>
        </w:rPr>
        <w:t>2025年度岳阳市教育体育局整体支出</w:t>
      </w:r>
    </w:p>
    <w:p w14:paraId="3BA55823">
      <w:pPr>
        <w:spacing w:line="900" w:lineRule="exact"/>
        <w:jc w:val="center"/>
        <w:rPr>
          <w:rFonts w:ascii="仿宋" w:hAnsi="仿宋" w:eastAsia="仿宋" w:cs="方正小标宋简体"/>
          <w:w w:val="90"/>
          <w:sz w:val="52"/>
          <w:szCs w:val="52"/>
        </w:rPr>
      </w:pPr>
      <w:r>
        <w:rPr>
          <w:rFonts w:hint="eastAsia" w:ascii="仿宋" w:hAnsi="仿宋" w:eastAsia="仿宋" w:cs="方正小标宋简体"/>
          <w:w w:val="90"/>
          <w:sz w:val="52"/>
          <w:szCs w:val="52"/>
        </w:rPr>
        <w:t>绩效自评报告</w:t>
      </w:r>
    </w:p>
    <w:p w14:paraId="2593BF74">
      <w:pPr>
        <w:jc w:val="center"/>
        <w:rPr>
          <w:rFonts w:ascii="仿宋" w:hAnsi="仿宋" w:eastAsia="仿宋"/>
          <w:sz w:val="48"/>
          <w:szCs w:val="48"/>
        </w:rPr>
      </w:pPr>
    </w:p>
    <w:p w14:paraId="467E23E7">
      <w:pPr>
        <w:jc w:val="center"/>
        <w:rPr>
          <w:rFonts w:ascii="仿宋" w:hAnsi="仿宋" w:eastAsia="仿宋"/>
          <w:sz w:val="48"/>
          <w:szCs w:val="48"/>
        </w:rPr>
      </w:pPr>
    </w:p>
    <w:p w14:paraId="7176C4D9">
      <w:pPr>
        <w:jc w:val="center"/>
        <w:rPr>
          <w:rFonts w:ascii="仿宋" w:hAnsi="仿宋" w:eastAsia="仿宋"/>
          <w:sz w:val="48"/>
          <w:szCs w:val="48"/>
        </w:rPr>
      </w:pPr>
    </w:p>
    <w:p w14:paraId="2EEDC0F5">
      <w:pPr>
        <w:jc w:val="center"/>
        <w:rPr>
          <w:rFonts w:ascii="仿宋" w:hAnsi="仿宋" w:eastAsia="仿宋"/>
          <w:sz w:val="48"/>
          <w:szCs w:val="48"/>
        </w:rPr>
      </w:pPr>
    </w:p>
    <w:p w14:paraId="158C383B">
      <w:pPr>
        <w:ind w:firstLine="960" w:firstLineChars="200"/>
        <w:jc w:val="center"/>
        <w:rPr>
          <w:rFonts w:ascii="仿宋" w:hAnsi="仿宋" w:eastAsia="仿宋"/>
          <w:sz w:val="48"/>
          <w:szCs w:val="48"/>
        </w:rPr>
      </w:pPr>
    </w:p>
    <w:p w14:paraId="3DA36C99">
      <w:pPr>
        <w:ind w:firstLine="960" w:firstLineChars="200"/>
        <w:rPr>
          <w:rFonts w:ascii="仿宋" w:hAnsi="仿宋" w:eastAsia="仿宋"/>
          <w:sz w:val="48"/>
          <w:szCs w:val="48"/>
        </w:rPr>
      </w:pPr>
    </w:p>
    <w:p w14:paraId="7849D1B9">
      <w:pPr>
        <w:ind w:firstLine="960" w:firstLineChars="200"/>
        <w:rPr>
          <w:rFonts w:ascii="仿宋" w:hAnsi="仿宋" w:eastAsia="仿宋"/>
          <w:sz w:val="48"/>
          <w:szCs w:val="48"/>
        </w:rPr>
      </w:pPr>
    </w:p>
    <w:p w14:paraId="709693EB">
      <w:pPr>
        <w:spacing w:line="900" w:lineRule="exact"/>
        <w:jc w:val="center"/>
        <w:rPr>
          <w:rFonts w:ascii="仿宋" w:hAnsi="仿宋" w:eastAsia="仿宋" w:cs="方正小标宋简体"/>
          <w:w w:val="90"/>
          <w:sz w:val="52"/>
          <w:szCs w:val="52"/>
        </w:rPr>
      </w:pPr>
      <w:r>
        <w:rPr>
          <w:rFonts w:hint="eastAsia" w:ascii="仿宋" w:hAnsi="仿宋" w:eastAsia="仿宋" w:cs="方正小标宋简体"/>
          <w:w w:val="90"/>
          <w:sz w:val="52"/>
          <w:szCs w:val="52"/>
        </w:rPr>
        <w:t>单位名称（盖章）：</w:t>
      </w:r>
    </w:p>
    <w:p w14:paraId="29371B90">
      <w:pPr>
        <w:rPr>
          <w:rFonts w:ascii="仿宋" w:hAnsi="仿宋" w:eastAsia="仿宋"/>
          <w:sz w:val="48"/>
          <w:szCs w:val="48"/>
        </w:rPr>
      </w:pPr>
    </w:p>
    <w:p w14:paraId="60F702FB">
      <w:pPr>
        <w:jc w:val="center"/>
        <w:rPr>
          <w:rFonts w:eastAsia="黑体"/>
          <w:sz w:val="32"/>
          <w:szCs w:val="32"/>
        </w:rPr>
      </w:pPr>
    </w:p>
    <w:p w14:paraId="449AAD7E">
      <w:pPr>
        <w:jc w:val="center"/>
        <w:rPr>
          <w:rFonts w:eastAsia="黑体"/>
          <w:sz w:val="32"/>
          <w:szCs w:val="32"/>
        </w:rPr>
      </w:pPr>
    </w:p>
    <w:p w14:paraId="404680A5">
      <w:pPr>
        <w:jc w:val="center"/>
        <w:rPr>
          <w:rFonts w:eastAsia="黑体"/>
          <w:sz w:val="32"/>
          <w:szCs w:val="32"/>
        </w:rPr>
      </w:pPr>
    </w:p>
    <w:p w14:paraId="49D22A82">
      <w:pPr>
        <w:jc w:val="center"/>
        <w:rPr>
          <w:rFonts w:eastAsia="黑体"/>
          <w:sz w:val="32"/>
          <w:szCs w:val="32"/>
        </w:rPr>
      </w:pPr>
    </w:p>
    <w:p w14:paraId="6B435F99">
      <w:pPr>
        <w:jc w:val="center"/>
        <w:rPr>
          <w:rFonts w:eastAsia="黑体"/>
          <w:sz w:val="32"/>
          <w:szCs w:val="32"/>
        </w:rPr>
      </w:pPr>
    </w:p>
    <w:p w14:paraId="73E0B6A1">
      <w:pPr>
        <w:jc w:val="center"/>
        <w:rPr>
          <w:rFonts w:eastAsia="黑体"/>
          <w:sz w:val="32"/>
          <w:szCs w:val="32"/>
        </w:rPr>
      </w:pPr>
    </w:p>
    <w:p w14:paraId="19AC0200">
      <w:pPr>
        <w:spacing w:line="600" w:lineRule="exact"/>
        <w:ind w:firstLine="643" w:firstLineChars="200"/>
        <w:rPr>
          <w:rFonts w:ascii="仿宋_GB2312" w:hAnsi="仿宋_GB2312" w:eastAsia="仿宋_GB2312" w:cs="仿宋_GB2312"/>
          <w:b/>
          <w:bCs/>
          <w:sz w:val="32"/>
          <w:szCs w:val="32"/>
        </w:rPr>
        <w:sectPr>
          <w:pgSz w:w="11906" w:h="16838"/>
          <w:pgMar w:top="1587" w:right="1587" w:bottom="1587" w:left="1587" w:header="851" w:footer="992" w:gutter="0"/>
          <w:pgNumType w:fmt="numberInDash"/>
          <w:cols w:space="425" w:num="1"/>
          <w:docGrid w:type="lines" w:linePitch="312" w:charSpace="0"/>
        </w:sectPr>
      </w:pPr>
    </w:p>
    <w:p w14:paraId="6D6AC837">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一、基本情况</w:t>
      </w:r>
    </w:p>
    <w:p w14:paraId="4BB6570B">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岳阳市教育体育局主要工作职能为统筹规划和协调管理全市各级各类教育体育事业，负责拟订全市教育体育事业发展战略和规划、实施办法、年度计划和体制改革方案，并组织实施。指导教育教学研究和改革，负责教育体育基本信息的统计、分析和发布，指导全市教育体育系统精神文明建设工作。统筹管理本部门教育体育经费。主管全市教师和体育从业人员工作。贯彻落实《全民健身条例》，指导开展群众性体育、竞技体育、青少年体育活动，负责体育产业发展规划和管理。</w:t>
      </w:r>
      <w:bookmarkStart w:id="0" w:name="OLE_LINK1"/>
      <w:bookmarkStart w:id="1" w:name="OLE_LINK2"/>
      <w:r>
        <w:rPr>
          <w:rFonts w:hint="eastAsia" w:ascii="仿宋" w:hAnsi="仿宋" w:eastAsia="仿宋" w:cs="仿宋_GB2312"/>
          <w:sz w:val="32"/>
          <w:szCs w:val="32"/>
        </w:rPr>
        <w:t>局机关内设25个科室，</w:t>
      </w:r>
      <w:bookmarkEnd w:id="0"/>
      <w:bookmarkEnd w:id="1"/>
      <w:r>
        <w:rPr>
          <w:rFonts w:hint="eastAsia" w:ascii="仿宋" w:hAnsi="仿宋" w:eastAsia="仿宋" w:cs="仿宋_GB2312"/>
          <w:sz w:val="32"/>
          <w:szCs w:val="32"/>
        </w:rPr>
        <w:t>编制数</w:t>
      </w:r>
      <w:r>
        <w:rPr>
          <w:rFonts w:hint="eastAsia" w:ascii="仿宋" w:hAnsi="仿宋" w:eastAsia="仿宋" w:cs="仿宋_GB2312"/>
          <w:sz w:val="32"/>
          <w:szCs w:val="32"/>
          <w:lang w:val="en-US" w:eastAsia="zh-CN"/>
        </w:rPr>
        <w:t>86</w:t>
      </w:r>
      <w:r>
        <w:rPr>
          <w:rFonts w:hint="eastAsia" w:ascii="仿宋" w:hAnsi="仿宋" w:eastAsia="仿宋" w:cs="仿宋_GB2312"/>
          <w:sz w:val="32"/>
          <w:szCs w:val="32"/>
        </w:rPr>
        <w:t>人，实际在职</w:t>
      </w:r>
      <w:r>
        <w:rPr>
          <w:rFonts w:hint="eastAsia" w:ascii="仿宋" w:hAnsi="仿宋" w:eastAsia="仿宋" w:cs="仿宋_GB2312"/>
          <w:sz w:val="32"/>
          <w:szCs w:val="32"/>
          <w:lang w:val="en-US" w:eastAsia="zh-CN"/>
        </w:rPr>
        <w:t>86</w:t>
      </w:r>
      <w:r>
        <w:rPr>
          <w:rFonts w:hint="eastAsia" w:ascii="仿宋" w:hAnsi="仿宋" w:eastAsia="仿宋" w:cs="仿宋_GB2312"/>
          <w:sz w:val="32"/>
          <w:szCs w:val="32"/>
        </w:rPr>
        <w:t>人。</w:t>
      </w:r>
    </w:p>
    <w:p w14:paraId="3FD2F2A4">
      <w:pPr>
        <w:spacing w:line="600" w:lineRule="exact"/>
        <w:ind w:firstLine="640" w:firstLineChars="200"/>
        <w:rPr>
          <w:rFonts w:ascii="仿宋" w:hAnsi="仿宋" w:eastAsia="仿宋" w:cs="仿宋_GB2312"/>
          <w:sz w:val="32"/>
          <w:szCs w:val="32"/>
        </w:rPr>
      </w:pPr>
      <w:bookmarkStart w:id="2" w:name="OLE_LINK4"/>
      <w:bookmarkStart w:id="3" w:name="OLE_LINK3"/>
      <w:r>
        <w:rPr>
          <w:rFonts w:hint="eastAsia" w:ascii="仿宋" w:hAnsi="仿宋" w:eastAsia="仿宋" w:cs="仿宋_GB2312"/>
          <w:sz w:val="32"/>
          <w:szCs w:val="32"/>
        </w:rPr>
        <w:t>2025年度局机关截止到12月31日月支出合计4827</w:t>
      </w:r>
      <w:r>
        <w:rPr>
          <w:rFonts w:hint="eastAsia" w:ascii="仿宋" w:hAnsi="仿宋" w:eastAsia="仿宋" w:cs="仿宋_GB2312"/>
          <w:sz w:val="32"/>
          <w:szCs w:val="32"/>
          <w:lang w:val="en-US" w:eastAsia="zh-CN"/>
        </w:rPr>
        <w:t>.</w:t>
      </w:r>
      <w:r>
        <w:rPr>
          <w:rFonts w:hint="eastAsia" w:ascii="仿宋" w:hAnsi="仿宋" w:eastAsia="仿宋" w:cs="仿宋_GB2312"/>
          <w:sz w:val="32"/>
          <w:szCs w:val="32"/>
        </w:rPr>
        <w:t>3</w:t>
      </w:r>
      <w:r>
        <w:rPr>
          <w:rFonts w:hint="eastAsia" w:ascii="仿宋" w:hAnsi="仿宋" w:eastAsia="仿宋" w:cs="仿宋_GB2312"/>
          <w:sz w:val="32"/>
          <w:szCs w:val="32"/>
          <w:lang w:val="en-US" w:eastAsia="zh-CN"/>
        </w:rPr>
        <w:t>8</w:t>
      </w:r>
      <w:r>
        <w:rPr>
          <w:rFonts w:hint="eastAsia" w:ascii="仿宋" w:hAnsi="仿宋" w:eastAsia="仿宋" w:cs="仿宋_GB2312"/>
          <w:sz w:val="32"/>
          <w:szCs w:val="32"/>
        </w:rPr>
        <w:t>万元，基本支出2268</w:t>
      </w:r>
      <w:r>
        <w:rPr>
          <w:rFonts w:hint="eastAsia" w:ascii="仿宋" w:hAnsi="仿宋" w:eastAsia="仿宋" w:cs="仿宋_GB2312"/>
          <w:sz w:val="32"/>
          <w:szCs w:val="32"/>
          <w:lang w:val="en-US" w:eastAsia="zh-CN"/>
        </w:rPr>
        <w:t>.</w:t>
      </w:r>
      <w:r>
        <w:rPr>
          <w:rFonts w:hint="eastAsia" w:ascii="仿宋" w:hAnsi="仿宋" w:eastAsia="仿宋" w:cs="仿宋_GB2312"/>
          <w:sz w:val="32"/>
          <w:szCs w:val="32"/>
        </w:rPr>
        <w:t>85万元，其中人员经费支出2019</w:t>
      </w:r>
      <w:r>
        <w:rPr>
          <w:rFonts w:hint="eastAsia" w:ascii="仿宋" w:hAnsi="仿宋" w:eastAsia="仿宋" w:cs="仿宋_GB2312"/>
          <w:sz w:val="32"/>
          <w:szCs w:val="32"/>
          <w:lang w:val="en-US" w:eastAsia="zh-CN"/>
        </w:rPr>
        <w:t>.</w:t>
      </w:r>
      <w:r>
        <w:rPr>
          <w:rFonts w:hint="eastAsia" w:ascii="仿宋" w:hAnsi="仿宋" w:eastAsia="仿宋" w:cs="仿宋_GB2312"/>
          <w:sz w:val="32"/>
          <w:szCs w:val="32"/>
        </w:rPr>
        <w:t>81万元，公用经费支出249</w:t>
      </w:r>
      <w:r>
        <w:rPr>
          <w:rFonts w:hint="eastAsia" w:ascii="仿宋" w:hAnsi="仿宋" w:eastAsia="仿宋" w:cs="仿宋_GB2312"/>
          <w:sz w:val="32"/>
          <w:szCs w:val="32"/>
          <w:lang w:val="en-US" w:eastAsia="zh-CN"/>
        </w:rPr>
        <w:t>.</w:t>
      </w:r>
      <w:r>
        <w:rPr>
          <w:rFonts w:hint="eastAsia" w:ascii="仿宋" w:hAnsi="仿宋" w:eastAsia="仿宋" w:cs="仿宋_GB2312"/>
          <w:sz w:val="32"/>
          <w:szCs w:val="32"/>
        </w:rPr>
        <w:t>04万元，上年结余及其他资金支出207</w:t>
      </w:r>
      <w:r>
        <w:rPr>
          <w:rFonts w:hint="eastAsia" w:ascii="仿宋" w:hAnsi="仿宋" w:eastAsia="仿宋" w:cs="仿宋_GB2312"/>
          <w:sz w:val="32"/>
          <w:szCs w:val="32"/>
          <w:lang w:val="en-US" w:eastAsia="zh-CN"/>
        </w:rPr>
        <w:t>.</w:t>
      </w:r>
      <w:r>
        <w:rPr>
          <w:rFonts w:hint="eastAsia" w:ascii="仿宋" w:hAnsi="仿宋" w:eastAsia="仿宋" w:cs="仿宋_GB2312"/>
          <w:sz w:val="32"/>
          <w:szCs w:val="32"/>
        </w:rPr>
        <w:t>77万元；项目专项支出2558</w:t>
      </w:r>
      <w:r>
        <w:rPr>
          <w:rFonts w:hint="eastAsia" w:ascii="仿宋" w:hAnsi="仿宋" w:eastAsia="仿宋" w:cs="仿宋_GB2312"/>
          <w:sz w:val="32"/>
          <w:szCs w:val="32"/>
          <w:lang w:val="en-US" w:eastAsia="zh-CN"/>
        </w:rPr>
        <w:t>.</w:t>
      </w:r>
      <w:r>
        <w:rPr>
          <w:rFonts w:hint="eastAsia" w:ascii="仿宋" w:hAnsi="仿宋" w:eastAsia="仿宋" w:cs="仿宋_GB2312"/>
          <w:sz w:val="32"/>
          <w:szCs w:val="32"/>
        </w:rPr>
        <w:t>53万元。</w:t>
      </w:r>
    </w:p>
    <w:bookmarkEnd w:id="2"/>
    <w:bookmarkEnd w:id="3"/>
    <w:p w14:paraId="0C0E0A10">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二、2025年绩效工作成效</w:t>
      </w:r>
    </w:p>
    <w:p w14:paraId="159CB5A7">
      <w:pPr>
        <w:widowControl/>
        <w:spacing w:line="600" w:lineRule="exact"/>
        <w:ind w:firstLine="640"/>
        <w:jc w:val="left"/>
        <w:rPr>
          <w:rFonts w:ascii="黑体" w:hAnsi="黑体" w:eastAsia="黑体" w:cs="黑体"/>
          <w:sz w:val="32"/>
          <w:szCs w:val="32"/>
        </w:rPr>
      </w:pPr>
      <w:r>
        <w:rPr>
          <w:rFonts w:hint="eastAsia" w:ascii="黑体" w:hAnsi="黑体" w:eastAsia="黑体" w:cs="黑体"/>
          <w:sz w:val="32"/>
          <w:szCs w:val="32"/>
        </w:rPr>
        <w:t>一、主要工作与成效</w:t>
      </w:r>
      <w:bookmarkStart w:id="6" w:name="_GoBack"/>
      <w:bookmarkEnd w:id="6"/>
    </w:p>
    <w:p w14:paraId="66CA3C6D">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政治引领，立德树人固本强基。一是党的领导不断加强。充分发挥市委教育工作领导小组和市委教育工委职能作用，全面实行中小学校党组织领导的校长负责制，全省首创建立县市区教育行政部门和正科级第一中学主要负责人任免备案制度，党管方向、管干部、管班子建设的体制机制进一步健全。压实党建工作责任，稳妥处置涉教体舆情，意识形态阵地安全稳固。二是思政教育出新见效。认真落实市委用好红色资源“活课堂”要求，精心打造特色思政课和精品研学线路，21件思政课微视频被学习强国平台选用，联合五部门出台中小学校研学实践指引，组织全市高中学校分10批次共38000人赴韶山开展红色研学。获评全市思想政治工作先进单位，市一中以西藏班创办四十周年为契机，打造“红石榴大讲堂”思政品牌，市十五中师生走入人大、政协、社区的“行走的思政课”广受好评。三是五育并举互促共进。加快补齐学校体育、美育、劳动教育、心理健康教育短板，推动巴陵戏、洞庭渔歌、古琴曲等优秀传统文化进校园，岳阳县八中、荷花塘小学分获全国中小学生艺术展演和全省戏曲课堂教学一等奖。出台《深化体教融合和全民健身有机融合机制改革实施方案》《2025年岳阳市市区初中体育后备人才基地建设方案》，完善小初高“一条龙”体育后备人才培养机制，今年城区招录初高中体育特长生203人，在市区新设22个初中体育后备人才基地。配备心理健康专兼职教师3877名，建设心理辅导室442个。岳阳市家校社共育指导中心初步建成，11个县级家校社协同育人“教联体”工作机制更加完善，实现育人资源大整合、质效大提升。</w:t>
      </w:r>
    </w:p>
    <w:p w14:paraId="00F981F0">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质扩优，发展成效持续增强。一是资源配置均衡优化。积极应对学龄人口变化和新型城镇化，调优教育资源布局。今年，共投入6.19亿元，新建、改扩建学校70所，建成乡镇标准化寄宿制学校21所，完成10所县域高中标准化建设。投资1.5亿元的市一中提质改造项目已全部投入使用，投资7900万元的岳阳中学教学楼项目正在建设中。我局牵头负责2项省级重点民生实事项目，即义务教育学校补充配置电脑26179台，建设物理化学生物考室174个，已全部完成任务。中心城区以省级示范性高中为龙头组建4个高中教育集团，将岳阳楼区、君山区和云溪区的12所学校一并纳入，目前正在稳步运行中。特殊教育送教上门比例由年初的20.01%降至8.52%。公办专门学校建设正快速推进，将于12月底投入使用。云溪区通过义务教育优质均衡县区省级评估，年底将接受国家验收。积极与各县市区协调提前申报优质均衡国家评估，平江县提前至2026年，君山区提前至2027年，岳阳县、岳阳楼区提前至2028年，临湘市、湘阴县提前至2029年，汨罗市、华容县提前至2030年。二是队伍建设培优赋能。2022年市本级率先组织全市引领性高中教师业务知识考试，逐步带动县市区全覆盖开展，教师参考率、及格率、优秀率逐年提升。每年选派50名书记校长到知名高校和中小学研修交流，组建54个名师工作室、18个学科核心团队，培训市县青年骨干教师1万名以上。开展师德师风建设年活动，打造“守德如玉、敬业如山、爱生如子、视校如家”的教师队伍。设立教师高级职称指标奖励“周转池”，今年新注入10个指标，使用7个，奖励先进，营造奋发进取氛围。三是教育质量提档进位。公办园在园幼儿占比58.73%，普惠性学前教育资源占比93.69%，均高于国家要求。今年中考总平均分、合格率居全省前列。高考本科录取率及600分以上、屏蔽分、清北录取人数均逐年增长，多项指标实现历史性突破，综合排名从全省靠后跃居前列，中职公共基础课普测成绩连年居全省第一，中小学生体质健康优良率提升到49.81%。今年我市新增3所高校（岳阳学院、长沙科技学院、岳阳科技职业学院），均顺利招生办学，湖南理工学院更名“大学”已由省教育厅完成公示，教育部组织专家组近期正在现场考察。高校布局和学科专业优化调整启动实施，停招或撤销专业41个，新增专业29个，在石油化工、通信工程、光学工程、人工智能等方面形成学科专业特色，更好地服务我市“1+3+X”现代化产业体系建设。深化产教融合，已建成5个市域产教联合体和1个全国数字化社区居家养老产教融合共同体。全力支持大学生创业工作，着力建设一批大学生创业孵化基地。大力推进校友回湘工作，招商引资实际落地资金87.7亿元，招引校友人才44人，接受校友捐赠金额0.68亿元。四是体育聚力以赛兴城。今年举办2025年全国太极拳公开赛（湖南赛区）暨湖南省太极拳大赛、岳阳马拉松、CBA季前赛、湖南省青少年游泳锦标赛等赛事150场，直接参与群众10余万人。6场“湘超”岳阳主场赛事，现场观赛人数超14万人次，赛事期间接待游客67.5万人次，撬动岳阳文体旅综合消费超4.45亿元。今年十五运会，岳阳市体校运动员获射箭项目银牌1枚、射击项目银牌1枚。全面推广“体校+学校”办学模式，新增国家体育后备人才基地学校2所，全国青少年校园“三大球”特色学校177所，省体育传统特色学校19所，体育彩票销量稳居全省第二，成功入选全国体育促进青少年身心健康4个试点城市之一。</w:t>
      </w:r>
    </w:p>
    <w:p w14:paraId="6E8A46E8">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多维共治，系统生态更加优化。一是作风建设抓常抓长。深入基层学校、体育场所开展“走找想促”，向省信息系统报送178个调研问题和29条“金点子”建议，上报数量始终保持在全市前三，多次获市委通报表扬。坚决落实中央八项规定精神，抓实整治形式主义为基层减负，进校园社会事务由48项减至12项。压减发文会议数量，今年发文、会议数量同比分别下降16.2%和28.6%，在市级为基层减负专项工作会上，我局作经验交流。二是规范管理落实落细。优化“湘易办”政务服务，教师资格证认定、新生入学等实现“一网通办”，今年全市共计57313名适龄儿童通过新生报名平台完成线上报名。抓实“双减”“五项管理”，落实规范办学“二十条”。常态化开展“利剑护蕾”等专项行动，加大对高危体育项目经营场所的监管力度，切实抓好“防溺水”工作，今年全市共排查整改危险水域5659处，安装溺水警示牌14747个、监控摄像头1052个、救生设施29694个，建成农村安全游泳点31处，暑期免费开放游泳场馆16家，全面筑牢教体安全防线。建立校外培训监管“红黄绿”三色预警机制，定期公布校外培训机构白名单，引导家长理性选择。三是整治整改从严从紧。认真对待今年市委教育领域专项巡察工作，全面开展自查自纠，全力配合完成巡察各项任务。扎实开展中小学“校园餐”专项整治和集中整治“突击战”，整治利用教辅征订及校服购买谋利等问题，取得明显成效。根据卫江书记关于“校园餐”工作指示要求，我局与市财政局、市市场监管局联合开展调研，为进一步深化“校园餐”专项整治、提高“校园餐”工作质效起到积极推动作用，得到市委、市政府充分肯定。学校书记校长担任校园食品安全第一责任人比例达到100%，深加工食品和冻品使用比例降至9.21%，大宗食材集中采购实现全覆盖。</w:t>
      </w:r>
    </w:p>
    <w:p w14:paraId="724298F5">
      <w:pPr>
        <w:spacing w:line="600" w:lineRule="exact"/>
        <w:ind w:firstLine="640" w:firstLineChars="200"/>
        <w:rPr>
          <w:rFonts w:ascii="仿宋" w:hAnsi="仿宋" w:eastAsia="仿宋" w:cs="仿宋_GB2312"/>
          <w:sz w:val="32"/>
          <w:szCs w:val="32"/>
        </w:rPr>
      </w:pPr>
    </w:p>
    <w:p w14:paraId="41E747F4">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三、单位整体支出管理及使用情况良好</w:t>
      </w:r>
    </w:p>
    <w:p w14:paraId="76E494EF">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资金使用规范，注重绩效，支出审批程序严格，厉行节约，支出费用合理，确保了专款专用，最大限度地提高资金的使用效益。严格按照预算编制控制人员经费的使用。严格控制公用支出，所有公用支出都按照先计划再审批最后采购的原则进行。截止到12月31日，</w:t>
      </w:r>
      <w:bookmarkStart w:id="4" w:name="OLE_LINK5"/>
      <w:bookmarkStart w:id="5" w:name="OLE_LINK6"/>
      <w:r>
        <w:rPr>
          <w:rFonts w:hint="eastAsia" w:ascii="仿宋" w:hAnsi="仿宋" w:eastAsia="仿宋" w:cs="仿宋_GB2312"/>
          <w:sz w:val="32"/>
          <w:szCs w:val="32"/>
        </w:rPr>
        <w:t>局机关三公经费合计</w:t>
      </w:r>
      <w:r>
        <w:rPr>
          <w:rFonts w:hint="eastAsia" w:ascii="仿宋" w:hAnsi="仿宋" w:eastAsia="仿宋" w:cs="仿宋_GB2312"/>
          <w:sz w:val="32"/>
          <w:szCs w:val="32"/>
          <w:lang w:val="en-US" w:eastAsia="zh-CN"/>
        </w:rPr>
        <w:t>4.55</w:t>
      </w:r>
      <w:r>
        <w:rPr>
          <w:rFonts w:hint="eastAsia" w:ascii="仿宋" w:hAnsi="仿宋" w:eastAsia="仿宋" w:cs="仿宋_GB2312"/>
          <w:sz w:val="32"/>
          <w:szCs w:val="32"/>
        </w:rPr>
        <w:t>万元，其中公务接待费</w:t>
      </w:r>
      <w:r>
        <w:rPr>
          <w:rFonts w:hint="eastAsia" w:ascii="仿宋" w:hAnsi="仿宋" w:eastAsia="仿宋" w:cs="仿宋_GB2312"/>
          <w:sz w:val="32"/>
          <w:szCs w:val="32"/>
          <w:lang w:val="en-US" w:eastAsia="zh-CN"/>
        </w:rPr>
        <w:t>1.05</w:t>
      </w:r>
      <w:r>
        <w:rPr>
          <w:rFonts w:hint="eastAsia" w:ascii="仿宋" w:hAnsi="仿宋" w:eastAsia="仿宋" w:cs="仿宋_GB2312"/>
          <w:sz w:val="32"/>
          <w:szCs w:val="32"/>
        </w:rPr>
        <w:t>万元，公务用车运行维护费</w:t>
      </w:r>
      <w:r>
        <w:rPr>
          <w:rFonts w:hint="eastAsia" w:ascii="仿宋" w:hAnsi="仿宋" w:eastAsia="仿宋" w:cs="仿宋_GB2312"/>
          <w:sz w:val="32"/>
          <w:szCs w:val="32"/>
          <w:lang w:val="en-US" w:eastAsia="zh-CN"/>
        </w:rPr>
        <w:t>3</w:t>
      </w:r>
      <w:r>
        <w:rPr>
          <w:rFonts w:hint="eastAsia" w:ascii="仿宋" w:hAnsi="仿宋" w:eastAsia="仿宋" w:cs="仿宋_GB2312"/>
          <w:sz w:val="32"/>
          <w:szCs w:val="32"/>
        </w:rPr>
        <w:t>万元，因公出国费</w:t>
      </w:r>
      <w:r>
        <w:rPr>
          <w:rFonts w:hint="eastAsia" w:ascii="仿宋" w:hAnsi="仿宋" w:eastAsia="仿宋" w:cs="仿宋_GB2312"/>
          <w:sz w:val="32"/>
          <w:szCs w:val="32"/>
          <w:lang w:val="en-US" w:eastAsia="zh-CN"/>
        </w:rPr>
        <w:t>0.5</w:t>
      </w:r>
      <w:r>
        <w:rPr>
          <w:rFonts w:hint="eastAsia" w:ascii="仿宋" w:hAnsi="仿宋" w:eastAsia="仿宋" w:cs="仿宋_GB2312"/>
          <w:sz w:val="32"/>
          <w:szCs w:val="32"/>
        </w:rPr>
        <w:t>万元，三</w:t>
      </w:r>
      <w:bookmarkEnd w:id="4"/>
      <w:bookmarkEnd w:id="5"/>
      <w:r>
        <w:rPr>
          <w:rFonts w:hint="eastAsia" w:ascii="仿宋" w:hAnsi="仿宋" w:eastAsia="仿宋" w:cs="仿宋_GB2312"/>
          <w:sz w:val="32"/>
          <w:szCs w:val="32"/>
        </w:rPr>
        <w:t>公经费控制在合理的范围内，较上年减少。</w:t>
      </w:r>
    </w:p>
    <w:p w14:paraId="7F061D91">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四、单位专项组织实施情况好</w:t>
      </w:r>
    </w:p>
    <w:p w14:paraId="2036707D">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为加强单位资金使用效率，落实好财务管理制度，我局制定了财务管理制度以及风险防控措施，在资金使用审批上按照“先审核、后签字”的原则，由财务室先行审核票据，合规票据交由领导审批，不合规票据退回科室。在专项资金的使用上，根据专项工作不同要求，合理分配专项资金使用。在专项资金使用前需填报预算报告交由领导审批，纪监、审计全程监督，确保专项资金合理使用。纪检部门加强教育体育资金监管，在保障各项工作有序开展的同时，确保每一分钱都发挥最大作用。  </w:t>
      </w:r>
    </w:p>
    <w:p w14:paraId="465C7A18">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五、存在的主要问题和困难</w:t>
      </w:r>
    </w:p>
    <w:p w14:paraId="6743F798">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资源供给矛盾较突出。随着学龄人口结构变化和城镇化进程加快，幼儿园学位普遍充裕，高中学位尚有缺口，“城挤乡剩”“先挤后剩”问题显现。部分学校基础设施老化，实验室和实验器材不足，运动场地不达标，特殊教育学位供给不足。教育质量总体上市区强于县市、县城优于乡镇，优质教育资源辐射能力不强，区域间、城乡间教育公共服务能力水平不均等问题比较突出。</w:t>
      </w:r>
    </w:p>
    <w:p w14:paraId="700A1229">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高等教育综合实力不强。当前，我市全日制普通高校布点不多、层次不高。全国22个省域副中心城市，平均拥有本科高校4.5所，省内衡阳6所，邻省江西赣州5所、贵州遵义4所、广西桂林9所，而我市只有3所且没有博士学位授权高校，与岳阳经济社会发展水平和城市定位不相称。高校学科专业设置与产业布局匹配度还不高，产学研用结合不紧密，教育助力产城融合发展能力不足。部门协同发力不够，近三年毕业的在岳和来岳大学生创办企业数量不多、排名全省靠后。</w:t>
      </w:r>
    </w:p>
    <w:p w14:paraId="1F98BE88">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体育发展不平衡不充分。竞技体育相比省内长沙、衡阳等地，优势项目不多，整体实力不强。体教融合需进一步深化，体育后备人才培养机制不优，尤其是“好苗子留不住”的问题有待解决。全民健身群众赛事活动数量、类型不够丰富，自办和引进的高水平赛事较少。体育产业规模较小，与长沙相比有较大差距。体育服务业占比偏低，体育产业创新能力不足，产品附加值不高，市场竞争力不强。</w:t>
      </w:r>
    </w:p>
    <w:p w14:paraId="7A589B04">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在财政资金的使用方面还存在一些不足，需要严格把关，杜绝一些不合理的开支。</w:t>
      </w:r>
    </w:p>
    <w:p w14:paraId="17E0C6AA">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六、下一年改进措施</w:t>
      </w:r>
    </w:p>
    <w:p w14:paraId="57FD7068">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坚持立德树人，打造研学名城。依托岳阳红色资源和文化底蕴，加强革命传统和爱国主义教育，讲好新时代思政课。系统整合平江起义纪念馆、任弼时故居等红色教育资源，岳阳楼、屈子祠等历史文化资源，东洞庭湖湿地、最美长江岸线等“守护好一江碧水”生态保护实践，以及新时代经济社会发展成果，建设20个红色研学基地，着力打造“我的洞庭行”“我的弼时行”系列研学品牌，把岳阳建成“天下洞庭·研学名城”。</w:t>
      </w:r>
    </w:p>
    <w:p w14:paraId="7AD63D0E">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坚持规划先行，优化资源供给。抓紧做好“十五五”教育体育事业发展规划，制定教育强市实施意见。引导教育体育资源向人口集中区、产业或功能布局区、城市发展新区集中，争取5年内农村寄宿制小学全部集中在乡镇，初中主要集中在县城，农村高中全部集中在县城。新建健身设施500处以上，人均体育场地面积达到3.6平方米。以网络联校为纽带，以科技教育为抓手，建成用好全市智慧教育平台，探索教育数字化转型新路径。支持普通学校资源教室建设，将送教上门比例保持在10%以下。加快市公办专门学校建设，确保今年底建成并投入使用。</w:t>
      </w:r>
    </w:p>
    <w:p w14:paraId="0368A59F">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坚持优质均衡，提升教育质量。采用“委托管理”和“发展联盟”模式，深入实施城区普通高中集团化办学，扩大优质教育资源覆盖面。多方聚力，精准施策，系统推进县中振兴行动计划落地见效。到2030年，所有县市区均通过县域义务教育优质均衡发展和学前教育普及普惠国家督导评估认定。严格落实《湖南省规范中小学办学行为20条规定》，完善校外培训治理长效机制。创新“体育+文化”教学模式，打造“一校一品”特色项目。建立“三大球”运动队成建制升学机制，办成2所国家级体育后备人才基地学校。</w:t>
      </w:r>
    </w:p>
    <w:p w14:paraId="29308694">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坚持融合创新，服务地方发展。推进中职教育与普高教育融合发展，逐步扩大职业学校综合高中部数量和招生规模。深化产教融合，建设10个以上市域产教联合体和行业产教融合共同体，每所高职院校建成1—2个现代产业学院和专业特色学院。抓住省高校“两优”契机，支持湖南理工学院“创大申博”，推动化学化工类学科往湖南理工学院靠拢。扎实做好迎接省教育厅专家组现场评估和教育部现场评审考察准备，尽快实现岳阳职院“升本”。稳步推进湖南民院独立转型发展，优化调整学科专业设置，由以师范类为主转为综合性高职院校。</w:t>
      </w:r>
    </w:p>
    <w:p w14:paraId="568EDA39">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坚持普惠便利，推动全民健身。构建更高水平全民健身公共服务体系，让健身成为人民群众生活品质提升重要标志。以承办十六届全运会相关赛事为契机，提高竞技体育综合实力，打造岳阳马拉松、汨罗江龙舟赛、临湘垂钓、平江体育旅游等具有岳阳特色的全民健身活动品牌，加大体育场馆向社会免费或低收费开放力度，把赛事办到社区乡村和群众身边，加快建好王家河体育公园、南湖体育公园、平江天岳体育公园等，体育场地利用率继续保持全省前列。</w:t>
      </w:r>
    </w:p>
    <w:p w14:paraId="288DA485">
      <w:pPr>
        <w:spacing w:line="620" w:lineRule="exact"/>
        <w:ind w:firstLine="640"/>
        <w:rPr>
          <w:rFonts w:ascii="仿宋" w:hAnsi="仿宋" w:eastAsia="仿宋" w:cs="仿宋_GB2312"/>
          <w:sz w:val="32"/>
          <w:szCs w:val="32"/>
        </w:rPr>
      </w:pPr>
      <w:r>
        <w:rPr>
          <w:rFonts w:hint="eastAsia" w:ascii="仿宋" w:hAnsi="仿宋" w:eastAsia="仿宋" w:cs="仿宋_GB2312"/>
          <w:sz w:val="32"/>
          <w:szCs w:val="32"/>
        </w:rPr>
        <w:t>我局将继续配合财政做好预算绩效管理工作，确保财政资金合规有效地使用。进一步提高绩效管理水平，加强与财政部门的紧密配合，开展好整体支出及项目资金绩效管理工作，运用好绩效评价的结果，不断提升预算管理水平。</w:t>
      </w:r>
    </w:p>
    <w:p w14:paraId="5EE43F2A">
      <w:pPr>
        <w:rPr>
          <w:rFonts w:ascii="仿宋" w:hAnsi="仿宋" w:eastAsia="仿宋"/>
        </w:rPr>
      </w:pPr>
    </w:p>
    <w:sectPr>
      <w:footerReference r:id="rId3" w:type="default"/>
      <w:pgSz w:w="11906" w:h="16838"/>
      <w:pgMar w:top="1587" w:right="1587" w:bottom="1587"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D1AE7">
    <w:pPr>
      <w:pStyle w:val="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bl05M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K&#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m5dOTIAQAAmQMAAA4AAAAAAAAAAQAgAAAAHgEAAGRycy9lMm9Eb2Mu&#10;eG1sUEsFBgAAAAAGAAYAWQEAAFgFAAAAAA==&#10;">
          <v:path/>
          <v:fill on="f" focussize="0,0"/>
          <v:stroke on="f" joinstyle="miter"/>
          <v:imagedata o:title=""/>
          <o:lock v:ext="edit"/>
          <v:textbox inset="0mm,0mm,0mm,0mm" style="mso-fit-shape-to-text:t;">
            <w:txbxContent>
              <w:p w14:paraId="6F0DA8AB">
                <w:pPr>
                  <w:pStyle w:val="3"/>
                </w:pPr>
                <w:r>
                  <w:fldChar w:fldCharType="begin"/>
                </w:r>
                <w:r>
                  <w:instrText xml:space="preserve"> PAGE  \* MERGEFORMAT </w:instrText>
                </w:r>
                <w:r>
                  <w:fldChar w:fldCharType="separate"/>
                </w:r>
                <w:r>
                  <w:t>- 5 -</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0C09DF"/>
    <w:rsid w:val="00025C7E"/>
    <w:rsid w:val="00045AE1"/>
    <w:rsid w:val="000C09DF"/>
    <w:rsid w:val="0016074D"/>
    <w:rsid w:val="001966E8"/>
    <w:rsid w:val="001C0F7E"/>
    <w:rsid w:val="00281075"/>
    <w:rsid w:val="0028200E"/>
    <w:rsid w:val="0033010C"/>
    <w:rsid w:val="004545AF"/>
    <w:rsid w:val="0048130D"/>
    <w:rsid w:val="004A54D8"/>
    <w:rsid w:val="004B03CB"/>
    <w:rsid w:val="004D5038"/>
    <w:rsid w:val="005623CD"/>
    <w:rsid w:val="00574CB3"/>
    <w:rsid w:val="00751042"/>
    <w:rsid w:val="007D2AA5"/>
    <w:rsid w:val="008A775A"/>
    <w:rsid w:val="008F069D"/>
    <w:rsid w:val="008F7CB2"/>
    <w:rsid w:val="009364BF"/>
    <w:rsid w:val="009539B3"/>
    <w:rsid w:val="00A03E96"/>
    <w:rsid w:val="00A221C4"/>
    <w:rsid w:val="00A558CC"/>
    <w:rsid w:val="00AF6DB8"/>
    <w:rsid w:val="00B114C8"/>
    <w:rsid w:val="00B57075"/>
    <w:rsid w:val="00B71376"/>
    <w:rsid w:val="00BA2948"/>
    <w:rsid w:val="00C4675C"/>
    <w:rsid w:val="00C81986"/>
    <w:rsid w:val="00D92738"/>
    <w:rsid w:val="00D95D24"/>
    <w:rsid w:val="00DE7A6C"/>
    <w:rsid w:val="00DF5060"/>
    <w:rsid w:val="00E849EA"/>
    <w:rsid w:val="00EE3F30"/>
    <w:rsid w:val="00FD0AD8"/>
    <w:rsid w:val="00FD4C06"/>
    <w:rsid w:val="054A784B"/>
    <w:rsid w:val="09883D5C"/>
    <w:rsid w:val="1A8A2D73"/>
    <w:rsid w:val="4D7C03E4"/>
    <w:rsid w:val="5FD7B220"/>
    <w:rsid w:val="63FA37C5"/>
    <w:rsid w:val="72F44A27"/>
    <w:rsid w:val="D3BF057B"/>
    <w:rsid w:val="E79D9DD9"/>
    <w:rsid w:val="F1F9FF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Calibri" w:hAnsi="Calibri" w:cs="Calibri"/>
      <w:szCs w:val="21"/>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HTML Preformatted"/>
    <w:basedOn w:val="1"/>
    <w:link w:val="9"/>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character" w:styleId="8">
    <w:name w:val="Strong"/>
    <w:basedOn w:val="7"/>
    <w:qFormat/>
    <w:uiPriority w:val="0"/>
    <w:rPr>
      <w:b/>
      <w:bCs/>
    </w:rPr>
  </w:style>
  <w:style w:type="character" w:customStyle="1" w:styleId="9">
    <w:name w:val="HTML 预设格式 Char"/>
    <w:basedOn w:val="7"/>
    <w:link w:val="5"/>
    <w:qFormat/>
    <w:uiPriority w:val="0"/>
    <w:rPr>
      <w:rFonts w:ascii="宋体" w:hAnsi="宋体" w:eastAsia="宋体" w:cs="Times New Roman"/>
      <w:sz w:val="24"/>
      <w:szCs w:val="24"/>
    </w:rPr>
  </w:style>
  <w:style w:type="character" w:customStyle="1" w:styleId="10">
    <w:name w:val="NormalCharacter"/>
    <w:qFormat/>
    <w:uiPriority w:val="0"/>
    <w:rPr>
      <w:rFonts w:ascii="Calibri" w:hAnsi="Calibri" w:eastAsia="宋体" w:cs="Times New Roman"/>
      <w:kern w:val="2"/>
      <w:sz w:val="21"/>
      <w:szCs w:val="24"/>
      <w:lang w:val="en-US" w:eastAsia="zh-CN" w:bidi="ar-SA"/>
    </w:rPr>
  </w:style>
  <w:style w:type="paragraph" w:customStyle="1" w:styleId="11">
    <w:name w:val="正文缩进1"/>
    <w:basedOn w:val="1"/>
    <w:qFormat/>
    <w:uiPriority w:val="0"/>
    <w:pPr>
      <w:ind w:firstLine="420"/>
    </w:pPr>
    <w:rPr>
      <w:rFonts w:ascii="Calibri" w:hAnsi="Calibri"/>
    </w:rPr>
  </w:style>
  <w:style w:type="paragraph" w:customStyle="1" w:styleId="12">
    <w:name w:val="目录 92"/>
    <w:next w:val="1"/>
    <w:qFormat/>
    <w:uiPriority w:val="0"/>
    <w:pPr>
      <w:wordWrap w:val="0"/>
      <w:ind w:left="2975"/>
      <w:jc w:val="both"/>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5304</Words>
  <Characters>5528</Characters>
  <Lines>39</Lines>
  <Paragraphs>11</Paragraphs>
  <TotalTime>64</TotalTime>
  <ScaleCrop>false</ScaleCrop>
  <LinksUpToDate>false</LinksUpToDate>
  <CharactersWithSpaces>5530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2024-04-18T19:03:00Z</dcterms:created>
  <dc:creator>uh</dc:creator>
  <cp:lastModifiedBy> 薄荷璨猪</cp:lastModifiedBy>
  <cp:lastPrinted>2024-04-24T17:50:00Z</cp:lastPrinted>
  <dcterms:modified xsi:type="dcterms:W3CDTF">2026-06-24T08:20:45Z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eyJoZGlkIjoiNWNmYWE1YTVjMGU0ZDFiMzkyYzBhNzEyYjNhZWNmYWQiLCJ1c2VySWQiOiIzNzA3MzA3NjYifQ==</vt:lpwstr>
  </property>
  <property fmtid="{D5CDD505-2E9C-101B-9397-08002B2CF9AE}" pid="4" name="ICV">
    <vt:lpwstr>33CAD510661E4212BA4A6674EF45E2BE_12</vt:lpwstr>
  </property>
</Properties>
</file>