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F8B07">
      <w:pPr>
        <w:spacing w:afterLines="50" w:line="600" w:lineRule="exact"/>
        <w:jc w:val="center"/>
        <w:rPr>
          <w:rFonts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2025年度部门整体支出绩效评价基础数据表</w:t>
      </w:r>
    </w:p>
    <w:tbl>
      <w:tblPr>
        <w:tblStyle w:val="2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6D050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FFC1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9E54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6EF0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2025年实际在职人数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2F7A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控制率</w:t>
            </w:r>
          </w:p>
        </w:tc>
      </w:tr>
      <w:tr w14:paraId="00D37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17983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C656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86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36E6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86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176CA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100%</w:t>
            </w:r>
            <w:bookmarkStart w:id="1" w:name="_GoBack"/>
            <w:bookmarkEnd w:id="1"/>
          </w:p>
        </w:tc>
      </w:tr>
      <w:tr w14:paraId="141E2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15C6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B57639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2024年决算数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56342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2025年预算数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6F59A1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2025年决算数</w:t>
            </w:r>
          </w:p>
        </w:tc>
      </w:tr>
      <w:tr w14:paraId="6980A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89CA7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bookmarkStart w:id="0" w:name="_Hlk233100434"/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69BE1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6.1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7E2D4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2951C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 w14:paraId="14D38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18FB1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EA8F9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5.05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8762C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75662B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</w:p>
        </w:tc>
      </w:tr>
      <w:tr w14:paraId="59C27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71A2F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D8187E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0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CBD04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6D6A5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</w:tr>
      <w:tr w14:paraId="311FF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80B7D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B01A38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5.05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E925F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8E337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</w:p>
        </w:tc>
      </w:tr>
      <w:tr w14:paraId="16E09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0F802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277C2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F20CB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29DB8E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0.5</w:t>
            </w:r>
          </w:p>
        </w:tc>
      </w:tr>
      <w:tr w14:paraId="0459F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A3F99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5BCB0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1.05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7137F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8D04C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1.05</w:t>
            </w:r>
          </w:p>
        </w:tc>
      </w:tr>
      <w:tr w14:paraId="3B49D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50753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F2F89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6E7D4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CB03AB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5F114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AF5B7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FA932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  <w:t>3808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.</w:t>
            </w:r>
            <w:r>
              <w:rPr>
                <w:rFonts w:asciiTheme="majorEastAsia" w:hAnsiTheme="majorEastAsia" w:eastAsiaTheme="majorEastAsia" w:cstheme="major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7F8C5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2558.53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5FCEE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2558.53</w:t>
            </w:r>
          </w:p>
        </w:tc>
      </w:tr>
      <w:tr w14:paraId="4F7CC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D9D66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B75F0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3364D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E243D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6AFD5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2220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A93D0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8592C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AB6D6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2211C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7AA30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3、市级专项资金（一个专项一行）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268DB8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C06411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C987C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AD01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8297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1734B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A6527B1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787462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2B33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DA1BA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1D3AD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249.77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179794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62.34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192992">
            <w:pPr>
              <w:widowControl/>
              <w:tabs>
                <w:tab w:val="left" w:pos="360"/>
              </w:tabs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62.34</w:t>
            </w:r>
          </w:p>
        </w:tc>
      </w:tr>
      <w:tr w14:paraId="7B3ED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FB6FD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BC6FA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47.87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46A17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24.18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18BD1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24.18</w:t>
            </w:r>
          </w:p>
        </w:tc>
      </w:tr>
      <w:tr w14:paraId="1C377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40584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4908F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135.62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29712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4A7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45.53</w:t>
            </w:r>
          </w:p>
        </w:tc>
      </w:tr>
      <w:tr w14:paraId="1A8FA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9D91B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A051B5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222.85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472B2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34.9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22B7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34.9</w:t>
            </w:r>
          </w:p>
        </w:tc>
      </w:tr>
      <w:tr w14:paraId="1201F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A84AA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38AA06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370.75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7BF92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A6C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</w:tr>
      <w:bookmarkEnd w:id="0"/>
      <w:tr w14:paraId="3D32E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0EFC3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28A0F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8A6D81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F04E01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 w14:paraId="53386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F487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（2023年完工项目）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23E3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FFEA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691B9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784F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258B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C24D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投资概算控制率</w:t>
            </w:r>
          </w:p>
        </w:tc>
      </w:tr>
      <w:tr w14:paraId="2A667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A1966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94EA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8F0A2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998D7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B7037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48B74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C9A1F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 w14:paraId="0D576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864F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06A11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一是开展行为节约。推进自动化、无纸化办公，纸张双面打印，建立打印纸采购使用台账。合理设置空调温度，夏季不得低于26摄氏度，冬季不得高于20摄氏度。使用节水器具，采取有效节水管理措施，二是践行绿色出行。鼓励干部职工践行“135”等低碳出行方式，开展绿色出行宣传活动，建立油耗统计台账，实行公务用车单车油耗核算。三是打造绿色建筑。开展能源审计，实施既有建筑节能改造。公共区域采取分时分区控制、声光感应控制等智能控制措施。充分采用自然采光，推广使用高效节能照明光源。四是实行绿色采购。加大绿色采购力度，带头采购更多节能、节水、环保、再生、资源综合利用等绿色产品，更新公务用车优先采购新能源汽车，条件许可的情况下，配备新能源汽车充电等基础设备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</w:tbl>
    <w:p w14:paraId="01F18C17">
      <w:pPr>
        <w:widowControl/>
        <w:spacing w:line="400" w:lineRule="exact"/>
        <w:jc w:val="left"/>
        <w:rPr>
          <w:rFonts w:ascii="Times New Roman" w:hAnsi="Times New Roman" w:eastAsia="仿宋_GB2312"/>
          <w:sz w:val="22"/>
        </w:rPr>
      </w:pPr>
      <w:r>
        <w:rPr>
          <w:rFonts w:ascii="Times New Roman" w:hAnsi="Times New Roman" w:eastAsia="仿宋_GB2312"/>
          <w:sz w:val="22"/>
        </w:rPr>
        <w:t>说明：“项目支出”需要填报基本支出以外的所有项目支出情况，“公用经费”填报基本支出中的一般商品和服务支出。</w:t>
      </w:r>
    </w:p>
    <w:p w14:paraId="00BC4B29">
      <w:pPr>
        <w:widowControl/>
        <w:spacing w:line="400" w:lineRule="exact"/>
        <w:jc w:val="left"/>
        <w:rPr>
          <w:rFonts w:ascii="Times New Roman" w:hAnsi="Times New Roman" w:eastAsia="仿宋_GB2312"/>
          <w:sz w:val="22"/>
        </w:rPr>
      </w:pPr>
    </w:p>
    <w:p w14:paraId="4D8FC32D">
      <w:pPr>
        <w:rPr>
          <w:rFonts w:ascii="Times New Roman" w:hAnsi="Times New Roman" w:eastAsia="仿宋_GB2312"/>
          <w:sz w:val="22"/>
        </w:rPr>
      </w:pPr>
      <w:r>
        <w:rPr>
          <w:rFonts w:ascii="Times New Roman" w:hAnsi="Times New Roman" w:eastAsia="仿宋_GB2312"/>
          <w:sz w:val="22"/>
        </w:rPr>
        <w:t>填表人： 杨璨 填报日期：</w:t>
      </w:r>
      <w:r>
        <w:rPr>
          <w:rFonts w:hint="eastAsia" w:ascii="Times New Roman" w:hAnsi="Times New Roman" w:eastAsia="仿宋_GB2312"/>
          <w:sz w:val="22"/>
        </w:rPr>
        <w:t>2026.年6月23日</w:t>
      </w:r>
      <w:r>
        <w:rPr>
          <w:rFonts w:ascii="Times New Roman" w:hAnsi="Times New Roman" w:eastAsia="仿宋_GB2312"/>
          <w:sz w:val="22"/>
        </w:rPr>
        <w:t xml:space="preserve"> 联系电话： </w:t>
      </w:r>
      <w:r>
        <w:rPr>
          <w:rFonts w:hint="eastAsia" w:ascii="Times New Roman" w:hAnsi="Times New Roman" w:eastAsia="仿宋_GB2312"/>
          <w:sz w:val="22"/>
        </w:rPr>
        <w:t>13907303767</w:t>
      </w:r>
    </w:p>
    <w:p w14:paraId="596952E9">
      <w:r>
        <w:rPr>
          <w:rFonts w:ascii="Times New Roman" w:hAnsi="Times New Roman" w:eastAsia="仿宋_GB2312"/>
          <w:sz w:val="22"/>
        </w:rPr>
        <w:t>单位负责人签字：</w:t>
      </w:r>
    </w:p>
    <w:p w14:paraId="2709F8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AA"/>
    <w:rsid w:val="00010B5B"/>
    <w:rsid w:val="000D71EE"/>
    <w:rsid w:val="00121214"/>
    <w:rsid w:val="0016155E"/>
    <w:rsid w:val="001F0E07"/>
    <w:rsid w:val="002214AA"/>
    <w:rsid w:val="002C27EC"/>
    <w:rsid w:val="004D0D5F"/>
    <w:rsid w:val="0074293C"/>
    <w:rsid w:val="008920A8"/>
    <w:rsid w:val="00945C7E"/>
    <w:rsid w:val="00954BB5"/>
    <w:rsid w:val="009C0DDF"/>
    <w:rsid w:val="00A35EB2"/>
    <w:rsid w:val="00AC6049"/>
    <w:rsid w:val="00AE5072"/>
    <w:rsid w:val="00C25888"/>
    <w:rsid w:val="00C54414"/>
    <w:rsid w:val="00D125C8"/>
    <w:rsid w:val="00D84097"/>
    <w:rsid w:val="00DB0B4E"/>
    <w:rsid w:val="00F5790B"/>
    <w:rsid w:val="00FC3A61"/>
    <w:rsid w:val="13561580"/>
    <w:rsid w:val="199612EC"/>
    <w:rsid w:val="20BE6F8B"/>
    <w:rsid w:val="3FAA4467"/>
    <w:rsid w:val="40722B73"/>
    <w:rsid w:val="51E3062B"/>
    <w:rsid w:val="547075D6"/>
    <w:rsid w:val="5D795F6D"/>
    <w:rsid w:val="60A466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826</Characters>
  <Lines>6</Lines>
  <Paragraphs>1</Paragraphs>
  <TotalTime>13</TotalTime>
  <ScaleCrop>false</ScaleCrop>
  <LinksUpToDate>false</LinksUpToDate>
  <CharactersWithSpaces>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2024-03-25T07:27:00Z</dcterms:created>
  <dc:creator>uh</dc:creator>
  <cp:lastModifiedBy> 薄荷璨猪</cp:lastModifiedBy>
  <dcterms:modified xsi:type="dcterms:W3CDTF">2026-06-24T07:48:25Z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eyJoZGlkIjoiNWNmYWE1YTVjMGU0ZDFiMzkyYzBhNzEyYjNhZWNmYWQiLCJ1c2VySWQiOiIzNzA3MzA3NjYifQ==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972579CD7CF0450393B0380A0131400A_13</vt:lpwstr>
  </property>
</Properties>
</file>