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CB960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4</w:t>
      </w:r>
    </w:p>
    <w:p w14:paraId="501F1F2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_GBK" w:cs="Times New Roman"/>
          <w:sz w:val="52"/>
          <w:szCs w:val="52"/>
          <w:highlight w:val="none"/>
        </w:rPr>
      </w:pPr>
    </w:p>
    <w:p w14:paraId="41BBFE85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岳阳市特殊教育学校</w:t>
      </w:r>
    </w:p>
    <w:p w14:paraId="660BE64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（单位）整体支出</w:t>
      </w:r>
    </w:p>
    <w:p w14:paraId="5A43967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绩效自评报告</w:t>
      </w:r>
    </w:p>
    <w:p w14:paraId="20EDA38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_GBK" w:cs="Times New Roman"/>
          <w:b/>
          <w:sz w:val="52"/>
          <w:szCs w:val="52"/>
          <w:highlight w:val="none"/>
        </w:rPr>
      </w:pPr>
    </w:p>
    <w:p w14:paraId="066394D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28E90D0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49AB936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6C03B41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68B5499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7D5056E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7F64DFC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1147477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327D946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000C4FB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69886322"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部门（单位）名称：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>岳阳市特殊教育学校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>（盖章）</w:t>
      </w:r>
    </w:p>
    <w:p w14:paraId="74BDB32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</w:pPr>
    </w:p>
    <w:p w14:paraId="455F699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</w:pPr>
      <w:r>
        <w:rPr>
          <w:rFonts w:hint="eastAsia" w:eastAsia="楷体_GB2312" w:cs="Times New Roman"/>
          <w:sz w:val="32"/>
          <w:szCs w:val="32"/>
          <w:highlight w:val="none"/>
          <w:lang w:val="en-US" w:eastAsia="zh-CN"/>
        </w:rPr>
        <w:t>2026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年</w:t>
      </w:r>
      <w:r>
        <w:rPr>
          <w:rFonts w:hint="eastAsia" w:eastAsia="楷体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 xml:space="preserve">月 </w:t>
      </w:r>
      <w:r>
        <w:rPr>
          <w:rFonts w:hint="eastAsia" w:eastAsia="楷体_GB2312" w:cs="Times New Roman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日</w:t>
      </w:r>
    </w:p>
    <w:p w14:paraId="5C8C2D7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（此页为封面）</w:t>
      </w:r>
    </w:p>
    <w:p w14:paraId="7AB3032E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岳阳市特殊教育学校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（单位）</w:t>
      </w:r>
    </w:p>
    <w:p w14:paraId="160A1B07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整体支出绩效自评报告</w:t>
      </w:r>
    </w:p>
    <w:p w14:paraId="349977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7B0274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6BB89E98">
      <w:pPr>
        <w:pStyle w:val="6"/>
        <w:widowControl/>
        <w:numPr>
          <w:ilvl w:val="0"/>
          <w:numId w:val="1"/>
        </w:numPr>
        <w:spacing w:line="640" w:lineRule="exact"/>
        <w:ind w:firstLine="640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部门（单位）基本情况</w:t>
      </w:r>
    </w:p>
    <w:p w14:paraId="5F50C885">
      <w:pPr>
        <w:pStyle w:val="6"/>
        <w:widowControl/>
        <w:numPr>
          <w:ilvl w:val="0"/>
          <w:numId w:val="0"/>
        </w:numPr>
        <w:spacing w:line="640" w:lineRule="exact"/>
        <w:ind w:firstLine="643" w:firstLineChars="200"/>
        <w:rPr>
          <w:rFonts w:ascii="Times New Roman" w:hAnsi="Times New Roman" w:eastAsia="楷体_GB2312"/>
          <w:b/>
          <w:sz w:val="32"/>
          <w:szCs w:val="32"/>
        </w:rPr>
      </w:pPr>
      <w:r>
        <w:rPr>
          <w:rFonts w:hint="eastAsia" w:ascii="Times New Roman" w:hAnsi="Times New Roman" w:eastAsia="楷体_GB2312"/>
          <w:b/>
          <w:sz w:val="32"/>
          <w:szCs w:val="32"/>
        </w:rPr>
        <w:t>（一）学校基本情况</w:t>
      </w:r>
    </w:p>
    <w:p w14:paraId="77CC351F">
      <w:pPr>
        <w:snapToGrid w:val="0"/>
        <w:spacing w:line="520" w:lineRule="exact"/>
        <w:ind w:firstLine="840" w:firstLineChars="300"/>
        <w:rPr>
          <w:rFonts w:asciiTheme="minorEastAsia" w:hAnsiTheme="minorEastAsia" w:eastAsiaTheme="minorEastAsia"/>
          <w:sz w:val="28"/>
          <w:szCs w:val="40"/>
        </w:rPr>
      </w:pPr>
      <w:r>
        <w:rPr>
          <w:rFonts w:hint="eastAsia" w:asciiTheme="minorEastAsia" w:hAnsiTheme="minorEastAsia" w:eastAsiaTheme="minorEastAsia"/>
          <w:sz w:val="28"/>
          <w:szCs w:val="40"/>
        </w:rPr>
        <w:t>1．机构情况</w:t>
      </w:r>
    </w:p>
    <w:p w14:paraId="0D046389">
      <w:pPr>
        <w:snapToGrid w:val="0"/>
        <w:spacing w:line="520" w:lineRule="exact"/>
        <w:ind w:firstLine="840" w:firstLineChars="300"/>
        <w:rPr>
          <w:rFonts w:asciiTheme="minorEastAsia" w:hAnsiTheme="minorEastAsia" w:eastAsiaTheme="minorEastAsia"/>
          <w:sz w:val="28"/>
          <w:szCs w:val="40"/>
        </w:rPr>
      </w:pPr>
      <w:r>
        <w:rPr>
          <w:rFonts w:hint="eastAsia" w:asciiTheme="minorEastAsia" w:hAnsiTheme="minorEastAsia" w:eastAsiaTheme="minorEastAsia"/>
          <w:sz w:val="28"/>
          <w:szCs w:val="40"/>
        </w:rPr>
        <w:t>我校隶属岳阳市教育体育局直属事业单位，组织机构1个，为财政全额补助拨款单位，按要求实施财务独立核算。</w:t>
      </w:r>
    </w:p>
    <w:p w14:paraId="19EC89BD">
      <w:pPr>
        <w:snapToGrid w:val="0"/>
        <w:spacing w:line="520" w:lineRule="exact"/>
        <w:ind w:firstLine="840" w:firstLineChars="300"/>
        <w:rPr>
          <w:rFonts w:asciiTheme="minorEastAsia" w:hAnsiTheme="minorEastAsia" w:eastAsiaTheme="minorEastAsia"/>
          <w:sz w:val="28"/>
          <w:szCs w:val="40"/>
        </w:rPr>
      </w:pPr>
      <w:r>
        <w:rPr>
          <w:rFonts w:hint="eastAsia" w:asciiTheme="minorEastAsia" w:hAnsiTheme="minorEastAsia" w:eastAsiaTheme="minorEastAsia"/>
          <w:sz w:val="28"/>
          <w:szCs w:val="40"/>
        </w:rPr>
        <w:t>2．人员情况</w:t>
      </w:r>
    </w:p>
    <w:p w14:paraId="2665F006">
      <w:pPr>
        <w:snapToGrid w:val="0"/>
        <w:spacing w:line="520" w:lineRule="exact"/>
        <w:ind w:firstLine="840" w:firstLineChars="300"/>
        <w:rPr>
          <w:rFonts w:hint="eastAsia" w:asciiTheme="minorEastAsia" w:hAnsiTheme="minorEastAsia" w:eastAsiaTheme="minorEastAsia"/>
          <w:sz w:val="28"/>
          <w:szCs w:val="40"/>
        </w:rPr>
      </w:pPr>
      <w:r>
        <w:rPr>
          <w:rFonts w:hint="eastAsia" w:asciiTheme="minorEastAsia" w:hAnsiTheme="minorEastAsia" w:eastAsiaTheme="minorEastAsia"/>
          <w:sz w:val="28"/>
          <w:szCs w:val="40"/>
        </w:rPr>
        <w:t>现有职工</w:t>
      </w:r>
      <w:r>
        <w:rPr>
          <w:rFonts w:hint="eastAsia" w:asciiTheme="minorEastAsia" w:hAnsiTheme="minorEastAsia" w:eastAsiaTheme="minorEastAsia"/>
          <w:sz w:val="28"/>
          <w:szCs w:val="40"/>
          <w:lang w:val="en-US" w:eastAsia="zh-CN"/>
        </w:rPr>
        <w:t>52</w:t>
      </w:r>
      <w:r>
        <w:rPr>
          <w:rFonts w:hint="eastAsia" w:asciiTheme="minorEastAsia" w:hAnsiTheme="minorEastAsia" w:eastAsiaTheme="minorEastAsia"/>
          <w:sz w:val="28"/>
          <w:szCs w:val="40"/>
        </w:rPr>
        <w:t>人，在职在编</w:t>
      </w:r>
      <w:r>
        <w:rPr>
          <w:rFonts w:hint="eastAsia" w:asciiTheme="minorEastAsia" w:hAnsiTheme="minorEastAsia" w:eastAsiaTheme="minorEastAsia"/>
          <w:sz w:val="28"/>
          <w:szCs w:val="40"/>
          <w:lang w:val="en-US" w:eastAsia="zh-CN"/>
        </w:rPr>
        <w:t>52</w:t>
      </w:r>
      <w:bookmarkStart w:id="2" w:name="_GoBack"/>
      <w:bookmarkEnd w:id="2"/>
      <w:r>
        <w:rPr>
          <w:rFonts w:hint="eastAsia" w:asciiTheme="minorEastAsia" w:hAnsiTheme="minorEastAsia" w:eastAsiaTheme="minorEastAsia"/>
          <w:sz w:val="28"/>
          <w:szCs w:val="40"/>
        </w:rPr>
        <w:t>人，退休</w:t>
      </w:r>
      <w:r>
        <w:rPr>
          <w:rFonts w:hint="eastAsia" w:asciiTheme="minorEastAsia" w:hAnsiTheme="minorEastAsia" w:eastAsiaTheme="minorEastAsia"/>
          <w:sz w:val="28"/>
          <w:szCs w:val="40"/>
          <w:lang w:val="en-US" w:eastAsia="zh-CN"/>
        </w:rPr>
        <w:t>17</w:t>
      </w:r>
      <w:r>
        <w:rPr>
          <w:rFonts w:hint="eastAsia" w:asciiTheme="minorEastAsia" w:hAnsiTheme="minorEastAsia" w:eastAsiaTheme="minorEastAsia"/>
          <w:sz w:val="28"/>
          <w:szCs w:val="40"/>
        </w:rPr>
        <w:t>人。</w:t>
      </w:r>
    </w:p>
    <w:p w14:paraId="0A57D2D1">
      <w:pPr>
        <w:pStyle w:val="6"/>
        <w:widowControl/>
        <w:spacing w:line="640" w:lineRule="exact"/>
        <w:ind w:firstLine="640"/>
        <w:rPr>
          <w:rFonts w:ascii="Times New Roman" w:hAnsi="Times New Roman" w:eastAsia="楷体_GB2312"/>
          <w:b/>
          <w:sz w:val="32"/>
          <w:szCs w:val="32"/>
        </w:rPr>
      </w:pPr>
      <w:r>
        <w:rPr>
          <w:rFonts w:hint="eastAsia" w:ascii="Times New Roman" w:hAnsi="Times New Roman" w:eastAsia="楷体_GB2312"/>
          <w:b/>
          <w:sz w:val="32"/>
          <w:szCs w:val="32"/>
        </w:rPr>
        <w:t>（二）学校职能职责</w:t>
      </w:r>
    </w:p>
    <w:p w14:paraId="08192570">
      <w:pPr>
        <w:snapToGrid w:val="0"/>
        <w:spacing w:line="520" w:lineRule="exact"/>
        <w:ind w:firstLine="840" w:firstLineChars="300"/>
        <w:rPr>
          <w:rFonts w:hint="eastAsia" w:asciiTheme="minorEastAsia" w:hAnsiTheme="minorEastAsia" w:eastAsiaTheme="minorEastAsia"/>
          <w:sz w:val="28"/>
          <w:szCs w:val="40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40"/>
          <w:lang w:val="en-US" w:eastAsia="zh-CN"/>
        </w:rPr>
        <w:t>1.负责贯彻执行《教育法》、《教师法》等法规政策；2.负责在校学生的文化科学知识、思想品德、体育、美育及劳动技能教育；3.负责学校教师的政治思想教育和业务培训；4.负责在校师生的安全保卫及后勤服务；5.完成市教育局交办的其他工作。</w:t>
      </w:r>
    </w:p>
    <w:p w14:paraId="2DD60F4D">
      <w:pPr>
        <w:pStyle w:val="6"/>
        <w:widowControl/>
        <w:spacing w:line="640" w:lineRule="exact"/>
        <w:ind w:firstLine="640"/>
        <w:rPr>
          <w:rFonts w:ascii="Times New Roman" w:hAnsi="Times New Roman" w:eastAsia="楷体_GB2312"/>
          <w:b/>
          <w:sz w:val="32"/>
          <w:szCs w:val="32"/>
        </w:rPr>
      </w:pPr>
      <w:r>
        <w:rPr>
          <w:rFonts w:hint="eastAsia" w:ascii="Times New Roman" w:hAnsi="Times New Roman" w:eastAsia="楷体_GB2312"/>
          <w:b/>
          <w:sz w:val="32"/>
          <w:szCs w:val="32"/>
        </w:rPr>
        <w:t>（三）年度工作内容</w:t>
      </w:r>
    </w:p>
    <w:p w14:paraId="617EC2D9">
      <w:pPr>
        <w:snapToGrid w:val="0"/>
        <w:spacing w:line="520" w:lineRule="exact"/>
        <w:ind w:firstLine="840" w:firstLineChars="300"/>
        <w:rPr>
          <w:rFonts w:hint="eastAsia" w:asciiTheme="minorEastAsia" w:hAnsiTheme="minorEastAsia" w:eastAsiaTheme="minorEastAsia"/>
          <w:sz w:val="28"/>
          <w:szCs w:val="40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40"/>
          <w:lang w:val="en-US" w:eastAsia="zh-CN"/>
        </w:rPr>
        <w:t>1.对岳阳市区适龄残疾儿童实行教育教学工作；</w:t>
      </w:r>
    </w:p>
    <w:p w14:paraId="44A0A373">
      <w:pPr>
        <w:snapToGrid w:val="0"/>
        <w:spacing w:line="520" w:lineRule="exact"/>
        <w:ind w:firstLine="840" w:firstLineChars="300"/>
        <w:rPr>
          <w:rFonts w:hint="eastAsia" w:asciiTheme="minorEastAsia" w:hAnsiTheme="minorEastAsia" w:eastAsiaTheme="minorEastAsia"/>
          <w:sz w:val="28"/>
          <w:szCs w:val="40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40"/>
          <w:lang w:val="en-US" w:eastAsia="zh-CN"/>
        </w:rPr>
        <w:t>2.开展学校各项工作；</w:t>
      </w:r>
    </w:p>
    <w:p w14:paraId="7B8C04A6">
      <w:pPr>
        <w:snapToGrid w:val="0"/>
        <w:spacing w:line="520" w:lineRule="exact"/>
        <w:ind w:firstLine="840" w:firstLineChars="300"/>
        <w:rPr>
          <w:rFonts w:hint="eastAsia" w:asciiTheme="minorEastAsia" w:hAnsiTheme="minorEastAsia" w:eastAsiaTheme="minorEastAsia"/>
          <w:sz w:val="28"/>
          <w:szCs w:val="40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40"/>
          <w:lang w:val="en-US" w:eastAsia="zh-CN"/>
        </w:rPr>
        <w:t>3.严格管理学校各项开支，控制三公经费支出；</w:t>
      </w:r>
    </w:p>
    <w:p w14:paraId="40B3A9F2">
      <w:pPr>
        <w:snapToGrid w:val="0"/>
        <w:spacing w:line="520" w:lineRule="exact"/>
        <w:ind w:firstLine="840" w:firstLineChars="300"/>
        <w:rPr>
          <w:rFonts w:hint="eastAsia" w:asciiTheme="minorEastAsia" w:hAnsiTheme="minorEastAsia" w:eastAsiaTheme="minorEastAsia"/>
          <w:sz w:val="28"/>
          <w:szCs w:val="40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40"/>
          <w:lang w:val="en-US" w:eastAsia="zh-CN"/>
        </w:rPr>
        <w:t>4.保障教职员工的工资福利待遇，保证学校各项工作顺利开展；</w:t>
      </w:r>
    </w:p>
    <w:p w14:paraId="41ED54EC">
      <w:pPr>
        <w:snapToGrid w:val="0"/>
        <w:spacing w:line="520" w:lineRule="exact"/>
        <w:ind w:firstLine="840" w:firstLineChars="300"/>
        <w:rPr>
          <w:rFonts w:hint="eastAsia" w:asciiTheme="minorEastAsia" w:hAnsiTheme="minorEastAsia" w:eastAsiaTheme="minorEastAsia"/>
          <w:sz w:val="28"/>
          <w:szCs w:val="40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40"/>
          <w:lang w:val="en-US" w:eastAsia="zh-CN"/>
        </w:rPr>
        <w:t>5.保障全体师生安全，提高教学质量，稳定教学秩序。</w:t>
      </w:r>
    </w:p>
    <w:p w14:paraId="369922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5CA943A3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二、一般公共预算支出情况</w:t>
      </w:r>
    </w:p>
    <w:p w14:paraId="525D2653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  <w:t>（一）基本支出情况</w:t>
      </w:r>
    </w:p>
    <w:p w14:paraId="52BA82D3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  <w:r>
        <w:rPr>
          <w:rFonts w:hint="eastAsia" w:asciiTheme="minorEastAsia" w:hAnsiTheme="minorEastAsia" w:eastAsiaTheme="minorEastAsia"/>
          <w:sz w:val="28"/>
          <w:szCs w:val="40"/>
          <w:lang w:val="en-US" w:eastAsia="zh-CN"/>
        </w:rPr>
        <w:t>2025年基本支出1314.42万元，比去年减少了4.59%；其中工资福利支出1005.42万元，商品和服务支出227.43万元，对个人和家庭的补助81.57万元。</w:t>
      </w:r>
    </w:p>
    <w:p w14:paraId="50A29C72">
      <w:pPr>
        <w:numPr>
          <w:ilvl w:val="0"/>
          <w:numId w:val="2"/>
        </w:numPr>
        <w:snapToGrid w:val="0"/>
        <w:spacing w:line="520" w:lineRule="exact"/>
        <w:ind w:firstLine="964" w:firstLineChars="300"/>
        <w:rPr>
          <w:rFonts w:hint="eastAsia" w:asciiTheme="minorEastAsia" w:hAnsiTheme="minorEastAsia" w:eastAsiaTheme="minorEastAsia"/>
          <w:sz w:val="28"/>
          <w:szCs w:val="40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  <w:t>项目支出情况</w:t>
      </w:r>
      <w:r>
        <w:rPr>
          <w:rFonts w:hint="eastAsia" w:asciiTheme="minorEastAsia" w:hAnsiTheme="minorEastAsia" w:eastAsiaTheme="minorEastAsia"/>
          <w:sz w:val="28"/>
          <w:szCs w:val="40"/>
          <w:lang w:val="en-US" w:eastAsia="zh-CN"/>
        </w:rPr>
        <w:t xml:space="preserve"> </w:t>
      </w:r>
    </w:p>
    <w:p w14:paraId="5B51712D">
      <w:pPr>
        <w:numPr>
          <w:ilvl w:val="0"/>
          <w:numId w:val="0"/>
        </w:numPr>
        <w:snapToGrid w:val="0"/>
        <w:spacing w:line="520" w:lineRule="exact"/>
        <w:ind w:firstLine="560" w:firstLineChars="200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  <w:r>
        <w:rPr>
          <w:rFonts w:hint="eastAsia" w:asciiTheme="minorEastAsia" w:hAnsiTheme="minorEastAsia" w:eastAsiaTheme="minorEastAsia"/>
          <w:sz w:val="28"/>
          <w:szCs w:val="40"/>
          <w:lang w:val="en-US" w:eastAsia="zh-CN"/>
        </w:rPr>
        <w:t xml:space="preserve">2025年项目支出207.92万元，其中：运行维护经费54.47万元；市级专项共计153.45万元，其中特校专项60万元学生食堂补助及其它经费开支、2025义务教育经费保障机制93.45万元，项目资金全部用于学校日常公用经费开支及专项维修等开支。 </w:t>
      </w:r>
    </w:p>
    <w:p w14:paraId="1769299B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4233C29E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三、政府性基金预算支出情况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 xml:space="preserve"> 无</w:t>
      </w:r>
    </w:p>
    <w:p w14:paraId="6590ACD3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四、国有资本经营预算支出情况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 xml:space="preserve"> 无</w:t>
      </w:r>
    </w:p>
    <w:p w14:paraId="5B88CE4E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五、社会保险基金预算支出情况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 xml:space="preserve"> 无</w:t>
      </w:r>
    </w:p>
    <w:p w14:paraId="2E5619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六、部门整体支出绩效情况</w:t>
      </w:r>
    </w:p>
    <w:p w14:paraId="02590A42">
      <w:pPr>
        <w:snapToGrid w:val="0"/>
        <w:spacing w:line="520" w:lineRule="exact"/>
        <w:ind w:firstLine="300" w:firstLineChars="100"/>
        <w:rPr>
          <w:rFonts w:asciiTheme="minorEastAsia" w:hAnsiTheme="minorEastAsia" w:eastAsiaTheme="minorEastAsia"/>
          <w:sz w:val="30"/>
          <w:szCs w:val="30"/>
        </w:rPr>
      </w:pPr>
      <w:r>
        <w:rPr>
          <w:rFonts w:hint="eastAsia" w:asciiTheme="minorEastAsia" w:hAnsiTheme="minorEastAsia" w:eastAsiaTheme="minorEastAsia"/>
          <w:sz w:val="30"/>
          <w:szCs w:val="30"/>
        </w:rPr>
        <w:t>（一）部门整体支出情况</w:t>
      </w:r>
    </w:p>
    <w:p w14:paraId="5329B849">
      <w:pPr>
        <w:numPr>
          <w:ilvl w:val="0"/>
          <w:numId w:val="0"/>
        </w:numPr>
        <w:snapToGrid w:val="0"/>
        <w:spacing w:line="520" w:lineRule="exact"/>
        <w:ind w:firstLine="560" w:firstLineChars="200"/>
        <w:rPr>
          <w:rFonts w:hint="eastAsia" w:asciiTheme="minorEastAsia" w:hAnsiTheme="minorEastAsia" w:eastAsiaTheme="minorEastAsia"/>
          <w:sz w:val="28"/>
          <w:szCs w:val="40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40"/>
          <w:lang w:val="en-US" w:eastAsia="zh-CN"/>
        </w:rPr>
        <w:t>2025年度整体支出绩效目标1523.34万元，其中来自财政拨款收入1520.03万元，实际支出1520.03万元，其中基本支出1312.11万元，项目支出207.92万元，年末结转结余0万元；另外其他收入3.31万元。2025年整体支出绩效产出指标1523.34万元，完成率100%，质量100%，成本1523.34万元，经济效益、社会效益、环境效益、可持续影响力均达90%，服务对象满意度100%。</w:t>
      </w:r>
    </w:p>
    <w:p w14:paraId="0C9F05E7">
      <w:pPr>
        <w:widowControl/>
        <w:numPr>
          <w:ilvl w:val="0"/>
          <w:numId w:val="3"/>
        </w:numPr>
        <w:spacing w:line="640" w:lineRule="exact"/>
        <w:ind w:firstLine="300" w:firstLineChars="100"/>
        <w:rPr>
          <w:rFonts w:asciiTheme="minorEastAsia" w:hAnsiTheme="minorEastAsia" w:eastAsiaTheme="minorEastAsia"/>
          <w:sz w:val="30"/>
          <w:szCs w:val="30"/>
        </w:rPr>
      </w:pPr>
      <w:r>
        <w:rPr>
          <w:rFonts w:hint="eastAsia" w:asciiTheme="minorEastAsia" w:hAnsiTheme="minorEastAsia" w:eastAsiaTheme="minorEastAsia"/>
          <w:sz w:val="30"/>
          <w:szCs w:val="30"/>
        </w:rPr>
        <w:t>部门资产管理和开展业务情况</w:t>
      </w:r>
    </w:p>
    <w:p w14:paraId="494D488A">
      <w:pPr>
        <w:numPr>
          <w:ilvl w:val="0"/>
          <w:numId w:val="0"/>
        </w:numPr>
        <w:snapToGrid w:val="0"/>
        <w:spacing w:line="520" w:lineRule="exact"/>
        <w:ind w:firstLine="560" w:firstLineChars="200"/>
        <w:rPr>
          <w:rFonts w:hint="eastAsia" w:asciiTheme="minorEastAsia" w:hAnsiTheme="minorEastAsia" w:eastAsiaTheme="minorEastAsia"/>
          <w:sz w:val="28"/>
          <w:szCs w:val="40"/>
          <w:lang w:val="en-US" w:eastAsia="zh-CN"/>
        </w:rPr>
      </w:pPr>
      <w:bookmarkStart w:id="0" w:name="heading_2"/>
      <w:r>
        <w:rPr>
          <w:rFonts w:hint="eastAsia" w:asciiTheme="minorEastAsia" w:hAnsiTheme="minorEastAsia" w:eastAsiaTheme="minorEastAsia"/>
          <w:sz w:val="28"/>
          <w:szCs w:val="40"/>
          <w:lang w:val="en-US" w:eastAsia="zh-CN"/>
        </w:rPr>
        <w:t>1、教学教研深耕细作，质量稳步提升</w:t>
      </w:r>
      <w:bookmarkEnd w:id="0"/>
      <w:r>
        <w:rPr>
          <w:rFonts w:hint="eastAsia" w:asciiTheme="minorEastAsia" w:hAnsiTheme="minorEastAsia" w:eastAsiaTheme="minorEastAsia"/>
          <w:sz w:val="28"/>
          <w:szCs w:val="40"/>
          <w:lang w:val="en-US" w:eastAsia="zh-CN"/>
        </w:rPr>
        <w:t>：实施“青蓝工程”，4名新进教师与骨干教师结对；组织40余人次教师参与各级培训，开展校内公开课38节、教学竞赛4次，教师获省市级奖项30余项，发表论文2篇，立项省级研究项目1项、市级课题3项，结题省级重点课题1项。规范课程实施，优化聋教部、培智部、康复班课程，落实劳动与体育教育，开设多项校本课程；推进“教康融合”，实现教学与康复统一。学生综合能力提升，90％以上能独立完成日常事务，80％可简单社交；听障学生升学率90％，6名培智部毕业生校企合作就业，满意度95％；学生在全国特奥云动会等赛事中斩获多项奖项。</w:t>
      </w:r>
    </w:p>
    <w:p w14:paraId="1334859D">
      <w:pPr>
        <w:pStyle w:val="3"/>
        <w:rPr>
          <w:rFonts w:hint="eastAsia" w:cs="Times New Roman" w:asciiTheme="minorEastAsia" w:hAnsiTheme="minorEastAsia" w:eastAsiaTheme="minorEastAsia"/>
          <w:spacing w:val="0"/>
          <w:kern w:val="2"/>
          <w:sz w:val="28"/>
          <w:szCs w:val="40"/>
          <w:lang w:val="en-US" w:eastAsia="zh-CN" w:bidi="ar-SA"/>
        </w:rPr>
      </w:pPr>
      <w:r>
        <w:rPr>
          <w:rFonts w:hint="eastAsia" w:cs="Times New Roman" w:asciiTheme="minorEastAsia" w:hAnsiTheme="minorEastAsia" w:eastAsiaTheme="minorEastAsia"/>
          <w:kern w:val="2"/>
          <w:sz w:val="28"/>
          <w:szCs w:val="40"/>
          <w:lang w:val="en-US" w:eastAsia="zh-CN" w:bidi="ar-SA"/>
        </w:rPr>
        <w:t>2、</w:t>
      </w:r>
      <w:bookmarkStart w:id="1" w:name="heading_3"/>
      <w:r>
        <w:rPr>
          <w:rFonts w:hint="eastAsia" w:cs="Times New Roman" w:asciiTheme="minorEastAsia" w:hAnsiTheme="minorEastAsia" w:eastAsiaTheme="minorEastAsia"/>
          <w:spacing w:val="0"/>
          <w:kern w:val="2"/>
          <w:sz w:val="28"/>
          <w:szCs w:val="40"/>
          <w:lang w:val="en-US" w:eastAsia="zh-CN" w:bidi="ar-SA"/>
        </w:rPr>
        <w:t>后勤安全保障有力，条件持续改善</w:t>
      </w:r>
      <w:bookmarkEnd w:id="1"/>
      <w:r>
        <w:rPr>
          <w:rFonts w:hint="eastAsia" w:cs="Times New Roman" w:asciiTheme="minorEastAsia" w:hAnsiTheme="minorEastAsia" w:eastAsiaTheme="minorEastAsia"/>
          <w:spacing w:val="0"/>
          <w:kern w:val="2"/>
          <w:sz w:val="28"/>
          <w:szCs w:val="40"/>
          <w:lang w:val="en-US" w:eastAsia="zh-CN" w:bidi="ar-SA"/>
        </w:rPr>
        <w:t>：高标准保障校园餐，完善7项食品安全制度，实行大宗食材招投标、双人联检存档、校长家长陪餐制，翻新食堂保管室。高质量完成军训保障，服务5所学校7批次4800余人参训，获高度好评。推进“海绵城市”、自来水管网改造、校舍安全整治三大项目，新修田径场、新增30个停车位、新建5个雨水花园，解决积水问题，完成多处屋面防水与操场盖板更换。常态化开展校园绿化、消杀、劳动实践基地建设，及时采购物资，排查安全隐患。筑牢安全防线，完善安全领导小组与10余项制度预案，每月召开安全会议，开展防溺水、防性侵等专题教育，组织应急演练，实现校园监控全覆盖，严格门禁与护学岗制度，全年无安全责任事故。</w:t>
      </w:r>
    </w:p>
    <w:p w14:paraId="2F6C84D3">
      <w:pPr>
        <w:widowControl/>
        <w:numPr>
          <w:ilvl w:val="0"/>
          <w:numId w:val="0"/>
        </w:numPr>
        <w:spacing w:line="640" w:lineRule="exact"/>
        <w:rPr>
          <w:rFonts w:hint="default" w:asciiTheme="minorEastAsia" w:hAnsiTheme="minorEastAsia" w:eastAsiaTheme="minorEastAsia"/>
          <w:sz w:val="30"/>
          <w:szCs w:val="30"/>
          <w:lang w:val="en-US" w:eastAsia="zh-CN"/>
        </w:rPr>
      </w:pPr>
    </w:p>
    <w:p w14:paraId="4841F3F5">
      <w:pPr>
        <w:pStyle w:val="6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存在的问题及原因分析</w:t>
      </w:r>
    </w:p>
    <w:p w14:paraId="21D5A6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cs="Times New Roman" w:asciiTheme="minorEastAsia" w:hAnsiTheme="minorEastAsia" w:eastAsiaTheme="minorEastAsia"/>
          <w:spacing w:val="0"/>
          <w:kern w:val="2"/>
          <w:sz w:val="28"/>
          <w:szCs w:val="40"/>
          <w:lang w:val="en-US" w:eastAsia="zh-CN" w:bidi="ar-SA"/>
        </w:rPr>
      </w:pPr>
      <w:r>
        <w:rPr>
          <w:rFonts w:hint="eastAsia" w:cs="Times New Roman" w:asciiTheme="minorEastAsia" w:hAnsiTheme="minorEastAsia" w:eastAsiaTheme="minorEastAsia"/>
          <w:spacing w:val="0"/>
          <w:kern w:val="2"/>
          <w:sz w:val="28"/>
          <w:szCs w:val="40"/>
          <w:lang w:val="en-US" w:eastAsia="zh-CN" w:bidi="ar-SA"/>
        </w:rPr>
        <w:t>1．近年来随着社会的进步，学校办学条件不断改善。学校各项设施不断完善，如师生饮水工程，白板系统的使用，课室大量的风扇、照明的使用，造成水电费、维修费支出大幅增加，学校经费比较紧张。</w:t>
      </w:r>
    </w:p>
    <w:p w14:paraId="7A50B3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cs="Times New Roman" w:asciiTheme="minorEastAsia" w:hAnsiTheme="minorEastAsia" w:eastAsiaTheme="minorEastAsia"/>
          <w:spacing w:val="0"/>
          <w:kern w:val="2"/>
          <w:sz w:val="28"/>
          <w:szCs w:val="40"/>
          <w:lang w:val="en-US" w:eastAsia="zh-CN" w:bidi="ar-SA"/>
        </w:rPr>
      </w:pPr>
      <w:r>
        <w:rPr>
          <w:rFonts w:hint="eastAsia" w:cs="Times New Roman" w:asciiTheme="minorEastAsia" w:hAnsiTheme="minorEastAsia" w:eastAsiaTheme="minorEastAsia"/>
          <w:spacing w:val="0"/>
          <w:kern w:val="2"/>
          <w:sz w:val="28"/>
          <w:szCs w:val="40"/>
          <w:lang w:val="en-US" w:eastAsia="zh-CN" w:bidi="ar-SA"/>
        </w:rPr>
        <w:t>2．学校的固定资产管理、班级财产管理还有待加强。</w:t>
      </w:r>
    </w:p>
    <w:p w14:paraId="0E0305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cs="Times New Roman" w:asciiTheme="minorEastAsia" w:hAnsiTheme="minorEastAsia" w:eastAsiaTheme="minorEastAsia"/>
          <w:spacing w:val="0"/>
          <w:kern w:val="2"/>
          <w:sz w:val="28"/>
          <w:szCs w:val="40"/>
          <w:lang w:val="en-US" w:eastAsia="zh-CN" w:bidi="ar-SA"/>
        </w:rPr>
      </w:pPr>
      <w:r>
        <w:rPr>
          <w:rFonts w:hint="eastAsia" w:cs="Times New Roman" w:asciiTheme="minorEastAsia" w:hAnsiTheme="minorEastAsia" w:eastAsiaTheme="minorEastAsia"/>
          <w:spacing w:val="0"/>
          <w:kern w:val="2"/>
          <w:sz w:val="28"/>
          <w:szCs w:val="40"/>
          <w:lang w:val="en-US" w:eastAsia="zh-CN" w:bidi="ar-SA"/>
        </w:rPr>
        <w:t>3. 政府采购方面管理及制度还有待加强。</w:t>
      </w:r>
    </w:p>
    <w:p w14:paraId="6B11F3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0715430A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下一步改进措施</w:t>
      </w:r>
    </w:p>
    <w:p w14:paraId="09A702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cs="Times New Roman" w:asciiTheme="minorEastAsia" w:hAnsiTheme="minorEastAsia" w:eastAsiaTheme="minorEastAsia"/>
          <w:spacing w:val="0"/>
          <w:kern w:val="2"/>
          <w:sz w:val="28"/>
          <w:szCs w:val="40"/>
          <w:lang w:val="en-US" w:eastAsia="zh-CN" w:bidi="ar-SA"/>
        </w:rPr>
      </w:pPr>
      <w:r>
        <w:rPr>
          <w:rFonts w:hint="eastAsia" w:cs="Times New Roman" w:asciiTheme="minorEastAsia" w:hAnsiTheme="minorEastAsia" w:eastAsiaTheme="minorEastAsia"/>
          <w:spacing w:val="0"/>
          <w:kern w:val="2"/>
          <w:sz w:val="28"/>
          <w:szCs w:val="40"/>
          <w:lang w:val="en-US" w:eastAsia="zh-CN" w:bidi="ar-SA"/>
        </w:rPr>
        <w:t>1．切实做好预算编制工作，做好本单位情况调查，仔细测算部门资金需求，努力使预算资金合理。及时支出资金，减少部门资金结转。</w:t>
      </w:r>
    </w:p>
    <w:p w14:paraId="1E9C13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cs="Times New Roman" w:asciiTheme="minorEastAsia" w:hAnsiTheme="minorEastAsia" w:eastAsiaTheme="minorEastAsia"/>
          <w:spacing w:val="0"/>
          <w:kern w:val="2"/>
          <w:sz w:val="28"/>
          <w:szCs w:val="40"/>
          <w:lang w:val="en-US" w:eastAsia="zh-CN" w:bidi="ar-SA"/>
        </w:rPr>
      </w:pPr>
      <w:r>
        <w:rPr>
          <w:rFonts w:hint="eastAsia" w:cs="Times New Roman" w:asciiTheme="minorEastAsia" w:hAnsiTheme="minorEastAsia" w:eastAsiaTheme="minorEastAsia"/>
          <w:spacing w:val="0"/>
          <w:kern w:val="2"/>
          <w:sz w:val="28"/>
          <w:szCs w:val="40"/>
          <w:lang w:val="en-US" w:eastAsia="zh-CN" w:bidi="ar-SA"/>
        </w:rPr>
        <w:t>2．进一步建立健全财务制度，规范财务管理，规范教育教学行为；提高教育教学质量，加强校园文化建设，加强学校廉政建设。</w:t>
      </w:r>
    </w:p>
    <w:p w14:paraId="61E74C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default" w:cs="Times New Roman" w:asciiTheme="minorEastAsia" w:hAnsiTheme="minorEastAsia" w:eastAsiaTheme="minorEastAsia"/>
          <w:spacing w:val="0"/>
          <w:kern w:val="2"/>
          <w:sz w:val="28"/>
          <w:szCs w:val="40"/>
          <w:lang w:val="en-US" w:eastAsia="zh-CN" w:bidi="ar-SA"/>
        </w:rPr>
      </w:pPr>
      <w:r>
        <w:rPr>
          <w:rFonts w:hint="eastAsia" w:cs="Times New Roman" w:asciiTheme="minorEastAsia" w:hAnsiTheme="minorEastAsia" w:eastAsiaTheme="minorEastAsia"/>
          <w:spacing w:val="0"/>
          <w:kern w:val="2"/>
          <w:sz w:val="28"/>
          <w:szCs w:val="40"/>
          <w:lang w:val="en-US" w:eastAsia="zh-CN" w:bidi="ar-SA"/>
        </w:rPr>
        <w:t xml:space="preserve">3. 加强学校财会人员专业知识培训，认真做好学校年初预算和年终决算。 </w:t>
      </w:r>
    </w:p>
    <w:p w14:paraId="72AE60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54DCFBB5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部门整体支出绩效自评结果拟应用和公开情况</w:t>
      </w:r>
    </w:p>
    <w:p w14:paraId="2CD4BB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2025年部门整体支出绩效自评结果：优秀，已公开。</w:t>
      </w:r>
    </w:p>
    <w:p w14:paraId="1CB4F6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14C1D3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其他需要说明的情况</w:t>
      </w:r>
    </w:p>
    <w:p w14:paraId="5D0525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报告需要以下附件：</w:t>
      </w:r>
    </w:p>
    <w:p w14:paraId="7B8944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部门整体支出绩效评价基础数据表</w:t>
      </w:r>
    </w:p>
    <w:p w14:paraId="5DBFC3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部门整体支出绩效自评表</w:t>
      </w:r>
    </w:p>
    <w:p w14:paraId="7EF011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项目支出绩效自评表（一个一级项目支出一张表）</w:t>
      </w:r>
    </w:p>
    <w:p w14:paraId="4B72A5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政府性基金预算支出情况表</w:t>
      </w:r>
    </w:p>
    <w:p w14:paraId="25E769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国有资本经营预算支出情况表</w:t>
      </w:r>
    </w:p>
    <w:p w14:paraId="39C91B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社会保险基金预算支出情况表</w:t>
      </w:r>
    </w:p>
    <w:p w14:paraId="075BAB9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E25FBD"/>
    <w:multiLevelType w:val="singleLevel"/>
    <w:tmpl w:val="92E25FBD"/>
    <w:lvl w:ilvl="0" w:tentative="0">
      <w:start w:val="2"/>
      <w:numFmt w:val="chineseCounting"/>
      <w:suff w:val="space"/>
      <w:lvlText w:val="（%1）"/>
      <w:lvlJc w:val="left"/>
      <w:rPr>
        <w:rFonts w:hint="eastAsia"/>
      </w:rPr>
    </w:lvl>
  </w:abstractNum>
  <w:abstractNum w:abstractNumId="1">
    <w:nsid w:val="9BFE4288"/>
    <w:multiLevelType w:val="singleLevel"/>
    <w:tmpl w:val="9BFE428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9CA78C34"/>
    <w:multiLevelType w:val="singleLevel"/>
    <w:tmpl w:val="9CA78C34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72A19038"/>
    <w:multiLevelType w:val="singleLevel"/>
    <w:tmpl w:val="72A19038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CE252E"/>
    <w:rsid w:val="01B9014F"/>
    <w:rsid w:val="02C02C93"/>
    <w:rsid w:val="0737795B"/>
    <w:rsid w:val="0CCF14DB"/>
    <w:rsid w:val="1482522C"/>
    <w:rsid w:val="1B974A15"/>
    <w:rsid w:val="20F53748"/>
    <w:rsid w:val="2A6538CD"/>
    <w:rsid w:val="2C404035"/>
    <w:rsid w:val="44CA469D"/>
    <w:rsid w:val="4F5A163C"/>
    <w:rsid w:val="4FB5681C"/>
    <w:rsid w:val="50A2442E"/>
    <w:rsid w:val="53AF10BC"/>
    <w:rsid w:val="56CE252E"/>
    <w:rsid w:val="62E80C7F"/>
    <w:rsid w:val="69BC7197"/>
    <w:rsid w:val="71602814"/>
    <w:rsid w:val="76816FC9"/>
    <w:rsid w:val="777C0FE5"/>
    <w:rsid w:val="791B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6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1834</Words>
  <Characters>1993</Characters>
  <Lines>0</Lines>
  <Paragraphs>0</Paragraphs>
  <TotalTime>65</TotalTime>
  <ScaleCrop>false</ScaleCrop>
  <LinksUpToDate>false</LinksUpToDate>
  <CharactersWithSpaces>2003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2026-05-08T01:47:00Z</dcterms:created>
  <dc:creator>-</dc:creator>
  <cp:lastModifiedBy>-</cp:lastModifiedBy>
  <dcterms:modified xsi:type="dcterms:W3CDTF">2026-06-02T02:46:33Z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9F5F739F707249A69043A70B013A3491_11</vt:lpwstr>
  </property>
  <property fmtid="{D5CDD505-2E9C-101B-9397-08002B2CF9AE}" pid="4" name="KSOTemplateDocerSaveRecord">
    <vt:lpwstr>eyJoZGlkIjoiMGIwNjNmNWYzYzIyZTI5NmVjYTc3ZTQ2MjA2NDA4ZmIiLCJ1c2VySWQiOiI0NTU4NTM3OTMifQ==</vt:lpwstr>
  </property>
</Properties>
</file>