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24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</w:t>
      </w:r>
    </w:p>
    <w:p w14:paraId="47B746BF">
      <w:pPr>
        <w:rPr>
          <w:rFonts w:hint="default" w:ascii="Times New Roman" w:hAnsi="Times New Roman" w:eastAsia="仿宋_GB2312" w:cs="Times New Roman"/>
          <w:sz w:val="22"/>
          <w:szCs w:val="22"/>
          <w:highlight w:val="none"/>
        </w:rPr>
      </w:pPr>
    </w:p>
    <w:p w14:paraId="65EB7133">
      <w:pPr>
        <w:rPr>
          <w:rFonts w:hint="eastAsia" w:ascii="黑体" w:hAnsi="黑体" w:eastAsia="黑体" w:cs="黑体"/>
          <w:sz w:val="32"/>
          <w:szCs w:val="32"/>
          <w:highlight w:val="none"/>
        </w:rPr>
      </w:pPr>
    </w:p>
    <w:p w14:paraId="20A1005F">
      <w:pPr>
        <w:jc w:val="center"/>
        <w:rPr>
          <w:rFonts w:hint="default" w:ascii="Times New Roman" w:hAnsi="Times New Roman" w:eastAsia="方正小标宋_GBK" w:cs="Times New Roman"/>
          <w:sz w:val="52"/>
          <w:szCs w:val="52"/>
          <w:highlight w:val="none"/>
        </w:rPr>
      </w:pPr>
    </w:p>
    <w:p w14:paraId="668085D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岳阳市岳阳中学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</w:t>
      </w:r>
    </w:p>
    <w:p w14:paraId="6A063655"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0CE57F08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CABFE43">
      <w:pPr>
        <w:jc w:val="both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3530A05B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0C026834"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</w:p>
    <w:p w14:paraId="1D24C76F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35E18ADA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17E8BC21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7402ACB9">
      <w:pPr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4ACD613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656E7C02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4D297012">
      <w:pPr>
        <w:jc w:val="center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72D97639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（盖章）</w:t>
      </w:r>
    </w:p>
    <w:p w14:paraId="4E5598EB"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年  月  日</w:t>
      </w:r>
    </w:p>
    <w:p w14:paraId="1DB5524C"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（此页为封面）</w:t>
      </w:r>
    </w:p>
    <w:p w14:paraId="199E1E3E"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23D5B8F">
      <w:pPr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6AF32902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 w14:paraId="0EB687EA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岳阳市岳阳中学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整体支出</w:t>
      </w:r>
    </w:p>
    <w:p w14:paraId="1612C78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绩效自评报告</w:t>
      </w:r>
    </w:p>
    <w:p w14:paraId="28AE79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72BB7A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部门（单位）基本情况</w:t>
      </w:r>
    </w:p>
    <w:p w14:paraId="7EC4C886">
      <w:pPr>
        <w:pStyle w:val="3"/>
        <w:rPr>
          <w:rFonts w:hint="default" w:eastAsia="黑体"/>
          <w:lang w:val="en-US" w:eastAsia="zh-CN"/>
        </w:rPr>
      </w:pPr>
      <w:r>
        <w:rPr>
          <w:rFonts w:hint="eastAsia" w:eastAsia="黑体"/>
          <w:lang w:val="en-US" w:eastAsia="zh-CN"/>
        </w:rPr>
        <w:t>（一）学校基本情况</w:t>
      </w:r>
    </w:p>
    <w:p w14:paraId="292685C8">
      <w:pPr>
        <w:spacing w:line="640" w:lineRule="exact"/>
        <w:ind w:firstLine="600" w:firstLineChars="200"/>
        <w:rPr>
          <w:rFonts w:hint="eastAsia" w:ascii="宋体" w:hAnsi="宋体" w:eastAsia="宋体"/>
          <w:kern w:val="0"/>
          <w:sz w:val="30"/>
          <w:szCs w:val="30"/>
        </w:rPr>
      </w:pPr>
      <w:r>
        <w:rPr>
          <w:rFonts w:hint="eastAsia" w:ascii="宋体" w:hAnsi="宋体"/>
          <w:kern w:val="0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/>
          <w:kern w:val="0"/>
          <w:sz w:val="30"/>
          <w:szCs w:val="30"/>
          <w:lang w:val="en-US" w:eastAsia="zh-CN"/>
        </w:rPr>
        <w:t>.</w:t>
      </w:r>
      <w:r>
        <w:rPr>
          <w:rFonts w:hint="eastAsia" w:ascii="宋体" w:hAnsi="宋体" w:eastAsia="宋体"/>
          <w:kern w:val="0"/>
          <w:sz w:val="30"/>
          <w:szCs w:val="30"/>
        </w:rPr>
        <w:t>机构设置</w:t>
      </w:r>
    </w:p>
    <w:p w14:paraId="2864AA8B">
      <w:pPr>
        <w:spacing w:line="640" w:lineRule="exact"/>
        <w:ind w:firstLine="900" w:firstLineChars="300"/>
        <w:rPr>
          <w:rFonts w:hint="eastAsia" w:ascii="宋体" w:hAnsi="宋体" w:eastAsia="宋体"/>
          <w:kern w:val="0"/>
          <w:sz w:val="30"/>
          <w:szCs w:val="30"/>
        </w:rPr>
      </w:pPr>
      <w:r>
        <w:rPr>
          <w:rFonts w:hint="eastAsia" w:ascii="宋体" w:hAnsi="宋体" w:eastAsia="宋体"/>
          <w:kern w:val="0"/>
          <w:sz w:val="30"/>
          <w:szCs w:val="30"/>
        </w:rPr>
        <w:t>我校隶属岳阳市教育体育局直属事业单位，组织机构1个，为财政全额补助拨款单位，按要求实施财务独立核算。学校设置了办公室、教务处、教研处、德育处、后勤处等机构。</w:t>
      </w:r>
    </w:p>
    <w:p w14:paraId="31C4287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.</w:t>
      </w:r>
      <w:r>
        <w:rPr>
          <w:rFonts w:ascii="宋体" w:hAnsi="宋体" w:eastAsia="宋体"/>
          <w:sz w:val="30"/>
          <w:szCs w:val="30"/>
        </w:rPr>
        <w:t>人员情况</w:t>
      </w:r>
    </w:p>
    <w:p w14:paraId="37137142">
      <w:pPr>
        <w:spacing w:line="640" w:lineRule="exact"/>
        <w:ind w:firstLine="900" w:firstLineChars="300"/>
        <w:rPr>
          <w:rFonts w:hint="eastAsia" w:ascii="宋体" w:hAnsi="宋体" w:eastAsia="宋体" w:cs="Times New Roman"/>
          <w:kern w:val="0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现有职工</w:t>
      </w:r>
      <w:r>
        <w:rPr>
          <w:rFonts w:hint="eastAsia" w:ascii="宋体" w:hAnsi="宋体"/>
          <w:sz w:val="30"/>
          <w:szCs w:val="30"/>
          <w:lang w:val="en-US" w:eastAsia="zh-CN"/>
        </w:rPr>
        <w:t>253</w:t>
      </w:r>
      <w:r>
        <w:rPr>
          <w:rFonts w:ascii="宋体" w:hAnsi="宋体" w:eastAsia="宋体"/>
          <w:sz w:val="30"/>
          <w:szCs w:val="30"/>
        </w:rPr>
        <w:t>人，在职在编</w:t>
      </w:r>
      <w:r>
        <w:rPr>
          <w:rFonts w:hint="eastAsia" w:ascii="宋体" w:hAnsi="宋体"/>
          <w:sz w:val="30"/>
          <w:szCs w:val="30"/>
          <w:lang w:val="en-US" w:eastAsia="zh-CN"/>
        </w:rPr>
        <w:t>150</w:t>
      </w:r>
      <w:r>
        <w:rPr>
          <w:rFonts w:ascii="宋体" w:hAnsi="宋体" w:eastAsia="宋体"/>
          <w:sz w:val="30"/>
          <w:szCs w:val="30"/>
        </w:rPr>
        <w:t>人，退休</w:t>
      </w:r>
      <w:r>
        <w:rPr>
          <w:rFonts w:hint="eastAsia" w:ascii="宋体" w:hAnsi="宋体"/>
          <w:sz w:val="30"/>
          <w:szCs w:val="30"/>
          <w:lang w:val="en-US" w:eastAsia="zh-CN"/>
        </w:rPr>
        <w:t>103</w:t>
      </w:r>
      <w:r>
        <w:rPr>
          <w:rFonts w:ascii="宋体" w:hAnsi="宋体" w:eastAsia="宋体"/>
          <w:sz w:val="30"/>
          <w:szCs w:val="30"/>
        </w:rPr>
        <w:t>人</w:t>
      </w:r>
      <w:r>
        <w:rPr>
          <w:rFonts w:hint="eastAsia" w:ascii="宋体" w:hAnsi="宋体" w:eastAsia="宋体"/>
          <w:sz w:val="30"/>
          <w:szCs w:val="30"/>
        </w:rPr>
        <w:t>。年末</w:t>
      </w:r>
      <w:r>
        <w:rPr>
          <w:rFonts w:hint="eastAsia" w:ascii="宋体" w:hAnsi="宋体"/>
          <w:sz w:val="30"/>
          <w:szCs w:val="30"/>
          <w:lang w:val="en-US" w:eastAsia="zh-CN"/>
        </w:rPr>
        <w:t>在籍</w:t>
      </w:r>
      <w:r>
        <w:rPr>
          <w:rFonts w:hint="eastAsia" w:ascii="宋体" w:hAnsi="宋体" w:eastAsia="宋体" w:cs="Times New Roman"/>
          <w:kern w:val="0"/>
          <w:sz w:val="30"/>
          <w:szCs w:val="30"/>
        </w:rPr>
        <w:t>学生数为</w:t>
      </w:r>
      <w:r>
        <w:rPr>
          <w:rFonts w:hint="eastAsia" w:ascii="宋体" w:hAnsi="宋体" w:eastAsia="宋体" w:cs="Times New Roman"/>
          <w:kern w:val="0"/>
          <w:sz w:val="30"/>
          <w:szCs w:val="30"/>
          <w:lang w:val="en-US" w:eastAsia="zh-CN"/>
        </w:rPr>
        <w:t>17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/>
        </w:rPr>
        <w:t>50</w:t>
      </w:r>
      <w:r>
        <w:rPr>
          <w:rFonts w:hint="eastAsia" w:ascii="宋体" w:hAnsi="宋体" w:eastAsia="宋体" w:cs="Times New Roman"/>
          <w:kern w:val="0"/>
          <w:sz w:val="30"/>
          <w:szCs w:val="30"/>
        </w:rPr>
        <w:t>人。</w:t>
      </w:r>
    </w:p>
    <w:p w14:paraId="6D6835A8">
      <w:pPr>
        <w:pStyle w:val="3"/>
        <w:rPr>
          <w:rFonts w:hint="eastAsia" w:eastAsia="黑体" w:cs="Times New Roman"/>
          <w:lang w:val="en-US" w:eastAsia="zh-CN"/>
        </w:rPr>
      </w:pPr>
      <w:r>
        <w:rPr>
          <w:rFonts w:hint="eastAsia" w:eastAsia="黑体" w:cs="Times New Roman"/>
          <w:lang w:val="en-US" w:eastAsia="zh-CN"/>
        </w:rPr>
        <w:t>（二）学校职能职责</w:t>
      </w:r>
    </w:p>
    <w:p w14:paraId="29E4ECF4">
      <w:pPr>
        <w:pStyle w:val="3"/>
        <w:numPr>
          <w:ilvl w:val="0"/>
          <w:numId w:val="0"/>
        </w:numPr>
        <w:rPr>
          <w:rFonts w:hint="default" w:ascii="宋体" w:hAnsi="宋体" w:cs="Times New Roman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kern w:val="0"/>
          <w:sz w:val="30"/>
          <w:szCs w:val="30"/>
          <w:lang w:val="en-US" w:eastAsia="zh-CN"/>
        </w:rPr>
        <w:t xml:space="preserve">      高中阶段教学。</w:t>
      </w:r>
    </w:p>
    <w:p w14:paraId="50E0B271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二、一般公共预算支出情况</w:t>
      </w:r>
    </w:p>
    <w:p w14:paraId="5A80A5BF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（一）基本支出情况</w:t>
      </w:r>
    </w:p>
    <w:p w14:paraId="66726B0B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/>
          <w:sz w:val="30"/>
          <w:szCs w:val="30"/>
        </w:rPr>
        <w:t>年基本支出</w:t>
      </w:r>
      <w:r>
        <w:rPr>
          <w:rFonts w:hint="eastAsia" w:ascii="宋体" w:hAnsi="宋体"/>
          <w:sz w:val="30"/>
          <w:szCs w:val="30"/>
          <w:lang w:val="en-US" w:eastAsia="zh-CN"/>
        </w:rPr>
        <w:t>4112.63</w:t>
      </w:r>
      <w:r>
        <w:rPr>
          <w:rFonts w:hint="eastAsia" w:ascii="宋体" w:hAnsi="宋体" w:eastAsia="宋体"/>
          <w:sz w:val="30"/>
          <w:szCs w:val="30"/>
        </w:rPr>
        <w:t>万元；其中</w:t>
      </w:r>
      <w:r>
        <w:rPr>
          <w:rFonts w:hint="eastAsia" w:ascii="宋体" w:hAnsi="宋体"/>
          <w:sz w:val="30"/>
          <w:szCs w:val="30"/>
          <w:lang w:val="en-US" w:eastAsia="zh-CN"/>
        </w:rPr>
        <w:t>人员经费</w:t>
      </w:r>
      <w:r>
        <w:rPr>
          <w:rFonts w:hint="eastAsia" w:ascii="宋体" w:hAnsi="宋体" w:eastAsia="宋体"/>
          <w:sz w:val="30"/>
          <w:szCs w:val="30"/>
        </w:rPr>
        <w:t>支出</w:t>
      </w:r>
      <w:r>
        <w:rPr>
          <w:rFonts w:hint="eastAsia" w:ascii="宋体" w:hAnsi="宋体"/>
          <w:sz w:val="30"/>
          <w:szCs w:val="30"/>
          <w:lang w:val="en-US" w:eastAsia="zh-CN"/>
        </w:rPr>
        <w:t>4061.29</w:t>
      </w:r>
      <w:r>
        <w:rPr>
          <w:rFonts w:hint="eastAsia" w:ascii="宋体" w:hAnsi="宋体" w:eastAsia="宋体"/>
          <w:sz w:val="30"/>
          <w:szCs w:val="30"/>
        </w:rPr>
        <w:t>万元，</w:t>
      </w:r>
      <w:r>
        <w:rPr>
          <w:rFonts w:hint="eastAsia" w:ascii="宋体" w:hAnsi="宋体"/>
          <w:sz w:val="30"/>
          <w:szCs w:val="30"/>
          <w:lang w:val="en-US" w:eastAsia="zh-CN"/>
        </w:rPr>
        <w:t>公用经费</w:t>
      </w:r>
      <w:r>
        <w:rPr>
          <w:rFonts w:hint="eastAsia" w:ascii="宋体" w:hAnsi="宋体" w:eastAsia="宋体"/>
          <w:sz w:val="30"/>
          <w:szCs w:val="30"/>
        </w:rPr>
        <w:t>支出</w:t>
      </w:r>
      <w:r>
        <w:rPr>
          <w:rFonts w:hint="eastAsia" w:ascii="宋体" w:hAnsi="宋体"/>
          <w:sz w:val="30"/>
          <w:szCs w:val="30"/>
          <w:lang w:val="en-US" w:eastAsia="zh-CN"/>
        </w:rPr>
        <w:t>51.34</w:t>
      </w:r>
      <w:r>
        <w:rPr>
          <w:rFonts w:hint="eastAsia" w:ascii="宋体" w:hAnsi="宋体" w:eastAsia="宋体"/>
          <w:sz w:val="30"/>
          <w:szCs w:val="30"/>
        </w:rPr>
        <w:t>万元。</w:t>
      </w:r>
    </w:p>
    <w:p w14:paraId="1CC9E442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highlight w:val="none"/>
        </w:rPr>
        <w:t>项目支出情况</w:t>
      </w:r>
    </w:p>
    <w:p w14:paraId="19C5824B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default" w:ascii="Times New Roman" w:hAnsi="Times New Roman" w:eastAsia="宋体" w:cs="Times New Roman"/>
          <w:b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202</w:t>
      </w:r>
      <w:r>
        <w:rPr>
          <w:rFonts w:hint="eastAsia" w:ascii="宋体" w:hAnsi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/>
          <w:sz w:val="30"/>
          <w:szCs w:val="30"/>
        </w:rPr>
        <w:t>年项目支出</w:t>
      </w:r>
      <w:r>
        <w:rPr>
          <w:rFonts w:hint="eastAsia" w:ascii="宋体" w:hAnsi="宋体"/>
          <w:sz w:val="30"/>
          <w:szCs w:val="30"/>
          <w:lang w:val="en-US" w:eastAsia="zh-CN"/>
        </w:rPr>
        <w:t>452.77</w:t>
      </w:r>
      <w:r>
        <w:rPr>
          <w:rFonts w:hint="eastAsia" w:ascii="宋体" w:hAnsi="宋体" w:eastAsia="宋体"/>
          <w:sz w:val="30"/>
          <w:szCs w:val="30"/>
        </w:rPr>
        <w:t>万元，其中</w:t>
      </w:r>
      <w:r>
        <w:rPr>
          <w:rFonts w:hint="eastAsia" w:ascii="宋体" w:hAnsi="宋体"/>
          <w:sz w:val="30"/>
          <w:szCs w:val="30"/>
          <w:lang w:val="en-US" w:eastAsia="zh-CN"/>
        </w:rPr>
        <w:t>市级专项资金生均经费175万、保安费24万、红色研学补助资金30万、安全隐患排查19.22万、保障房建设资金197.3万、教师校长培训经费4万、基础教育发展专项2.82万元、教育综合专项资金0.43万，</w:t>
      </w:r>
      <w:r>
        <w:rPr>
          <w:rFonts w:hint="eastAsia" w:ascii="宋体" w:hAnsi="宋体" w:eastAsia="宋体"/>
          <w:sz w:val="30"/>
          <w:szCs w:val="30"/>
        </w:rPr>
        <w:t>项目资金全部</w:t>
      </w:r>
      <w:r>
        <w:rPr>
          <w:rFonts w:hint="eastAsia" w:ascii="宋体" w:hAnsi="宋体"/>
          <w:sz w:val="30"/>
          <w:szCs w:val="30"/>
          <w:lang w:val="en-US" w:eastAsia="zh-CN"/>
        </w:rPr>
        <w:t>专款专用，用于建设、保安费等支出。</w:t>
      </w:r>
    </w:p>
    <w:p w14:paraId="2C47D4F7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政府性基金预算支出情况</w:t>
      </w:r>
    </w:p>
    <w:p w14:paraId="6B098612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="宋体" w:hAnsi="宋体" w:cs="Times New Roman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sz w:val="30"/>
          <w:szCs w:val="30"/>
          <w:lang w:val="en-US" w:eastAsia="zh-CN"/>
        </w:rPr>
        <w:t>无</w:t>
      </w:r>
    </w:p>
    <w:p w14:paraId="36BE02E4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国有资本经营预算支出情况</w:t>
      </w:r>
    </w:p>
    <w:p w14:paraId="7D61987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="宋体" w:hAnsi="宋体" w:cs="Times New Roman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sz w:val="30"/>
          <w:szCs w:val="30"/>
          <w:lang w:val="en-US" w:eastAsia="zh-CN"/>
        </w:rPr>
        <w:t>无</w:t>
      </w:r>
    </w:p>
    <w:p w14:paraId="34FC408E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社会保险基金预算支出情况</w:t>
      </w:r>
    </w:p>
    <w:p w14:paraId="6C96E164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 w:firstLineChars="200"/>
        <w:jc w:val="both"/>
        <w:textAlignment w:val="auto"/>
        <w:rPr>
          <w:rFonts w:hint="eastAsia" w:ascii="宋体" w:hAnsi="宋体" w:cs="Times New Roman"/>
          <w:sz w:val="30"/>
          <w:szCs w:val="30"/>
          <w:lang w:val="en-US" w:eastAsia="zh-CN"/>
        </w:rPr>
      </w:pPr>
      <w:r>
        <w:rPr>
          <w:rFonts w:hint="eastAsia" w:ascii="宋体" w:hAnsi="宋体" w:cs="Times New Roman"/>
          <w:sz w:val="30"/>
          <w:szCs w:val="30"/>
          <w:lang w:val="en-US" w:eastAsia="zh-CN"/>
        </w:rPr>
        <w:t>无</w:t>
      </w:r>
    </w:p>
    <w:p w14:paraId="49B3634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部门整体支出绩效情况</w:t>
      </w:r>
    </w:p>
    <w:p w14:paraId="2B6C9559">
      <w:pPr>
        <w:ind w:firstLine="560" w:firstLineChars="200"/>
        <w:rPr>
          <w:rFonts w:hint="default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2025年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累计开展教研组长研究课、党员教师示范课、青年教师竞赛课、新教师亮相课等各类公开课100余节，实现学段学科全覆盖。积极参加国家、省市组织的各类教学竞赛活动，学校被评为2025年全市基础教育精品课优秀组织单位，朱莉、陈依婷2位教师获评教育部精品课，付扬、李兰子等6位老师荣获省级精品课。新增1项省级、3项市级课题，完成1项省级、4项市级课题，实现课题研究良性循环。物理学科获评岳阳市优秀教研组，张利辉英语市级名师工作室成功挂牌。曹芬老师获岳阳市“金鹗杯”教学竞赛第一名，周希、邓生卫等教师在“金鹗杯”教学竞赛中获奖，夏天、邵筱迪等教师在全市青教赛中获奖，近50位教师的论文在《基础教育参考》等权威期刊上发表、获奖，1人获省级教研成果三等奖。学校龙狮团获湖南省舞龙舞狮锦标赛彩带龙项目第一名，廖郭承、续志豪、罗昕怡分获湖南省“三独”比赛独奏、独唱、独舞的一、二、三等奖，李雯获湖南省中运会集体爵士舞比赛第四名，李一帆获岳阳市中运会跳远铜牌。全校2025届艺体生共38人，本科上线率100%，10人被985、211高校录取。2025年高考特控上线率60.84%，本科上线率94.08%，教学质量继续保持在高位态势。2025年12月，在湖南省高中学校现场督导评估工作中，我校获评优秀等次。2025年，学校在《岳阳日报》等主流媒体刊发通讯报道、典型经验10余篇，推介李丽辉、金文斌等优秀教师7名。周景涛被评为岳阳市“十佳教师”，夏天被评为岳阳市“优秀教师”，伏言艳等30位教师受到市人社局嘉奖，刘勋等21位教师被授予学校“特别贡献奖”“双十佳”教师称号。完善教育教学质量激励机制。每学期评选优秀班级、教研组、备课组，提振教职工工作热情。全年引进优秀教职工15人，启动新一轮岗位设置调整新增中、高级岗位职数10个，争取职评指标高级9个、中级13个，办理岗位晋升与聘用手续近50人次，提升教师获得感。2025年，学校统筹投入6000余万元，完成1-4栋学生寝室标准化改造，两栋新建教学楼主体工程顺利完工；投入45万元更新改造学生食堂设备，投入270万元建成高考标准化监控系统，办学硬件条件稳步提升。规范食堂管理，严格把控食品采购、加工、卫生全流程，全面推行“明厨亮灶”，定期召开膳食委员会会议，邀请家长代表陪餐，动态优化菜品，全力保障师生饮食安全。完成学生公寓热水系统升级，切实改善学生住宿洗浴条件。成功举办第一次“校友返校日”活动，近600名优秀毕业生返校参与，“岳阳晚报”与“岳阳中学”双平台线上直播观看人数超过2万人。进一步完善校友信息数据库，成功组建13个届次的同学会，搭建了校友交流联络平台。持续优化“最美岳中人”专栏，累计推介优秀校友16人，激励岳中学子奋发向上。</w:t>
      </w:r>
    </w:p>
    <w:p w14:paraId="1E84B642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、存在的问题及原因分析</w:t>
      </w:r>
    </w:p>
    <w:p w14:paraId="6813E00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left="0" w:right="0" w:firstLine="420"/>
        <w:jc w:val="both"/>
        <w:textAlignment w:val="center"/>
        <w:rPr>
          <w:rFonts w:hint="eastAsia" w:ascii="宋体" w:hAnsi="宋体" w:eastAsia="宋体" w:cs="Times New Roman"/>
          <w:kern w:val="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Times New Roman"/>
          <w:kern w:val="0"/>
          <w:sz w:val="30"/>
          <w:szCs w:val="30"/>
          <w:lang w:val="en-US" w:eastAsia="zh-CN" w:bidi="ar-SA"/>
        </w:rPr>
        <w:t>1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kern w:val="0"/>
          <w:sz w:val="30"/>
          <w:szCs w:val="30"/>
          <w:lang w:val="en-US" w:eastAsia="zh-CN" w:bidi="ar-SA"/>
        </w:rPr>
        <w:t>部分预算绩效管理工作开展不到位，预算绩效管理意识有待提高。一是绩效目标编制不完整。二是绩效指标类别划分不准确、部分绩效指标量化程度不高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 w:bidi="ar-SA"/>
        </w:rPr>
        <w:t>。</w:t>
      </w:r>
      <w:bookmarkStart w:id="0" w:name="_GoBack"/>
      <w:bookmarkEnd w:id="0"/>
    </w:p>
    <w:p w14:paraId="2BCDBD1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40" w:lineRule="atLeast"/>
        <w:ind w:left="0" w:right="0" w:firstLine="420"/>
        <w:jc w:val="both"/>
        <w:textAlignment w:val="center"/>
        <w:rPr>
          <w:rFonts w:hint="default" w:ascii="宋体" w:hAnsi="宋体" w:eastAsia="宋体" w:cs="Times New Roman"/>
          <w:kern w:val="0"/>
          <w:sz w:val="30"/>
          <w:szCs w:val="30"/>
          <w:lang w:val="en-US" w:eastAsia="zh-CN" w:bidi="ar-SA"/>
        </w:rPr>
      </w:pPr>
      <w:r>
        <w:rPr>
          <w:rFonts w:hint="default" w:ascii="宋体" w:hAnsi="宋体" w:eastAsia="宋体" w:cs="Times New Roman"/>
          <w:kern w:val="0"/>
          <w:sz w:val="30"/>
          <w:szCs w:val="30"/>
          <w:lang w:val="en-US" w:eastAsia="zh-CN" w:bidi="ar-SA"/>
        </w:rPr>
        <w:t>2</w:t>
      </w:r>
      <w:r>
        <w:rPr>
          <w:rFonts w:hint="eastAsia" w:ascii="宋体" w:hAnsi="宋体" w:cs="Times New Roman"/>
          <w:kern w:val="0"/>
          <w:sz w:val="30"/>
          <w:szCs w:val="30"/>
          <w:lang w:val="en-US" w:eastAsia="zh-CN" w:bidi="ar-SA"/>
        </w:rPr>
        <w:t>、</w:t>
      </w:r>
      <w:r>
        <w:rPr>
          <w:rFonts w:hint="default" w:ascii="宋体" w:hAnsi="宋体" w:eastAsia="宋体" w:cs="Times New Roman"/>
          <w:kern w:val="0"/>
          <w:sz w:val="30"/>
          <w:szCs w:val="30"/>
          <w:lang w:val="en-US" w:eastAsia="zh-CN" w:bidi="ar-SA"/>
        </w:rPr>
        <w:t>绩效自评工作开展不到位。一是部门绩效管理理念还未深入，预算绩效管理主体意识不强，部门未将预算绩效管理作为加强预算管理，提升资金使用绩效的有效管理模式，绩效管理工作大都为被动应付，存在被财政推着走的情况。二是部门内部协调机制不完善，绩效自评工作各相关业务处室配合有待加强。</w:t>
      </w:r>
    </w:p>
    <w:p w14:paraId="49CFD0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七、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 w:bidi="ar-SA"/>
        </w:rPr>
        <w:t>下一步改进措施</w:t>
      </w:r>
    </w:p>
    <w:p w14:paraId="4692992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Style w:val="12"/>
          <w:rFonts w:hint="eastAsia" w:ascii="宋体" w:hAnsi="宋体" w:eastAsia="宋体" w:cs="宋体"/>
          <w:sz w:val="30"/>
          <w:szCs w:val="30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>1、</w:t>
      </w:r>
      <w:r>
        <w:rPr>
          <w:rStyle w:val="12"/>
          <w:rFonts w:hint="eastAsia" w:ascii="宋体" w:hAnsi="宋体" w:eastAsia="宋体" w:cs="宋体"/>
          <w:sz w:val="30"/>
          <w:szCs w:val="30"/>
        </w:rPr>
        <w:t>切实做好预算编制工作，做好本单位情况调查，仔细测算部门资金需求，努力使预算资金合理。及时支出资金，减少部门资金结转</w:t>
      </w:r>
      <w:r>
        <w:rPr>
          <w:rStyle w:val="12"/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Style w:val="12"/>
          <w:rFonts w:hint="eastAsia" w:ascii="宋体" w:hAnsi="宋体" w:eastAsia="宋体" w:cs="宋体"/>
          <w:sz w:val="30"/>
          <w:szCs w:val="30"/>
        </w:rPr>
        <w:t>进一步控制项目经费支出，在确保各项任务完成的同时，力争把成本降底。</w:t>
      </w:r>
    </w:p>
    <w:p w14:paraId="3B18BD5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>2、进一步建立健全财务制度，规范财务管理，规范教育教学行为；提高教育教学质量，加强校园文化建设，加强学校廉政建设。</w:t>
      </w:r>
    </w:p>
    <w:p w14:paraId="3EAE4069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/>
        <w:jc w:val="both"/>
        <w:textAlignment w:val="auto"/>
        <w:rPr>
          <w:rStyle w:val="12"/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>3、加强固定资产的管理，安排专人专管固定资产的盘点，及时办理固定资产的处置和下账手续。</w:t>
      </w:r>
    </w:p>
    <w:p w14:paraId="3164C6AA">
      <w:pPr>
        <w:pStyle w:val="6"/>
        <w:widowControl/>
        <w:spacing w:line="360" w:lineRule="auto"/>
        <w:rPr>
          <w:rFonts w:hint="default"/>
        </w:rPr>
      </w:pPr>
      <w:r>
        <w:rPr>
          <w:rStyle w:val="12"/>
          <w:rFonts w:hint="eastAsia" w:ascii="宋体" w:hAnsi="宋体" w:eastAsia="宋体" w:cs="宋体"/>
          <w:sz w:val="30"/>
          <w:szCs w:val="30"/>
          <w:lang w:val="en-US" w:eastAsia="zh-CN"/>
        </w:rPr>
        <w:t xml:space="preserve">4、加强学校财会人员专业知识培训，认真做好学校年初预算和年终决算。 </w:t>
      </w:r>
    </w:p>
    <w:p w14:paraId="34354B4D">
      <w:pPr>
        <w:pStyle w:val="3"/>
        <w:numPr>
          <w:ilvl w:val="0"/>
          <w:numId w:val="0"/>
        </w:numPr>
        <w:rPr>
          <w:rFonts w:hint="default"/>
        </w:rPr>
      </w:pPr>
    </w:p>
    <w:p w14:paraId="47C60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36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145399"/>
    <w:multiLevelType w:val="singleLevel"/>
    <w:tmpl w:val="F51453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4A527A"/>
    <w:multiLevelType w:val="singleLevel"/>
    <w:tmpl w:val="2B4A527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kOTEwM2ZhMWEyMjI0ODRhNDZhNGI4OTU5YTcwMGQifQ=="/>
  </w:docVars>
  <w:rsids>
    <w:rsidRoot w:val="59886344"/>
    <w:rsid w:val="001A64C4"/>
    <w:rsid w:val="007756C4"/>
    <w:rsid w:val="00F46D15"/>
    <w:rsid w:val="03092820"/>
    <w:rsid w:val="03325783"/>
    <w:rsid w:val="045D2E23"/>
    <w:rsid w:val="051756C8"/>
    <w:rsid w:val="054F6C10"/>
    <w:rsid w:val="057463DD"/>
    <w:rsid w:val="05D80D8E"/>
    <w:rsid w:val="06A74829"/>
    <w:rsid w:val="075D0ABA"/>
    <w:rsid w:val="09633E01"/>
    <w:rsid w:val="0A185B43"/>
    <w:rsid w:val="0B24469B"/>
    <w:rsid w:val="0B3643CE"/>
    <w:rsid w:val="0B8415DD"/>
    <w:rsid w:val="0C99065C"/>
    <w:rsid w:val="0C9F6722"/>
    <w:rsid w:val="0E010CC3"/>
    <w:rsid w:val="0FEF4BCE"/>
    <w:rsid w:val="114A472F"/>
    <w:rsid w:val="13C5646C"/>
    <w:rsid w:val="13E42C19"/>
    <w:rsid w:val="142C6562"/>
    <w:rsid w:val="14C417D6"/>
    <w:rsid w:val="15007E69"/>
    <w:rsid w:val="15B4486D"/>
    <w:rsid w:val="15FE79D5"/>
    <w:rsid w:val="17190E9B"/>
    <w:rsid w:val="17780F13"/>
    <w:rsid w:val="17D2722C"/>
    <w:rsid w:val="183733A5"/>
    <w:rsid w:val="192A7EDE"/>
    <w:rsid w:val="19E258CB"/>
    <w:rsid w:val="1A025291"/>
    <w:rsid w:val="1A681362"/>
    <w:rsid w:val="1A7840BB"/>
    <w:rsid w:val="1AD012B3"/>
    <w:rsid w:val="1AEF01CD"/>
    <w:rsid w:val="1B0C7E97"/>
    <w:rsid w:val="1BF61F9E"/>
    <w:rsid w:val="1C1167ED"/>
    <w:rsid w:val="1C2564C4"/>
    <w:rsid w:val="1C737230"/>
    <w:rsid w:val="1D24052A"/>
    <w:rsid w:val="1D5E639E"/>
    <w:rsid w:val="1DD45AAC"/>
    <w:rsid w:val="1F825A1C"/>
    <w:rsid w:val="1FB913FE"/>
    <w:rsid w:val="20A97314"/>
    <w:rsid w:val="211D01F5"/>
    <w:rsid w:val="2322375E"/>
    <w:rsid w:val="232F19D7"/>
    <w:rsid w:val="236F14A0"/>
    <w:rsid w:val="23971A56"/>
    <w:rsid w:val="244760E7"/>
    <w:rsid w:val="26551754"/>
    <w:rsid w:val="27BD3A55"/>
    <w:rsid w:val="28701A4C"/>
    <w:rsid w:val="28D9041B"/>
    <w:rsid w:val="292875F4"/>
    <w:rsid w:val="2A491B8F"/>
    <w:rsid w:val="2BBA24C8"/>
    <w:rsid w:val="2CBA67B5"/>
    <w:rsid w:val="2CC905FA"/>
    <w:rsid w:val="2CF03F85"/>
    <w:rsid w:val="2D5868E6"/>
    <w:rsid w:val="2E6115DE"/>
    <w:rsid w:val="2EC821E8"/>
    <w:rsid w:val="2EF633DD"/>
    <w:rsid w:val="30635EB2"/>
    <w:rsid w:val="31C31139"/>
    <w:rsid w:val="33541711"/>
    <w:rsid w:val="33B0446E"/>
    <w:rsid w:val="344C23E9"/>
    <w:rsid w:val="34CB7D11"/>
    <w:rsid w:val="35D703D8"/>
    <w:rsid w:val="36D96797"/>
    <w:rsid w:val="37184804"/>
    <w:rsid w:val="383C09C6"/>
    <w:rsid w:val="397D4DF2"/>
    <w:rsid w:val="39900B23"/>
    <w:rsid w:val="3A454464"/>
    <w:rsid w:val="3B035F88"/>
    <w:rsid w:val="3B1244CA"/>
    <w:rsid w:val="3BBD3BCC"/>
    <w:rsid w:val="3BF02E40"/>
    <w:rsid w:val="3C94492D"/>
    <w:rsid w:val="3D37175C"/>
    <w:rsid w:val="3F7647BE"/>
    <w:rsid w:val="40696450"/>
    <w:rsid w:val="40E439A9"/>
    <w:rsid w:val="41076634"/>
    <w:rsid w:val="418C3694"/>
    <w:rsid w:val="42116A20"/>
    <w:rsid w:val="421D7172"/>
    <w:rsid w:val="42B23A97"/>
    <w:rsid w:val="42F26851"/>
    <w:rsid w:val="437F3693"/>
    <w:rsid w:val="44B55D88"/>
    <w:rsid w:val="461E795D"/>
    <w:rsid w:val="463A4DB0"/>
    <w:rsid w:val="46460D8B"/>
    <w:rsid w:val="47133C7C"/>
    <w:rsid w:val="474433F3"/>
    <w:rsid w:val="481132D5"/>
    <w:rsid w:val="48384D06"/>
    <w:rsid w:val="488245AC"/>
    <w:rsid w:val="496A4C88"/>
    <w:rsid w:val="4B1A3CF3"/>
    <w:rsid w:val="4BBA0A13"/>
    <w:rsid w:val="4BC62629"/>
    <w:rsid w:val="4BE55525"/>
    <w:rsid w:val="4C056897"/>
    <w:rsid w:val="4C0B2731"/>
    <w:rsid w:val="4C3671BE"/>
    <w:rsid w:val="4D20568C"/>
    <w:rsid w:val="4D736DAD"/>
    <w:rsid w:val="4DBA440F"/>
    <w:rsid w:val="4E141D71"/>
    <w:rsid w:val="50E33C7D"/>
    <w:rsid w:val="513A0A09"/>
    <w:rsid w:val="51F4282F"/>
    <w:rsid w:val="52FD0DA0"/>
    <w:rsid w:val="54135F2C"/>
    <w:rsid w:val="55517407"/>
    <w:rsid w:val="55AA5B7C"/>
    <w:rsid w:val="561F7505"/>
    <w:rsid w:val="56A95021"/>
    <w:rsid w:val="56DC53F6"/>
    <w:rsid w:val="575C2093"/>
    <w:rsid w:val="578C7EF1"/>
    <w:rsid w:val="578D66F1"/>
    <w:rsid w:val="58B33F35"/>
    <w:rsid w:val="58BA52C3"/>
    <w:rsid w:val="59575208"/>
    <w:rsid w:val="597A4A53"/>
    <w:rsid w:val="59886344"/>
    <w:rsid w:val="59EC3BA2"/>
    <w:rsid w:val="5A9D48EE"/>
    <w:rsid w:val="5B9964EB"/>
    <w:rsid w:val="5C735EB5"/>
    <w:rsid w:val="5CD32DF8"/>
    <w:rsid w:val="5D211231"/>
    <w:rsid w:val="5D603322"/>
    <w:rsid w:val="5DB13D45"/>
    <w:rsid w:val="5DE15290"/>
    <w:rsid w:val="5E686551"/>
    <w:rsid w:val="5E83071A"/>
    <w:rsid w:val="5EB56C59"/>
    <w:rsid w:val="5F78517A"/>
    <w:rsid w:val="62D2481D"/>
    <w:rsid w:val="63381C06"/>
    <w:rsid w:val="633A597E"/>
    <w:rsid w:val="635D759B"/>
    <w:rsid w:val="63C4349A"/>
    <w:rsid w:val="648B4CAB"/>
    <w:rsid w:val="651D0E7E"/>
    <w:rsid w:val="66652D12"/>
    <w:rsid w:val="67892A30"/>
    <w:rsid w:val="68BB130F"/>
    <w:rsid w:val="68C9702B"/>
    <w:rsid w:val="69A77022"/>
    <w:rsid w:val="69C9180A"/>
    <w:rsid w:val="6A5E63F6"/>
    <w:rsid w:val="6A872468"/>
    <w:rsid w:val="6AAB2A3F"/>
    <w:rsid w:val="6BB2532B"/>
    <w:rsid w:val="6BB3667B"/>
    <w:rsid w:val="6C006F3E"/>
    <w:rsid w:val="6D3D333B"/>
    <w:rsid w:val="6DAD4F9F"/>
    <w:rsid w:val="6DF467DC"/>
    <w:rsid w:val="6E3722BA"/>
    <w:rsid w:val="6EB1736F"/>
    <w:rsid w:val="6EBC10DE"/>
    <w:rsid w:val="6EF72976"/>
    <w:rsid w:val="702F331C"/>
    <w:rsid w:val="70822713"/>
    <w:rsid w:val="72281098"/>
    <w:rsid w:val="72BA2638"/>
    <w:rsid w:val="72FB7765"/>
    <w:rsid w:val="742D7FE0"/>
    <w:rsid w:val="74AC1392"/>
    <w:rsid w:val="74BB07F6"/>
    <w:rsid w:val="74CC6652"/>
    <w:rsid w:val="761E2236"/>
    <w:rsid w:val="76720C7F"/>
    <w:rsid w:val="76DB2B7D"/>
    <w:rsid w:val="77C96E79"/>
    <w:rsid w:val="78EC2E1F"/>
    <w:rsid w:val="78FE3CBC"/>
    <w:rsid w:val="795211FE"/>
    <w:rsid w:val="7A47775E"/>
    <w:rsid w:val="7B246BFA"/>
    <w:rsid w:val="7BCA5A93"/>
    <w:rsid w:val="7BDD2EF3"/>
    <w:rsid w:val="7CE34539"/>
    <w:rsid w:val="7D0D42FB"/>
    <w:rsid w:val="7EF26CB5"/>
    <w:rsid w:val="7F13151C"/>
    <w:rsid w:val="7F26481D"/>
    <w:rsid w:val="7FA5698C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qFormat/>
    <w:uiPriority w:val="99"/>
    <w:pPr>
      <w:ind w:firstLine="420" w:firstLine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rFonts w:hint="eastAsia" w:ascii="Calibri" w:hAnsi="Calibri" w:eastAsia="宋体" w:cs="Calibri"/>
      <w:sz w:val="18"/>
      <w:szCs w:val="21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1">
    <w:name w:val="Heading1"/>
    <w:basedOn w:val="1"/>
    <w:next w:val="1"/>
    <w:qFormat/>
    <w:uiPriority w:val="99"/>
    <w:pPr>
      <w:keepNext/>
      <w:keepLines/>
      <w:spacing w:before="340" w:after="330" w:line="578" w:lineRule="auto"/>
    </w:pPr>
    <w:rPr>
      <w:b/>
      <w:bCs/>
      <w:kern w:val="44"/>
      <w:sz w:val="44"/>
      <w:szCs w:val="44"/>
    </w:rPr>
  </w:style>
  <w:style w:type="character" w:customStyle="1" w:styleId="12">
    <w:name w:val="ca-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694</Words>
  <Characters>906</Characters>
  <Lines>0</Lines>
  <Paragraphs>0</Paragraphs>
  <TotalTime>76</TotalTime>
  <ScaleCrop>false</ScaleCrop>
  <LinksUpToDate>false</LinksUpToDate>
  <CharactersWithSpaces>1021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yin荟</cp:lastModifiedBy>
  <cp:lastPrinted>2026-06-25T01:49:30Z</cp:lastPrinted>
  <dcterms:modified xsi:type="dcterms:W3CDTF">2026-06-25T01:58:41Z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FD0BFFE1F73046B799368CE7546ABE6F_13</vt:lpwstr>
  </property>
  <property fmtid="{D5CDD505-2E9C-101B-9397-08002B2CF9AE}" pid="4" name="KSOTemplateDocerSaveRecord">
    <vt:lpwstr>eyJoZGlkIjoiNzgyNjc5MzY1MjFlODhiOTdjNWI4NTBjZDVmNTA3YzMiLCJ1c2VySWQiOiIxMjU2NDgxODYxIn0=</vt:lpwstr>
  </property>
</Properties>
</file>