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8B6B4">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color w:val="auto"/>
          <w:sz w:val="52"/>
          <w:szCs w:val="52"/>
          <w:highlight w:val="none"/>
        </w:rPr>
      </w:pPr>
      <w:bookmarkStart w:id="0" w:name="_GoBack"/>
    </w:p>
    <w:p w14:paraId="5C3F75C8">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rPr>
        <w:t>202</w:t>
      </w:r>
      <w:r>
        <w:rPr>
          <w:rFonts w:hint="eastAsia" w:ascii="方正小标宋简体" w:hAnsi="方正小标宋简体" w:eastAsia="方正小标宋简体" w:cs="方正小标宋简体"/>
          <w:color w:val="auto"/>
          <w:sz w:val="44"/>
          <w:szCs w:val="44"/>
          <w:highlight w:val="none"/>
          <w:lang w:val="en-US" w:eastAsia="zh-CN"/>
        </w:rPr>
        <w:t>5</w:t>
      </w:r>
      <w:r>
        <w:rPr>
          <w:rFonts w:hint="eastAsia" w:ascii="方正小标宋简体" w:hAnsi="方正小标宋简体" w:eastAsia="方正小标宋简体" w:cs="方正小标宋简体"/>
          <w:color w:val="auto"/>
          <w:sz w:val="44"/>
          <w:szCs w:val="44"/>
          <w:highlight w:val="none"/>
        </w:rPr>
        <w:t>年度</w:t>
      </w:r>
      <w:r>
        <w:rPr>
          <w:rFonts w:hint="eastAsia" w:ascii="方正小标宋简体" w:hAnsi="方正小标宋简体" w:eastAsia="方正小标宋简体" w:cs="方正小标宋简体"/>
          <w:color w:val="auto"/>
          <w:sz w:val="44"/>
          <w:szCs w:val="44"/>
          <w:highlight w:val="none"/>
          <w:lang w:eastAsia="zh-CN"/>
        </w:rPr>
        <w:t>岳阳市教育科学技术研究院</w:t>
      </w:r>
    </w:p>
    <w:p w14:paraId="719DFA89">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整体支出绩效自评报告</w:t>
      </w:r>
    </w:p>
    <w:p w14:paraId="78D7ADC4">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b/>
          <w:color w:val="auto"/>
          <w:sz w:val="52"/>
          <w:szCs w:val="52"/>
          <w:highlight w:val="none"/>
        </w:rPr>
      </w:pPr>
    </w:p>
    <w:p w14:paraId="25016BF7">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color w:val="auto"/>
          <w:sz w:val="32"/>
          <w:szCs w:val="32"/>
          <w:highlight w:val="none"/>
        </w:rPr>
      </w:pPr>
    </w:p>
    <w:p w14:paraId="22B97AAE">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color w:val="auto"/>
          <w:sz w:val="32"/>
          <w:szCs w:val="32"/>
          <w:highlight w:val="none"/>
        </w:rPr>
      </w:pPr>
    </w:p>
    <w:p w14:paraId="071BD71C">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color w:val="auto"/>
          <w:sz w:val="32"/>
          <w:szCs w:val="32"/>
          <w:highlight w:val="none"/>
        </w:rPr>
      </w:pPr>
    </w:p>
    <w:p w14:paraId="395A9457">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color w:val="auto"/>
          <w:sz w:val="32"/>
          <w:szCs w:val="32"/>
          <w:highlight w:val="none"/>
        </w:rPr>
      </w:pPr>
    </w:p>
    <w:p w14:paraId="340CCB44">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color w:val="auto"/>
          <w:sz w:val="32"/>
          <w:szCs w:val="32"/>
          <w:highlight w:val="none"/>
        </w:rPr>
      </w:pPr>
    </w:p>
    <w:p w14:paraId="7C14B7AF">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color w:val="auto"/>
          <w:sz w:val="32"/>
          <w:szCs w:val="32"/>
          <w:highlight w:val="none"/>
        </w:rPr>
      </w:pPr>
    </w:p>
    <w:p w14:paraId="62DD4905">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color w:val="auto"/>
          <w:sz w:val="32"/>
          <w:szCs w:val="32"/>
          <w:highlight w:val="none"/>
        </w:rPr>
      </w:pPr>
    </w:p>
    <w:p w14:paraId="4F60E4A2">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color w:val="auto"/>
          <w:sz w:val="32"/>
          <w:szCs w:val="32"/>
          <w:highlight w:val="none"/>
        </w:rPr>
      </w:pPr>
    </w:p>
    <w:p w14:paraId="6A2E6CD5">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color w:val="auto"/>
          <w:sz w:val="32"/>
          <w:szCs w:val="32"/>
          <w:highlight w:val="none"/>
        </w:rPr>
      </w:pPr>
    </w:p>
    <w:p w14:paraId="5C8872D5">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color w:val="auto"/>
          <w:sz w:val="32"/>
          <w:szCs w:val="32"/>
          <w:highlight w:val="none"/>
        </w:rPr>
      </w:pPr>
    </w:p>
    <w:p w14:paraId="7AF3DB87">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color w:val="auto"/>
          <w:sz w:val="32"/>
          <w:szCs w:val="32"/>
          <w:highlight w:val="none"/>
        </w:rPr>
      </w:pPr>
    </w:p>
    <w:p w14:paraId="720FB1F9">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color w:val="auto"/>
          <w:sz w:val="32"/>
          <w:szCs w:val="32"/>
          <w:highlight w:val="none"/>
        </w:rPr>
      </w:pPr>
    </w:p>
    <w:p w14:paraId="1C05F750">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color w:val="auto"/>
          <w:sz w:val="32"/>
          <w:szCs w:val="32"/>
          <w:highlight w:val="none"/>
        </w:rPr>
      </w:pPr>
    </w:p>
    <w:p w14:paraId="6121CB9A">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color w:val="auto"/>
          <w:sz w:val="32"/>
          <w:szCs w:val="32"/>
          <w:highlight w:val="none"/>
          <w:u w:val="single"/>
          <w:lang w:eastAsia="zh-CN"/>
        </w:rPr>
      </w:pPr>
      <w:r>
        <w:rPr>
          <w:rFonts w:hint="default" w:ascii="Times New Roman" w:hAnsi="Times New Roman" w:eastAsia="仿宋_GB2312" w:cs="Times New Roman"/>
          <w:color w:val="auto"/>
          <w:sz w:val="32"/>
          <w:szCs w:val="32"/>
          <w:highlight w:val="none"/>
        </w:rPr>
        <w:t>部门（单位）名称：</w:t>
      </w:r>
      <w:r>
        <w:rPr>
          <w:rFonts w:hint="eastAsia" w:eastAsia="仿宋_GB2312" w:cs="Times New Roman"/>
          <w:color w:val="auto"/>
          <w:sz w:val="32"/>
          <w:szCs w:val="32"/>
          <w:highlight w:val="none"/>
          <w:u w:val="single"/>
          <w:lang w:eastAsia="zh-CN"/>
        </w:rPr>
        <w:t>岳阳市教育科学技术研究院</w:t>
      </w:r>
    </w:p>
    <w:p w14:paraId="4D8880D0">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color w:val="auto"/>
          <w:sz w:val="32"/>
          <w:szCs w:val="32"/>
          <w:highlight w:val="none"/>
        </w:rPr>
      </w:pPr>
      <w:r>
        <w:rPr>
          <w:rFonts w:hint="eastAsia" w:eastAsia="楷体_GB2312" w:cs="Times New Roman"/>
          <w:color w:val="auto"/>
          <w:sz w:val="32"/>
          <w:szCs w:val="32"/>
          <w:highlight w:val="none"/>
          <w:lang w:val="en-US" w:eastAsia="zh-CN"/>
        </w:rPr>
        <w:t>2026</w:t>
      </w:r>
      <w:r>
        <w:rPr>
          <w:rFonts w:hint="default" w:ascii="Times New Roman" w:hAnsi="Times New Roman" w:eastAsia="楷体_GB2312" w:cs="Times New Roman"/>
          <w:color w:val="auto"/>
          <w:sz w:val="32"/>
          <w:szCs w:val="32"/>
          <w:highlight w:val="none"/>
        </w:rPr>
        <w:t>年</w:t>
      </w:r>
      <w:r>
        <w:rPr>
          <w:rFonts w:hint="eastAsia" w:eastAsia="楷体_GB2312" w:cs="Times New Roman"/>
          <w:color w:val="auto"/>
          <w:sz w:val="32"/>
          <w:szCs w:val="32"/>
          <w:highlight w:val="none"/>
          <w:lang w:val="en-US" w:eastAsia="zh-CN"/>
        </w:rPr>
        <w:t>7</w:t>
      </w:r>
      <w:r>
        <w:rPr>
          <w:rFonts w:hint="default" w:ascii="Times New Roman" w:hAnsi="Times New Roman" w:eastAsia="楷体_GB2312" w:cs="Times New Roman"/>
          <w:color w:val="auto"/>
          <w:sz w:val="32"/>
          <w:szCs w:val="32"/>
          <w:highlight w:val="none"/>
        </w:rPr>
        <w:t>月</w:t>
      </w:r>
      <w:r>
        <w:rPr>
          <w:rFonts w:hint="eastAsia" w:eastAsia="楷体_GB2312" w:cs="Times New Roman"/>
          <w:color w:val="auto"/>
          <w:sz w:val="32"/>
          <w:szCs w:val="32"/>
          <w:highlight w:val="none"/>
          <w:lang w:val="en-US" w:eastAsia="zh-CN"/>
        </w:rPr>
        <w:t>10</w:t>
      </w:r>
      <w:r>
        <w:rPr>
          <w:rFonts w:hint="default" w:ascii="Times New Roman" w:hAnsi="Times New Roman" w:eastAsia="楷体_GB2312" w:cs="Times New Roman"/>
          <w:color w:val="auto"/>
          <w:sz w:val="32"/>
          <w:szCs w:val="32"/>
          <w:highlight w:val="none"/>
        </w:rPr>
        <w:t>日</w:t>
      </w:r>
    </w:p>
    <w:p w14:paraId="358E472E">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仿宋_GB2312" w:cs="Times New Roman"/>
          <w:color w:val="auto"/>
          <w:sz w:val="32"/>
          <w:szCs w:val="32"/>
          <w:highlight w:val="none"/>
        </w:rPr>
      </w:pPr>
    </w:p>
    <w:p w14:paraId="653163FD">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仿宋_GB2312" w:cs="Times New Roman"/>
          <w:color w:val="auto"/>
          <w:sz w:val="32"/>
          <w:szCs w:val="32"/>
          <w:highlight w:val="none"/>
        </w:rPr>
      </w:pPr>
    </w:p>
    <w:p w14:paraId="1A0FB0B7">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rPr>
        <w:t>202</w:t>
      </w:r>
      <w:r>
        <w:rPr>
          <w:rFonts w:hint="eastAsia" w:ascii="方正小标宋简体" w:hAnsi="方正小标宋简体" w:eastAsia="方正小标宋简体" w:cs="方正小标宋简体"/>
          <w:color w:val="auto"/>
          <w:sz w:val="44"/>
          <w:szCs w:val="44"/>
          <w:highlight w:val="none"/>
          <w:lang w:val="en-US" w:eastAsia="zh-CN"/>
        </w:rPr>
        <w:t>5</w:t>
      </w:r>
      <w:r>
        <w:rPr>
          <w:rFonts w:hint="eastAsia" w:ascii="方正小标宋简体" w:hAnsi="方正小标宋简体" w:eastAsia="方正小标宋简体" w:cs="方正小标宋简体"/>
          <w:color w:val="auto"/>
          <w:sz w:val="44"/>
          <w:szCs w:val="44"/>
          <w:highlight w:val="none"/>
        </w:rPr>
        <w:t>年度</w:t>
      </w:r>
      <w:r>
        <w:rPr>
          <w:rFonts w:hint="eastAsia" w:ascii="方正小标宋简体" w:hAnsi="方正小标宋简体" w:eastAsia="方正小标宋简体" w:cs="方正小标宋简体"/>
          <w:color w:val="auto"/>
          <w:sz w:val="44"/>
          <w:szCs w:val="44"/>
          <w:highlight w:val="none"/>
          <w:lang w:eastAsia="zh-CN"/>
        </w:rPr>
        <w:t>岳阳市教育科学技术研究院</w:t>
      </w:r>
    </w:p>
    <w:p w14:paraId="16E313A9">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整体支出绩效自评报告</w:t>
      </w:r>
    </w:p>
    <w:p w14:paraId="67654AE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auto"/>
          <w:sz w:val="32"/>
          <w:szCs w:val="32"/>
          <w:highlight w:val="none"/>
        </w:rPr>
      </w:pPr>
    </w:p>
    <w:p w14:paraId="3A753BD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kern w:val="2"/>
          <w:sz w:val="32"/>
          <w:szCs w:val="32"/>
          <w:lang w:val="en-US" w:eastAsia="zh-CN" w:bidi="ar-SA"/>
        </w:rPr>
        <w:t>一、</w:t>
      </w:r>
      <w:r>
        <w:rPr>
          <w:rFonts w:hint="default" w:ascii="Times New Roman" w:hAnsi="Times New Roman" w:eastAsia="黑体" w:cs="Times New Roman"/>
          <w:color w:val="auto"/>
          <w:sz w:val="32"/>
          <w:szCs w:val="32"/>
          <w:highlight w:val="none"/>
        </w:rPr>
        <w:t>部门（单位）基本情况</w:t>
      </w:r>
    </w:p>
    <w:p w14:paraId="6436F3F4">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eastAsia="仿宋_GB2312" w:cs="仿宋_GB2312"/>
          <w:color w:val="auto"/>
          <w:kern w:val="0"/>
          <w:sz w:val="32"/>
          <w:szCs w:val="32"/>
        </w:rPr>
      </w:pPr>
      <w:r>
        <w:rPr>
          <w:rFonts w:hint="eastAsia" w:eastAsia="仿宋_GB2312" w:cs="仿宋_GB2312"/>
          <w:color w:val="auto"/>
          <w:kern w:val="0"/>
          <w:sz w:val="32"/>
          <w:szCs w:val="32"/>
        </w:rPr>
        <w:t>（一）</w:t>
      </w:r>
      <w:r>
        <w:rPr>
          <w:rFonts w:hint="eastAsia" w:eastAsia="仿宋_GB2312" w:cs="仿宋_GB2312"/>
          <w:color w:val="auto"/>
          <w:kern w:val="0"/>
          <w:sz w:val="32"/>
          <w:szCs w:val="32"/>
          <w:lang w:eastAsia="zh-CN"/>
        </w:rPr>
        <w:t>主要</w:t>
      </w:r>
      <w:r>
        <w:rPr>
          <w:rFonts w:hint="eastAsia" w:eastAsia="仿宋_GB2312" w:cs="仿宋_GB2312"/>
          <w:color w:val="auto"/>
          <w:kern w:val="0"/>
          <w:sz w:val="32"/>
          <w:szCs w:val="32"/>
        </w:rPr>
        <w:t>职能</w:t>
      </w:r>
    </w:p>
    <w:p w14:paraId="64660EF1">
      <w:pPr>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岳阳市教育科学技术研究院是由原岳阳市教育科学研究所和原岳阳市教育技术中心合并后，于2008年12月重组成立的公益类全额拨款事业单位。承担全市中小学教育教学研究、学科教学业务指导和管理、教育装备建设等主要工作任务，致力于推动我市基础教育（含中小学教育、学前教育、特殊教育）、职业教育等的改革与发展，教学质量的监测与提质以及素质教育的研究与实践，积极提升我市基础教育、职业教育以及教育装备和信息化建设的水平。</w:t>
      </w:r>
    </w:p>
    <w:p w14:paraId="421F8FFA">
      <w:pPr>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 w:hAnsi="仿宋" w:eastAsia="仿宋" w:cs="仿宋"/>
          <w:color w:val="auto"/>
          <w:sz w:val="32"/>
          <w:szCs w:val="32"/>
        </w:rPr>
      </w:pP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主要工作职责</w:t>
      </w:r>
    </w:p>
    <w:p w14:paraId="6780CD96">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1.负责全市教育科学发展的规划、管理、指导以及教育科研成果的推广与应用；</w:t>
      </w:r>
    </w:p>
    <w:p w14:paraId="6FCB9E06">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2.负责全市中小学教学研究和学科教学业务管理；</w:t>
      </w:r>
    </w:p>
    <w:p w14:paraId="1AEFA017">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3.负责规划、指导、管理全市实验教学及装备工作，统筹指导市直学校实验教学及装备工作；</w:t>
      </w:r>
    </w:p>
    <w:p w14:paraId="6F8123CC">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4.负责全市教育信息化建设的研究与指导，构建统一、开放、规范的教育信息化运行服务体系；</w:t>
      </w:r>
    </w:p>
    <w:p w14:paraId="0ED1CBEF">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5.负责全市职业教育与成人教育的研究与指导；</w:t>
      </w:r>
    </w:p>
    <w:p w14:paraId="0076FDE8">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6.负责全市中小学教师继续教育工作，建立健全研训一体的教师培养新机制；</w:t>
      </w:r>
    </w:p>
    <w:p w14:paraId="71C2A272">
      <w:pPr>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7.负责全市基础教育质量监测与语言文字培训测试工作。</w:t>
      </w:r>
    </w:p>
    <w:p w14:paraId="6BBDCC69">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eastAsia="仿宋_GB2312" w:cs="仿宋_GB2312"/>
          <w:color w:val="auto"/>
          <w:kern w:val="0"/>
          <w:sz w:val="32"/>
          <w:szCs w:val="32"/>
        </w:rPr>
      </w:pPr>
      <w:r>
        <w:rPr>
          <w:rFonts w:hint="eastAsia" w:eastAsia="仿宋_GB2312" w:cs="仿宋_GB2312"/>
          <w:color w:val="auto"/>
          <w:kern w:val="0"/>
          <w:sz w:val="32"/>
          <w:szCs w:val="32"/>
        </w:rPr>
        <w:t>（</w:t>
      </w:r>
      <w:r>
        <w:rPr>
          <w:rFonts w:hint="eastAsia" w:eastAsia="仿宋_GB2312" w:cs="仿宋_GB2312"/>
          <w:color w:val="auto"/>
          <w:kern w:val="0"/>
          <w:sz w:val="32"/>
          <w:szCs w:val="32"/>
          <w:lang w:eastAsia="zh-CN"/>
        </w:rPr>
        <w:t>三</w:t>
      </w:r>
      <w:r>
        <w:rPr>
          <w:rFonts w:hint="eastAsia" w:eastAsia="仿宋_GB2312" w:cs="仿宋_GB2312"/>
          <w:color w:val="auto"/>
          <w:kern w:val="0"/>
          <w:sz w:val="32"/>
          <w:szCs w:val="32"/>
        </w:rPr>
        <w:t>）机构设置</w:t>
      </w:r>
    </w:p>
    <w:p w14:paraId="637936F7">
      <w:pPr>
        <w:pStyle w:val="2"/>
        <w:ind w:firstLine="640" w:firstLineChars="200"/>
        <w:rPr>
          <w:rFonts w:hint="eastAsia" w:eastAsia="仿宋_GB2312" w:cs="仿宋_GB2312"/>
          <w:color w:val="auto"/>
          <w:kern w:val="0"/>
          <w:sz w:val="32"/>
          <w:szCs w:val="32"/>
          <w:lang w:eastAsia="zh-CN"/>
        </w:rPr>
      </w:pPr>
      <w:r>
        <w:rPr>
          <w:rFonts w:hint="eastAsia" w:eastAsia="仿宋_GB2312" w:cs="仿宋_GB2312"/>
          <w:color w:val="auto"/>
          <w:kern w:val="0"/>
          <w:sz w:val="32"/>
          <w:szCs w:val="32"/>
          <w:lang w:eastAsia="zh-CN"/>
        </w:rPr>
        <w:t>岳阳市教育科学技术研究院是全额拨款事业单位，内设党政办公室、普通高中研究室、义务教育研究室、综合教育研究室（普通话测试站）、职成教育研究室、教育信息技术中心、实验教学与教育装备办公室、中小学教师研修与基础教育质量监测中心、工会。</w:t>
      </w:r>
    </w:p>
    <w:p w14:paraId="1069BAFB">
      <w:pPr>
        <w:numPr>
          <w:ilvl w:val="0"/>
          <w:numId w:val="1"/>
        </w:numPr>
        <w:rPr>
          <w:rFonts w:hint="eastAsia" w:eastAsia="仿宋_GB2312" w:cs="仿宋_GB2312"/>
          <w:color w:val="auto"/>
          <w:kern w:val="0"/>
          <w:sz w:val="32"/>
          <w:szCs w:val="32"/>
          <w:lang w:eastAsia="zh-CN"/>
        </w:rPr>
      </w:pPr>
      <w:r>
        <w:rPr>
          <w:rFonts w:hint="eastAsia" w:eastAsia="仿宋_GB2312" w:cs="仿宋_GB2312"/>
          <w:color w:val="auto"/>
          <w:kern w:val="0"/>
          <w:sz w:val="32"/>
          <w:szCs w:val="32"/>
          <w:lang w:eastAsia="zh-CN"/>
        </w:rPr>
        <w:t>人员编制情况</w:t>
      </w:r>
    </w:p>
    <w:p w14:paraId="40874447">
      <w:pPr>
        <w:pStyle w:val="2"/>
        <w:ind w:firstLine="640" w:firstLineChars="20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核定全额编制数</w:t>
      </w:r>
      <w:r>
        <w:rPr>
          <w:rFonts w:hint="eastAsia" w:ascii="仿宋_GB2312" w:hAnsi="仿宋_GB2312" w:eastAsia="仿宋_GB2312" w:cs="仿宋_GB2312"/>
          <w:color w:val="auto"/>
          <w:kern w:val="0"/>
          <w:sz w:val="32"/>
          <w:szCs w:val="32"/>
          <w:lang w:val="en-US" w:eastAsia="zh-CN"/>
        </w:rPr>
        <w:t>45</w:t>
      </w:r>
      <w:r>
        <w:rPr>
          <w:rFonts w:hint="eastAsia" w:ascii="仿宋_GB2312" w:hAnsi="仿宋_GB2312" w:eastAsia="仿宋_GB2312" w:cs="仿宋_GB2312"/>
          <w:color w:val="auto"/>
          <w:kern w:val="0"/>
          <w:sz w:val="32"/>
          <w:szCs w:val="32"/>
          <w:lang w:eastAsia="zh-CN"/>
        </w:rPr>
        <w:t>名。实有在编人员</w:t>
      </w:r>
      <w:r>
        <w:rPr>
          <w:rFonts w:hint="eastAsia" w:ascii="仿宋_GB2312" w:hAnsi="仿宋_GB2312" w:eastAsia="仿宋_GB2312" w:cs="仿宋_GB2312"/>
          <w:color w:val="auto"/>
          <w:kern w:val="0"/>
          <w:sz w:val="32"/>
          <w:szCs w:val="32"/>
          <w:lang w:val="en-US" w:eastAsia="zh-CN"/>
        </w:rPr>
        <w:t>41</w:t>
      </w:r>
      <w:r>
        <w:rPr>
          <w:rFonts w:hint="eastAsia" w:ascii="仿宋_GB2312" w:hAnsi="仿宋_GB2312" w:eastAsia="仿宋_GB2312" w:cs="仿宋_GB2312"/>
          <w:color w:val="auto"/>
          <w:kern w:val="0"/>
          <w:sz w:val="32"/>
          <w:szCs w:val="32"/>
          <w:lang w:eastAsia="zh-CN"/>
        </w:rPr>
        <w:t>人，退休人员</w:t>
      </w:r>
      <w:r>
        <w:rPr>
          <w:rFonts w:hint="eastAsia" w:ascii="仿宋_GB2312" w:hAnsi="仿宋_GB2312" w:eastAsia="仿宋_GB2312" w:cs="仿宋_GB2312"/>
          <w:color w:val="auto"/>
          <w:kern w:val="0"/>
          <w:sz w:val="32"/>
          <w:szCs w:val="32"/>
          <w:lang w:val="en-US" w:eastAsia="zh-CN"/>
        </w:rPr>
        <w:t>57</w:t>
      </w:r>
      <w:r>
        <w:rPr>
          <w:rFonts w:hint="eastAsia" w:ascii="仿宋_GB2312" w:hAnsi="仿宋_GB2312" w:eastAsia="仿宋_GB2312" w:cs="仿宋_GB2312"/>
          <w:color w:val="auto"/>
          <w:kern w:val="0"/>
          <w:sz w:val="32"/>
          <w:szCs w:val="32"/>
          <w:lang w:eastAsia="zh-CN"/>
        </w:rPr>
        <w:t>人。</w:t>
      </w:r>
    </w:p>
    <w:p w14:paraId="4EA22203">
      <w:pPr>
        <w:pStyle w:val="6"/>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二、一般公共预算支出情况</w:t>
      </w:r>
    </w:p>
    <w:p w14:paraId="0D5F619A">
      <w:pPr>
        <w:pStyle w:val="6"/>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（一）基本支出情况</w:t>
      </w:r>
    </w:p>
    <w:p w14:paraId="3BCF9F96">
      <w:pPr>
        <w:pStyle w:val="2"/>
        <w:pageBreakBefore w:val="0"/>
        <w:kinsoku/>
        <w:wordWrap/>
        <w:overflowPunct/>
        <w:topLinePunct w:val="0"/>
        <w:autoSpaceDE/>
        <w:autoSpaceDN/>
        <w:bidi w:val="0"/>
        <w:adjustRightInd/>
        <w:snapToGrid/>
        <w:spacing w:before="0" w:after="0" w:line="240" w:lineRule="auto"/>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 xml:space="preserve">    2025年本单位支出预算</w:t>
      </w:r>
      <w:r>
        <w:rPr>
          <w:rFonts w:hint="eastAsia" w:ascii="仿宋" w:hAnsi="仿宋" w:eastAsia="仿宋" w:cs="仿宋"/>
          <w:color w:val="auto"/>
          <w:kern w:val="2"/>
          <w:sz w:val="32"/>
          <w:szCs w:val="32"/>
          <w:lang w:val="en-US" w:eastAsia="zh-CN" w:bidi="ar-SA"/>
        </w:rPr>
        <w:t>1411.38</w:t>
      </w:r>
      <w:r>
        <w:rPr>
          <w:rFonts w:hint="eastAsia" w:ascii="仿宋" w:hAnsi="仿宋" w:eastAsia="仿宋" w:cs="仿宋"/>
          <w:color w:val="auto"/>
          <w:kern w:val="2"/>
          <w:sz w:val="32"/>
          <w:szCs w:val="32"/>
          <w:lang w:val="en-US" w:eastAsia="zh-CN" w:bidi="ar-SA"/>
        </w:rPr>
        <w:t>万元，其中：基本支出</w:t>
      </w:r>
      <w:r>
        <w:rPr>
          <w:rFonts w:hint="eastAsia" w:ascii="仿宋" w:hAnsi="仿宋" w:eastAsia="仿宋" w:cs="仿宋"/>
          <w:color w:val="auto"/>
          <w:kern w:val="2"/>
          <w:sz w:val="32"/>
          <w:szCs w:val="32"/>
          <w:lang w:val="en-US" w:eastAsia="zh-CN" w:bidi="ar-SA"/>
        </w:rPr>
        <w:t>1225.78</w:t>
      </w:r>
      <w:r>
        <w:rPr>
          <w:rFonts w:hint="eastAsia" w:ascii="仿宋" w:hAnsi="仿宋" w:eastAsia="仿宋" w:cs="仿宋"/>
          <w:color w:val="auto"/>
          <w:kern w:val="2"/>
          <w:sz w:val="32"/>
          <w:szCs w:val="32"/>
          <w:lang w:val="en-US" w:eastAsia="zh-CN" w:bidi="ar-SA"/>
        </w:rPr>
        <w:t>万元，占</w:t>
      </w:r>
      <w:r>
        <w:rPr>
          <w:rFonts w:hint="eastAsia" w:ascii="仿宋" w:hAnsi="仿宋" w:eastAsia="仿宋" w:cs="仿宋"/>
          <w:color w:val="auto"/>
          <w:kern w:val="2"/>
          <w:sz w:val="32"/>
          <w:szCs w:val="32"/>
          <w:lang w:val="en-US" w:eastAsia="zh-CN" w:bidi="ar-SA"/>
        </w:rPr>
        <w:t>86.85</w:t>
      </w:r>
      <w:r>
        <w:rPr>
          <w:rFonts w:hint="eastAsia" w:ascii="仿宋" w:hAnsi="仿宋" w:eastAsia="仿宋" w:cs="仿宋"/>
          <w:color w:val="auto"/>
          <w:kern w:val="2"/>
          <w:sz w:val="32"/>
          <w:szCs w:val="32"/>
          <w:lang w:val="en-US" w:eastAsia="zh-CN" w:bidi="ar-SA"/>
        </w:rPr>
        <w:t>%；项目支出</w:t>
      </w:r>
      <w:r>
        <w:rPr>
          <w:rFonts w:hint="eastAsia" w:ascii="仿宋" w:hAnsi="仿宋" w:eastAsia="仿宋" w:cs="仿宋"/>
          <w:color w:val="auto"/>
          <w:kern w:val="2"/>
          <w:sz w:val="32"/>
          <w:szCs w:val="32"/>
          <w:lang w:val="en-US" w:eastAsia="zh-CN" w:bidi="ar-SA"/>
        </w:rPr>
        <w:t>185.59</w:t>
      </w:r>
      <w:r>
        <w:rPr>
          <w:rFonts w:hint="eastAsia" w:ascii="仿宋" w:hAnsi="仿宋" w:eastAsia="仿宋" w:cs="仿宋"/>
          <w:color w:val="auto"/>
          <w:kern w:val="2"/>
          <w:sz w:val="32"/>
          <w:szCs w:val="32"/>
          <w:lang w:val="en-US" w:eastAsia="zh-CN" w:bidi="ar-SA"/>
        </w:rPr>
        <w:t>万元，占</w:t>
      </w:r>
      <w:r>
        <w:rPr>
          <w:rFonts w:hint="eastAsia" w:ascii="仿宋" w:hAnsi="仿宋" w:eastAsia="仿宋" w:cs="仿宋"/>
          <w:color w:val="auto"/>
          <w:kern w:val="2"/>
          <w:sz w:val="32"/>
          <w:szCs w:val="32"/>
          <w:lang w:val="en-US" w:eastAsia="zh-CN" w:bidi="ar-SA"/>
        </w:rPr>
        <w:t>13.15</w:t>
      </w:r>
      <w:r>
        <w:rPr>
          <w:rFonts w:hint="eastAsia" w:ascii="仿宋" w:hAnsi="仿宋" w:eastAsia="仿宋" w:cs="仿宋"/>
          <w:color w:val="auto"/>
          <w:kern w:val="2"/>
          <w:sz w:val="32"/>
          <w:szCs w:val="32"/>
          <w:lang w:val="en-US" w:eastAsia="zh-CN" w:bidi="ar-SA"/>
        </w:rPr>
        <w:t>%。</w:t>
      </w:r>
    </w:p>
    <w:p w14:paraId="758A8302">
      <w:pPr>
        <w:pStyle w:val="6"/>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color w:val="auto"/>
          <w:sz w:val="32"/>
          <w:szCs w:val="32"/>
          <w:highlight w:val="none"/>
        </w:rPr>
      </w:pPr>
      <w:r>
        <w:rPr>
          <w:rFonts w:hint="eastAsia" w:ascii="Times New Roman" w:hAnsi="Times New Roman" w:eastAsia="楷体_GB2312" w:cs="Times New Roman"/>
          <w:b/>
          <w:color w:val="auto"/>
          <w:kern w:val="2"/>
          <w:sz w:val="32"/>
          <w:szCs w:val="32"/>
          <w:lang w:val="en-US" w:eastAsia="zh-CN" w:bidi="ar-SA"/>
        </w:rPr>
        <w:t>（二）</w:t>
      </w:r>
      <w:r>
        <w:rPr>
          <w:rFonts w:hint="default" w:ascii="Times New Roman" w:hAnsi="Times New Roman" w:eastAsia="楷体_GB2312" w:cs="Times New Roman"/>
          <w:b/>
          <w:color w:val="auto"/>
          <w:sz w:val="32"/>
          <w:szCs w:val="32"/>
          <w:highlight w:val="none"/>
        </w:rPr>
        <w:t>项目支出情况</w:t>
      </w:r>
    </w:p>
    <w:p w14:paraId="6FD73F72">
      <w:pPr>
        <w:pStyle w:val="6"/>
        <w:keepNext w:val="0"/>
        <w:keepLines w:val="0"/>
        <w:pageBreakBefore w:val="0"/>
        <w:widowControl w:val="0"/>
        <w:numPr>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楷体_GB2312" w:cs="Times New Roman"/>
          <w:b/>
          <w:color w:val="auto"/>
          <w:sz w:val="32"/>
          <w:szCs w:val="32"/>
          <w:highlight w:val="none"/>
        </w:rPr>
      </w:pPr>
      <w:r>
        <w:rPr>
          <w:rFonts w:hint="eastAsia" w:ascii="仿宋" w:hAnsi="仿宋" w:eastAsia="仿宋" w:cs="仿宋"/>
          <w:color w:val="auto"/>
          <w:kern w:val="2"/>
          <w:sz w:val="32"/>
          <w:szCs w:val="32"/>
          <w:lang w:val="en-US" w:eastAsia="zh-CN" w:bidi="ar-SA"/>
        </w:rPr>
        <w:t>2025年项目支出年初预算数为</w:t>
      </w:r>
      <w:r>
        <w:rPr>
          <w:rFonts w:hint="eastAsia" w:ascii="仿宋" w:hAnsi="仿宋" w:eastAsia="仿宋" w:cs="仿宋"/>
          <w:color w:val="auto"/>
          <w:kern w:val="2"/>
          <w:sz w:val="32"/>
          <w:szCs w:val="32"/>
          <w:lang w:val="en-US" w:eastAsia="zh-CN" w:bidi="ar-SA"/>
        </w:rPr>
        <w:t>185.59</w:t>
      </w:r>
      <w:r>
        <w:rPr>
          <w:rFonts w:hint="eastAsia" w:ascii="仿宋" w:hAnsi="仿宋" w:eastAsia="仿宋" w:cs="仿宋"/>
          <w:color w:val="auto"/>
          <w:kern w:val="2"/>
          <w:sz w:val="32"/>
          <w:szCs w:val="32"/>
          <w:lang w:val="en-US" w:eastAsia="zh-CN" w:bidi="ar-SA"/>
        </w:rPr>
        <w:t>万元，是指单位为完成特定行政工作任务或事业发展目标而发生的支出，包括有关业务工作经费、运行维护经费等。其中：业务工作经费支</w:t>
      </w:r>
      <w:r>
        <w:rPr>
          <w:rFonts w:hint="eastAsia" w:ascii="仿宋" w:hAnsi="仿宋" w:eastAsia="仿宋" w:cs="仿宋"/>
          <w:color w:val="auto"/>
          <w:kern w:val="2"/>
          <w:sz w:val="32"/>
          <w:szCs w:val="32"/>
          <w:lang w:val="en-US" w:eastAsia="zh-CN" w:bidi="ar-SA"/>
        </w:rPr>
        <w:t>185.59</w:t>
      </w:r>
      <w:r>
        <w:rPr>
          <w:rFonts w:hint="eastAsia" w:ascii="仿宋" w:hAnsi="仿宋" w:eastAsia="仿宋" w:cs="仿宋"/>
          <w:color w:val="auto"/>
          <w:kern w:val="2"/>
          <w:sz w:val="32"/>
          <w:szCs w:val="32"/>
          <w:lang w:val="en-US" w:eastAsia="zh-CN" w:bidi="ar-SA"/>
        </w:rPr>
        <w:t>万元，主要用于教育科研成果培育与推广、基础教育课程教学改革研究与指导、教育数字化应用与科技活动、中小学教学质量监测与评估等方面。</w:t>
      </w:r>
    </w:p>
    <w:p w14:paraId="2F7EB2FE">
      <w:pPr>
        <w:pStyle w:val="6"/>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kern w:val="2"/>
          <w:sz w:val="32"/>
          <w:szCs w:val="32"/>
          <w:lang w:val="en-US" w:eastAsia="zh-CN" w:bidi="ar-SA"/>
        </w:rPr>
        <w:t>三、</w:t>
      </w:r>
      <w:r>
        <w:rPr>
          <w:rFonts w:hint="default" w:ascii="Times New Roman" w:hAnsi="Times New Roman" w:eastAsia="黑体" w:cs="Times New Roman"/>
          <w:color w:val="auto"/>
          <w:sz w:val="32"/>
          <w:szCs w:val="32"/>
          <w:highlight w:val="none"/>
        </w:rPr>
        <w:t>政府性基金预算支出情况</w:t>
      </w:r>
    </w:p>
    <w:p w14:paraId="7A31FFFD">
      <w:pPr>
        <w:pStyle w:val="6"/>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无</w:t>
      </w:r>
    </w:p>
    <w:p w14:paraId="1609ED2A">
      <w:pPr>
        <w:pStyle w:val="6"/>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四、国有资本经营预算支出情况</w:t>
      </w:r>
    </w:p>
    <w:p w14:paraId="609099B8">
      <w:pPr>
        <w:pStyle w:val="6"/>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仿宋" w:hAnsi="仿宋" w:eastAsia="仿宋" w:cs="仿宋"/>
          <w:color w:val="auto"/>
          <w:kern w:val="2"/>
          <w:sz w:val="32"/>
          <w:szCs w:val="32"/>
          <w:lang w:val="en-US" w:eastAsia="zh-CN" w:bidi="ar-SA"/>
        </w:rPr>
        <w:t>无</w:t>
      </w:r>
    </w:p>
    <w:p w14:paraId="1C22CE00">
      <w:pPr>
        <w:pStyle w:val="6"/>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五、社会保险基金预算支出情况</w:t>
      </w:r>
    </w:p>
    <w:p w14:paraId="251EB540">
      <w:pPr>
        <w:pStyle w:val="6"/>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无</w:t>
      </w:r>
    </w:p>
    <w:p w14:paraId="700DA041">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六、部门整体支出绩效情况</w:t>
      </w:r>
    </w:p>
    <w:p w14:paraId="0C40D42B">
      <w:pPr>
        <w:pStyle w:val="2"/>
        <w:pageBreakBefore w:val="0"/>
        <w:kinsoku/>
        <w:wordWrap/>
        <w:overflowPunct/>
        <w:topLinePunct w:val="0"/>
        <w:autoSpaceDE/>
        <w:autoSpaceDN/>
        <w:bidi w:val="0"/>
        <w:adjustRightInd/>
        <w:snapToGrid/>
        <w:spacing w:before="0" w:after="0" w:line="240" w:lineRule="auto"/>
        <w:ind w:firstLine="640" w:firstLineChars="200"/>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2025年度支出总计</w:t>
      </w:r>
      <w:r>
        <w:rPr>
          <w:rFonts w:hint="eastAsia" w:ascii="仿宋" w:hAnsi="仿宋" w:eastAsia="仿宋" w:cs="仿宋"/>
          <w:color w:val="auto"/>
          <w:kern w:val="2"/>
          <w:sz w:val="32"/>
          <w:szCs w:val="32"/>
          <w:lang w:val="en-US" w:eastAsia="zh-CN" w:bidi="ar-SA"/>
        </w:rPr>
        <w:t>1411.38</w:t>
      </w:r>
      <w:r>
        <w:rPr>
          <w:rFonts w:hint="eastAsia" w:ascii="仿宋" w:hAnsi="仿宋" w:eastAsia="仿宋" w:cs="仿宋"/>
          <w:color w:val="auto"/>
          <w:kern w:val="2"/>
          <w:sz w:val="32"/>
          <w:szCs w:val="32"/>
          <w:lang w:val="en-US" w:eastAsia="zh-CN" w:bidi="ar-SA"/>
        </w:rPr>
        <w:t>万元。与上年相比，减少</w:t>
      </w:r>
      <w:r>
        <w:rPr>
          <w:rFonts w:hint="eastAsia" w:ascii="仿宋" w:hAnsi="仿宋" w:eastAsia="仿宋" w:cs="仿宋"/>
          <w:color w:val="auto"/>
          <w:kern w:val="2"/>
          <w:sz w:val="32"/>
          <w:szCs w:val="32"/>
          <w:lang w:val="en-US" w:eastAsia="zh-CN" w:bidi="ar-SA"/>
        </w:rPr>
        <w:t>51.93</w:t>
      </w:r>
      <w:r>
        <w:rPr>
          <w:rFonts w:hint="eastAsia" w:ascii="仿宋" w:hAnsi="仿宋" w:eastAsia="仿宋" w:cs="仿宋"/>
          <w:color w:val="auto"/>
          <w:kern w:val="2"/>
          <w:sz w:val="32"/>
          <w:szCs w:val="32"/>
          <w:lang w:val="en-US" w:eastAsia="zh-CN" w:bidi="ar-SA"/>
        </w:rPr>
        <w:t>万元，增减少</w:t>
      </w:r>
      <w:r>
        <w:rPr>
          <w:rFonts w:hint="eastAsia" w:ascii="仿宋" w:hAnsi="仿宋" w:eastAsia="仿宋" w:cs="仿宋"/>
          <w:color w:val="auto"/>
          <w:kern w:val="2"/>
          <w:sz w:val="32"/>
          <w:szCs w:val="32"/>
          <w:lang w:val="en-US" w:eastAsia="zh-CN" w:bidi="ar-SA"/>
        </w:rPr>
        <w:t>3.5</w:t>
      </w:r>
      <w:r>
        <w:rPr>
          <w:rFonts w:hint="eastAsia" w:ascii="仿宋" w:hAnsi="仿宋" w:eastAsia="仿宋" w:cs="仿宋"/>
          <w:color w:val="auto"/>
          <w:kern w:val="2"/>
          <w:sz w:val="32"/>
          <w:szCs w:val="32"/>
          <w:lang w:val="en-US" w:eastAsia="zh-CN" w:bidi="ar-SA"/>
        </w:rPr>
        <w:t>%，主要是因为年终部分支出未及时划转。从整体上看，2025年我单位资金运行维护决策正确，资金管理规范，项目管理到位，政策执行有力，有效发挥了财政资金的使用效率，确保在职人员的基本工资福利待遇足额发放到位，基本保障单位的正常运行，在预算年度内完成各项费用的支付。</w:t>
      </w:r>
    </w:p>
    <w:p w14:paraId="500AF06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仿宋" w:hAnsi="仿宋" w:eastAsia="仿宋" w:cs="仿宋"/>
          <w:color w:val="auto"/>
          <w:kern w:val="2"/>
          <w:sz w:val="32"/>
          <w:szCs w:val="32"/>
          <w:lang w:val="en-US" w:eastAsia="zh-CN" w:bidi="ar-SA"/>
        </w:rPr>
        <w:t>我院各项项目资金其主要用途是确保了各项工作顺利进行，为推动全市教育教学研究提供了有力保障，人员经费公共支出严格执行各项制度，在项目经费的使用上，在保证各项任务顺利完成的同时，严格落实厉行节约的原则。</w:t>
      </w:r>
    </w:p>
    <w:p w14:paraId="5E0E00B1">
      <w:pPr>
        <w:pStyle w:val="6"/>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七、存在的问题及原因分析</w:t>
      </w:r>
    </w:p>
    <w:p w14:paraId="1A1DA86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存在报账不及时的问题。将督促有关人员及时报账。</w:t>
      </w:r>
    </w:p>
    <w:p w14:paraId="56159518">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kern w:val="2"/>
          <w:sz w:val="32"/>
          <w:szCs w:val="32"/>
          <w:lang w:val="en-US" w:eastAsia="zh-CN" w:bidi="ar-SA"/>
        </w:rPr>
        <w:t>八、</w:t>
      </w:r>
      <w:r>
        <w:rPr>
          <w:rFonts w:hint="default" w:ascii="Times New Roman" w:hAnsi="Times New Roman" w:eastAsia="黑体" w:cs="Times New Roman"/>
          <w:color w:val="auto"/>
          <w:sz w:val="32"/>
          <w:szCs w:val="32"/>
          <w:highlight w:val="none"/>
        </w:rPr>
        <w:t>下一步改进措施</w:t>
      </w:r>
    </w:p>
    <w:p w14:paraId="6C49F514">
      <w:pPr>
        <w:keepNext w:val="0"/>
        <w:keepLines w:val="0"/>
        <w:pageBreakBefore w:val="0"/>
        <w:widowControl w:val="0"/>
        <w:numPr>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仿宋" w:hAnsi="仿宋" w:eastAsia="仿宋" w:cs="仿宋"/>
          <w:color w:val="auto"/>
          <w:kern w:val="2"/>
          <w:sz w:val="32"/>
          <w:szCs w:val="32"/>
          <w:lang w:val="en-US" w:eastAsia="zh-CN" w:bidi="ar-SA"/>
        </w:rPr>
        <w:t>进一步完善财务制度，督促相关人员及时报账。</w:t>
      </w:r>
    </w:p>
    <w:p w14:paraId="72B30D7C">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kern w:val="2"/>
          <w:sz w:val="32"/>
          <w:szCs w:val="32"/>
          <w:lang w:val="en-US" w:eastAsia="zh-CN" w:bidi="ar-SA"/>
        </w:rPr>
        <w:t>九、</w:t>
      </w:r>
      <w:r>
        <w:rPr>
          <w:rFonts w:hint="default" w:ascii="Times New Roman" w:hAnsi="Times New Roman" w:eastAsia="黑体" w:cs="Times New Roman"/>
          <w:color w:val="auto"/>
          <w:sz w:val="32"/>
          <w:szCs w:val="32"/>
          <w:highlight w:val="none"/>
        </w:rPr>
        <w:t>部门整体支出绩效自评结果拟应用和公开情况</w:t>
      </w:r>
    </w:p>
    <w:p w14:paraId="5A0A77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我单位的整体部门绩效自评报告和表格按要求及时在市教科院门户网站上公开，按照自评的结果对照各项业务工作及时分析和总结，在来年的预算安排和资金使用上有所调整，以便于更好地发挥资金的使用效益。</w:t>
      </w:r>
    </w:p>
    <w:p w14:paraId="6C9D719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7FBEEFB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4F2E4C9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3391B07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5D559AD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4DC808E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0AFD1EA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7F635D1F">
      <w:pPr>
        <w:rPr>
          <w:color w:val="auto"/>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FFF90"/>
    <w:multiLevelType w:val="singleLevel"/>
    <w:tmpl w:val="E4EFFF9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636BF"/>
    <w:rsid w:val="1BE636BF"/>
    <w:rsid w:val="64A97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2026-07-22T08:03:00Z</dcterms:created>
  <dc:creator>刘岚</dc:creator>
  <cp:lastModifiedBy>刘岚</cp:lastModifiedBy>
  <dcterms:modified xsi:type="dcterms:W3CDTF">2026-07-22T08:27:18Z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46988EC13F764875A2889C2DFDE73E35_11</vt:lpwstr>
  </property>
  <property fmtid="{D5CDD505-2E9C-101B-9397-08002B2CF9AE}" pid="4" name="KSOTemplateDocerSaveRecord">
    <vt:lpwstr>eyJoZGlkIjoiNDQ3MGM2ZmY0YTgwNzNkNTA2ZjZiMDg1MzMyZmVhNGIiLCJ1c2VySWQiOiIxNzY0OTI1OTkyIn0=</vt:lpwstr>
  </property>
</Properties>
</file>