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公文小标宋" w:hAnsi="方正公文小标宋" w:eastAsia="方正公文小标宋" w:cs="方正公文小标宋"/>
          <w:sz w:val="44"/>
          <w:szCs w:val="44"/>
          <w:lang w:val="en-US" w:eastAsia="zh-CN"/>
        </w:rPr>
      </w:pPr>
      <w:r>
        <w:rPr>
          <w:rFonts w:hint="eastAsia" w:ascii="方正公文小标宋" w:hAnsi="方正公文小标宋" w:eastAsia="方正公文小标宋" w:cs="方正公文小标宋"/>
          <w:sz w:val="44"/>
          <w:szCs w:val="44"/>
          <w:lang w:val="en-US" w:eastAsia="zh-CN"/>
        </w:rPr>
        <w:t>2025年岳阳市体育运动学校整体项目绩效</w:t>
      </w:r>
    </w:p>
    <w:p>
      <w:pPr>
        <w:pStyle w:val="5"/>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ascii="Arial"/>
          <w:sz w:val="21"/>
        </w:rPr>
      </w:pPr>
      <w:r>
        <w:rPr>
          <w:rFonts w:hint="eastAsia" w:ascii="方正公文小标宋" w:hAnsi="方正公文小标宋" w:eastAsia="方正公文小标宋" w:cs="方正公文小标宋"/>
          <w:sz w:val="44"/>
          <w:szCs w:val="44"/>
          <w:lang w:val="en-US" w:eastAsia="zh-CN"/>
        </w:rPr>
        <w:t>自评报告</w:t>
      </w:r>
    </w:p>
    <w:p>
      <w:pPr>
        <w:spacing w:line="274" w:lineRule="auto"/>
        <w:jc w:val="center"/>
        <w:rPr>
          <w:rFonts w:hint="eastAsia" w:asciiTheme="minorEastAsia" w:hAnsiTheme="minorEastAsia" w:eastAsiaTheme="minorEastAsia" w:cstheme="minorEastAsia"/>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一、项目基本情况</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项目概况</w:t>
      </w:r>
    </w:p>
    <w:p>
      <w:pPr>
        <w:keepNext w:val="0"/>
        <w:keepLines w:val="0"/>
        <w:pageBreakBefore w:val="0"/>
        <w:widowControl/>
        <w:kinsoku/>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岳阳市体育运动学校是隶属于岳阳市教育体育局的一类公益性事业单位，学校有一校两址，建有游泳馆2个、射击馆、摔柔馆各一个，标准田径场、足球场一个，教学楼一栋，宿舍两栋，属于训练、学习、食宿一体的体育学校，培养了周倩、熊敦翰、彭林等优秀国家运动员</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2025年，</w:t>
      </w:r>
      <w:r>
        <w:rPr>
          <w:rFonts w:hint="eastAsia" w:ascii="仿宋_GB2312" w:hAnsi="仿宋_GB2312" w:eastAsia="仿宋_GB2312" w:cs="仿宋_GB2312"/>
          <w:sz w:val="32"/>
          <w:szCs w:val="32"/>
          <w:lang w:eastAsia="zh-CN"/>
        </w:rPr>
        <w:t>我校</w:t>
      </w:r>
      <w:r>
        <w:rPr>
          <w:rFonts w:hint="eastAsia" w:ascii="仿宋_GB2312" w:hAnsi="仿宋_GB2312" w:eastAsia="仿宋_GB2312" w:cs="仿宋_GB2312"/>
          <w:sz w:val="32"/>
          <w:szCs w:val="32"/>
        </w:rPr>
        <w:t>获</w:t>
      </w:r>
      <w:r>
        <w:rPr>
          <w:rFonts w:hint="eastAsia" w:ascii="仿宋_GB2312" w:hAnsi="仿宋_GB2312" w:eastAsia="仿宋_GB2312" w:cs="仿宋_GB2312"/>
          <w:sz w:val="32"/>
          <w:szCs w:val="32"/>
          <w:lang w:eastAsia="zh-CN"/>
        </w:rPr>
        <w:t>批</w:t>
      </w:r>
      <w:r>
        <w:rPr>
          <w:rFonts w:hint="eastAsia" w:ascii="仿宋_GB2312" w:hAnsi="仿宋_GB2312" w:eastAsia="仿宋_GB2312" w:cs="仿宋_GB2312"/>
          <w:sz w:val="32"/>
          <w:szCs w:val="32"/>
        </w:rPr>
        <w:t>国家重点高水平后备人才基地称号。</w:t>
      </w:r>
      <w:r>
        <w:rPr>
          <w:rFonts w:hint="eastAsia" w:ascii="仿宋_GB2312" w:hAnsi="仿宋_GB2312" w:eastAsia="仿宋_GB2312" w:cs="仿宋_GB2312"/>
          <w:sz w:val="32"/>
          <w:szCs w:val="32"/>
          <w:lang w:eastAsia="zh-CN"/>
        </w:rPr>
        <w:t>我校结合工作实际与项目建设目标，对所</w:t>
      </w:r>
      <w:r>
        <w:rPr>
          <w:rFonts w:hint="eastAsia" w:ascii="仿宋_GB2312" w:hAnsi="仿宋_GB2312" w:eastAsia="仿宋_GB2312" w:cs="仿宋_GB2312"/>
          <w:sz w:val="32"/>
          <w:szCs w:val="32"/>
        </w:rPr>
        <w:t>开设皮划艇、赛艇、水球、游泳等</w:t>
      </w:r>
      <w:r>
        <w:rPr>
          <w:rFonts w:hint="eastAsia" w:ascii="仿宋_GB2312" w:hAnsi="仿宋_GB2312" w:eastAsia="仿宋_GB2312" w:cs="仿宋_GB2312"/>
          <w:sz w:val="32"/>
          <w:szCs w:val="32"/>
          <w:lang w:val="en-US" w:eastAsia="zh-CN"/>
        </w:rPr>
        <w:t>15个</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开展大范围选材，小批量输送，</w:t>
      </w:r>
      <w:r>
        <w:rPr>
          <w:rFonts w:hint="eastAsia" w:ascii="仿宋_GB2312" w:hAnsi="仿宋_GB2312" w:eastAsia="仿宋_GB2312" w:cs="仿宋_GB2312"/>
          <w:sz w:val="32"/>
          <w:szCs w:val="32"/>
        </w:rPr>
        <w:t>在训运动员达400多人</w:t>
      </w:r>
      <w:r>
        <w:rPr>
          <w:rFonts w:hint="eastAsia" w:ascii="仿宋_GB2312" w:hAnsi="仿宋_GB2312" w:eastAsia="仿宋_GB2312" w:cs="仿宋_GB2312"/>
          <w:sz w:val="32"/>
          <w:szCs w:val="32"/>
          <w:lang w:eastAsia="zh-CN"/>
        </w:rPr>
        <w:t>、常年训练时长达</w:t>
      </w:r>
      <w:r>
        <w:rPr>
          <w:rFonts w:hint="eastAsia" w:ascii="仿宋_GB2312" w:hAnsi="仿宋_GB2312" w:eastAsia="仿宋_GB2312" w:cs="仿宋_GB2312"/>
          <w:sz w:val="32"/>
          <w:szCs w:val="32"/>
          <w:lang w:val="en-US" w:eastAsia="zh-CN"/>
        </w:rPr>
        <w:t>300天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每年</w:t>
      </w:r>
      <w:r>
        <w:rPr>
          <w:rFonts w:hint="eastAsia" w:ascii="仿宋_GB2312" w:hAnsi="仿宋_GB2312" w:eastAsia="仿宋_GB2312" w:cs="仿宋_GB2312"/>
          <w:sz w:val="32"/>
          <w:szCs w:val="32"/>
        </w:rPr>
        <w:t>向</w:t>
      </w:r>
      <w:r>
        <w:rPr>
          <w:rFonts w:hint="eastAsia" w:ascii="仿宋_GB2312" w:hAnsi="仿宋_GB2312" w:eastAsia="仿宋_GB2312" w:cs="仿宋_GB2312"/>
          <w:sz w:val="32"/>
          <w:szCs w:val="32"/>
          <w:lang w:eastAsia="zh-CN"/>
        </w:rPr>
        <w:t>上级训练单位</w:t>
      </w:r>
      <w:r>
        <w:rPr>
          <w:rFonts w:hint="eastAsia" w:ascii="仿宋_GB2312" w:hAnsi="仿宋_GB2312" w:eastAsia="仿宋_GB2312" w:cs="仿宋_GB2312"/>
          <w:sz w:val="32"/>
          <w:szCs w:val="32"/>
        </w:rPr>
        <w:t>输送优秀运动员</w:t>
      </w:r>
      <w:r>
        <w:rPr>
          <w:rFonts w:hint="eastAsia" w:ascii="仿宋_GB2312" w:hAnsi="仿宋_GB2312" w:eastAsia="仿宋_GB2312" w:cs="仿宋_GB2312"/>
          <w:sz w:val="32"/>
          <w:szCs w:val="32"/>
          <w:lang w:val="en-US" w:eastAsia="zh-CN"/>
        </w:rPr>
        <w:t>超20人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我市竞技体育龙头单位。</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项目绩效目标</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1.项目绩效总目标。促进我校体育及竞技体育事业的发展。</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sz w:val="32"/>
          <w:szCs w:val="32"/>
          <w:lang w:val="en-US" w:eastAsia="zh-CN"/>
        </w:rPr>
        <w:t>2.项目绩效年度目标。</w:t>
      </w:r>
      <w:r>
        <w:rPr>
          <w:rFonts w:hint="eastAsia" w:ascii="仿宋_GB2312" w:hAnsi="仿宋_GB2312" w:eastAsia="仿宋_GB2312" w:cs="仿宋_GB2312"/>
          <w:color w:val="000000"/>
          <w:kern w:val="0"/>
          <w:sz w:val="32"/>
          <w:szCs w:val="32"/>
        </w:rPr>
        <w:t>体校青少年竞训工作开展顺利，选苗、常规</w:t>
      </w:r>
      <w:r>
        <w:rPr>
          <w:rFonts w:hint="eastAsia" w:ascii="仿宋_GB2312" w:hAnsi="仿宋_GB2312" w:eastAsia="仿宋_GB2312" w:cs="仿宋_GB2312"/>
          <w:color w:val="000000"/>
          <w:kern w:val="0"/>
          <w:sz w:val="32"/>
          <w:szCs w:val="32"/>
          <w:lang w:val="en-US" w:eastAsia="zh-CN"/>
        </w:rPr>
        <w:t>训练</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输送优秀运动员，代表岳阳</w:t>
      </w:r>
      <w:r>
        <w:rPr>
          <w:rFonts w:hint="eastAsia" w:ascii="仿宋_GB2312" w:hAnsi="仿宋_GB2312" w:eastAsia="仿宋_GB2312" w:cs="仿宋_GB2312"/>
          <w:color w:val="000000"/>
          <w:kern w:val="0"/>
          <w:sz w:val="32"/>
          <w:szCs w:val="32"/>
        </w:rPr>
        <w:t>参加</w:t>
      </w:r>
      <w:r>
        <w:rPr>
          <w:rFonts w:hint="eastAsia" w:ascii="仿宋_GB2312" w:hAnsi="仿宋_GB2312" w:eastAsia="仿宋_GB2312" w:cs="仿宋_GB2312"/>
          <w:color w:val="000000"/>
          <w:kern w:val="0"/>
          <w:sz w:val="32"/>
          <w:szCs w:val="32"/>
          <w:lang w:val="en-US" w:eastAsia="zh-CN"/>
        </w:rPr>
        <w:t>省</w:t>
      </w:r>
      <w:r>
        <w:rPr>
          <w:rFonts w:hint="eastAsia" w:ascii="仿宋_GB2312" w:hAnsi="仿宋_GB2312" w:eastAsia="仿宋_GB2312" w:cs="仿宋_GB2312"/>
          <w:color w:val="000000"/>
          <w:kern w:val="0"/>
          <w:sz w:val="32"/>
          <w:szCs w:val="32"/>
        </w:rPr>
        <w:t>运动会</w:t>
      </w:r>
      <w:r>
        <w:rPr>
          <w:rFonts w:hint="eastAsia" w:ascii="仿宋_GB2312" w:hAnsi="仿宋_GB2312" w:eastAsia="仿宋_GB2312" w:cs="仿宋_GB2312"/>
          <w:color w:val="000000"/>
          <w:kern w:val="0"/>
          <w:sz w:val="32"/>
          <w:szCs w:val="32"/>
          <w:lang w:val="en-US" w:eastAsia="zh-CN"/>
        </w:rPr>
        <w:t>及其他各项赛事，</w:t>
      </w:r>
      <w:r>
        <w:rPr>
          <w:rFonts w:hint="eastAsia" w:ascii="仿宋_GB2312" w:hAnsi="仿宋_GB2312" w:eastAsia="仿宋_GB2312" w:cs="仿宋_GB2312"/>
          <w:color w:val="000000"/>
          <w:kern w:val="0"/>
          <w:sz w:val="32"/>
          <w:szCs w:val="32"/>
        </w:rPr>
        <w:t>成绩显著，</w:t>
      </w:r>
      <w:r>
        <w:rPr>
          <w:rFonts w:hint="eastAsia" w:ascii="仿宋_GB2312" w:hAnsi="仿宋_GB2312" w:eastAsia="仿宋_GB2312" w:cs="仿宋_GB2312"/>
          <w:color w:val="000000"/>
          <w:kern w:val="0"/>
          <w:sz w:val="32"/>
          <w:szCs w:val="32"/>
          <w:lang w:val="en-US" w:eastAsia="zh-CN"/>
        </w:rPr>
        <w:t>射击项目有新的突破，后备人才</w:t>
      </w:r>
      <w:r>
        <w:rPr>
          <w:rFonts w:hint="default" w:ascii="仿宋_GB2312" w:hAnsi="仿宋_GB2312" w:eastAsia="仿宋_GB2312" w:cs="仿宋_GB2312"/>
          <w:color w:val="000000"/>
          <w:kern w:val="0"/>
          <w:sz w:val="32"/>
          <w:szCs w:val="32"/>
          <w:lang w:val="en-US" w:eastAsia="zh-CN"/>
        </w:rPr>
        <w:t>梯队建设完整并扩大</w:t>
      </w:r>
      <w:r>
        <w:rPr>
          <w:rFonts w:hint="eastAsia" w:ascii="仿宋_GB2312" w:hAnsi="仿宋_GB2312" w:eastAsia="仿宋_GB2312" w:cs="仿宋_GB2312"/>
          <w:color w:val="000000"/>
          <w:kern w:val="0"/>
          <w:sz w:val="32"/>
          <w:szCs w:val="32"/>
          <w:lang w:val="en-US"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二、 绩效评价工作情况</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绩效评价目的</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规范体彩公益金管理，切实提高专项资金使用效益；建立健全绩效评价机制，更好的促进全市体育事业的健康发展。</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(二)绩效评价原则、方式方法</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目标导向、依法评价；科学规范、分级实施；客观公正、公开透明。</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(三)绩效评价工作过程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2025年湖南省青少年锦标赛中，我校运动健儿奋勇拼搏，共夺得金牌31枚、银牌29枚、铜牌36枚。其中，摔跤队表现突出，贡献7枚金牌；皮划艇、手枪、射箭、跆拳道等项目也各有3枚金牌入账，展现了较好的比赛风貌。在全国第十五届运动会上，我校共有16名运动员代表湖南省参赛，取得了较好成绩。射箭运动员孙景宣获得男子70米个人项目银牌；射击运动员刘汝璇与队友合作夺得十米气步枪团体银牌；摔跤运动员周倩（女子76kg级）、熊达华（男子古典式60kg级）均获得第五名；水球运动员朱格林助力男子水球队获得小组赛第五名。这些成绩充分体现了我校在高水平竞技人才培养上的成效</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三、 绩效评价指标分析情况</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项目管理情况分析</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1.业务管理情况分析</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项目管理制度建设情况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为加强体彩公益金专项资金使用的管理，我</w:t>
      </w:r>
      <w:r>
        <w:rPr>
          <w:rFonts w:hint="eastAsia" w:ascii="仿宋_GB2312" w:hAnsi="仿宋_GB2312" w:eastAsia="仿宋_GB2312" w:cs="仿宋_GB2312"/>
          <w:sz w:val="32"/>
          <w:szCs w:val="32"/>
          <w:lang w:val="en-US" w:eastAsia="zh-CN"/>
        </w:rPr>
        <w:t>校</w:t>
      </w:r>
      <w:r>
        <w:rPr>
          <w:rFonts w:hint="eastAsia" w:ascii="仿宋_GB2312" w:hAnsi="仿宋_GB2312" w:eastAsia="仿宋_GB2312" w:cs="仿宋_GB2312"/>
          <w:sz w:val="32"/>
          <w:szCs w:val="32"/>
        </w:rPr>
        <w:t>出台了体彩公益金专项资金使用规章制度。在专项资金的使用过程中，我</w:t>
      </w:r>
      <w:r>
        <w:rPr>
          <w:rFonts w:hint="eastAsia" w:ascii="仿宋_GB2312" w:hAnsi="仿宋_GB2312" w:eastAsia="仿宋_GB2312" w:cs="仿宋_GB2312"/>
          <w:sz w:val="32"/>
          <w:szCs w:val="32"/>
          <w:lang w:val="en-US" w:eastAsia="zh-CN"/>
        </w:rPr>
        <w:t>校</w:t>
      </w:r>
      <w:r>
        <w:rPr>
          <w:rFonts w:hint="eastAsia" w:ascii="仿宋_GB2312" w:hAnsi="仿宋_GB2312" w:eastAsia="仿宋_GB2312" w:cs="仿宋_GB2312"/>
          <w:sz w:val="32"/>
          <w:szCs w:val="32"/>
        </w:rPr>
        <w:t>严格执行国家和省、市、区有关专项资金开支的范围和标准，财务信息公开透明。</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资金下达及时性：2025年度资金及时下达。</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项目管理制度执行情况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2025年整体</w:t>
      </w:r>
      <w:r>
        <w:rPr>
          <w:rFonts w:hint="eastAsia" w:ascii="仿宋_GB2312" w:hAnsi="仿宋_GB2312" w:eastAsia="仿宋_GB2312" w:cs="仿宋_GB2312"/>
          <w:sz w:val="32"/>
          <w:szCs w:val="32"/>
        </w:rPr>
        <w:t>资金的使用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0"/>
          <w:sz w:val="32"/>
          <w:szCs w:val="32"/>
        </w:rPr>
        <w:t>学校严格执行专项资金管理制度，专项资金拨付本着专款专用的原则，</w:t>
      </w:r>
      <w:r>
        <w:rPr>
          <w:rFonts w:hint="eastAsia" w:ascii="仿宋_GB2312" w:hAnsi="仿宋_GB2312" w:eastAsia="仿宋_GB2312" w:cs="仿宋_GB2312"/>
          <w:color w:val="000000"/>
          <w:kern w:val="0"/>
          <w:sz w:val="32"/>
          <w:szCs w:val="32"/>
          <w:lang w:val="en-US" w:eastAsia="zh-CN"/>
        </w:rPr>
        <w:t>本单位帐面反映：</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基本支出：1、工资福利支出：669.2万元</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1920" w:firstLineChars="6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2、商品和服务支出：744.5万元</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1920" w:leftChars="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3、对个人和家庭补助支出：290.5万元</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1920" w:leftChars="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合计：1704.2</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firstLine="320" w:firstLineChars="1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项目支出：1、训练经费：261万元</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1600" w:leftChars="0" w:firstLine="320" w:firstLineChars="1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2、比赛经费：95.33万元</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1600" w:leftChars="0" w:firstLine="320" w:firstLineChars="1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3、购置训练器材：19.67元。</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1600" w:leftChars="0" w:firstLine="320" w:firstLineChars="1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合计：376万元；资金执行率100%</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2.财务管理情况分析</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为切实规范专项资金管理，保障资金安全、高效运行，发挥资金使用效益，我</w:t>
      </w:r>
      <w:r>
        <w:rPr>
          <w:rFonts w:hint="eastAsia" w:ascii="仿宋_GB2312" w:hAnsi="仿宋_GB2312" w:eastAsia="仿宋_GB2312" w:cs="仿宋_GB2312"/>
          <w:sz w:val="32"/>
          <w:szCs w:val="32"/>
          <w:lang w:val="en-US" w:eastAsia="zh-CN"/>
        </w:rPr>
        <w:t>校</w:t>
      </w:r>
      <w:r>
        <w:rPr>
          <w:rFonts w:hint="eastAsia" w:ascii="仿宋_GB2312" w:hAnsi="仿宋_GB2312" w:eastAsia="仿宋_GB2312" w:cs="仿宋_GB2312"/>
          <w:sz w:val="32"/>
          <w:szCs w:val="32"/>
          <w:lang w:eastAsia="zh-CN"/>
        </w:rPr>
        <w:t>制定以下管理制度：专项资金实行“专人管理、专账核算、专项使用”。资金的拨付本着专款专用的原则，严格执行项目资金 批准的使用计划和项目批复内容，不准擅自调项、扩项、缩项，更不准拆借、挪用、挤占和随意扣压；资金拨付动向，按不同专项资金的要求执行，不准任意改变；特殊情况，必须请示。严格专项资金初审、审核制度，不准缺项和越程序办理手续，各类专项资金审批程序，以该专项资金审批表所列内容和文件要求为佳。专项资金报帐拨付要附真实、有效、合法的凭证。</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对专项资金要定期或不定期进行督查，确保项目资金 专款专用。项目严格按照专项资金的用途和范围，专款专用，按照实际开支予以支付报销。</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(二)项目绩效情况分析</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1.项目产出分析</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(1)数量指标：保障参加202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年湖南省</w:t>
      </w:r>
      <w:r>
        <w:rPr>
          <w:rFonts w:hint="eastAsia" w:ascii="仿宋_GB2312" w:hAnsi="仿宋_GB2312" w:eastAsia="仿宋_GB2312" w:cs="仿宋_GB2312"/>
          <w:sz w:val="32"/>
          <w:szCs w:val="32"/>
          <w:lang w:val="en-US" w:eastAsia="zh-CN"/>
        </w:rPr>
        <w:t>举办各项目比赛相关经费支出。</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(2)质量指标：提高本活动影响力并按时完成任务。</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(3)时效指标：</w:t>
      </w:r>
      <w:r>
        <w:rPr>
          <w:rFonts w:hint="eastAsia" w:ascii="仿宋_GB2312" w:hAnsi="仿宋_GB2312" w:eastAsia="仿宋_GB2312" w:cs="仿宋_GB2312"/>
          <w:sz w:val="32"/>
          <w:szCs w:val="32"/>
          <w:lang w:val="en-US" w:eastAsia="zh-CN"/>
        </w:rPr>
        <w:t>2025年1月至12月</w:t>
      </w:r>
      <w:r>
        <w:rPr>
          <w:rFonts w:hint="eastAsia" w:ascii="仿宋_GB2312" w:hAnsi="仿宋_GB2312" w:eastAsia="仿宋_GB2312" w:cs="仿宋_GB2312"/>
          <w:sz w:val="32"/>
          <w:szCs w:val="32"/>
          <w:lang w:eastAsia="zh-CN"/>
        </w:rPr>
        <w:t>按时完成。</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(4)成本指标：节约行政成本和运行费用。</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2.项目效益分析</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(1)社会效益：</w:t>
      </w:r>
      <w:r>
        <w:rPr>
          <w:rFonts w:hint="eastAsia" w:ascii="仿宋_GB2312" w:hAnsi="仿宋_GB2312" w:eastAsia="仿宋_GB2312" w:cs="仿宋_GB2312"/>
          <w:sz w:val="32"/>
          <w:szCs w:val="32"/>
        </w:rPr>
        <w:t>学生</w:t>
      </w:r>
      <w:r>
        <w:rPr>
          <w:rFonts w:hint="eastAsia" w:ascii="仿宋_GB2312" w:hAnsi="仿宋_GB2312" w:eastAsia="仿宋_GB2312" w:cs="仿宋_GB2312"/>
          <w:sz w:val="32"/>
          <w:szCs w:val="32"/>
          <w:lang w:eastAsia="zh-CN"/>
        </w:rPr>
        <w:t>在全运会上成绩，省、市级媒体争相报道</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承办省级赛事，提升</w:t>
      </w:r>
      <w:r>
        <w:rPr>
          <w:rFonts w:hint="eastAsia" w:ascii="仿宋_GB2312" w:hAnsi="仿宋_GB2312" w:eastAsia="仿宋_GB2312" w:cs="仿宋_GB2312"/>
          <w:sz w:val="32"/>
          <w:szCs w:val="32"/>
        </w:rPr>
        <w:t>学校知名度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学校环境及校园文化建设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办学条件</w:t>
      </w:r>
      <w:r>
        <w:rPr>
          <w:rFonts w:hint="eastAsia" w:ascii="仿宋_GB2312" w:hAnsi="仿宋_GB2312" w:eastAsia="仿宋_GB2312" w:cs="仿宋_GB2312"/>
          <w:sz w:val="32"/>
          <w:szCs w:val="32"/>
          <w:lang w:eastAsia="zh-CN"/>
        </w:rPr>
        <w:t>、训练质量、教学质量逐年提升。</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(2)可持续影响：推动我</w:t>
      </w:r>
      <w:r>
        <w:rPr>
          <w:rFonts w:hint="eastAsia" w:ascii="仿宋_GB2312" w:hAnsi="仿宋_GB2312" w:eastAsia="仿宋_GB2312" w:cs="仿宋_GB2312"/>
          <w:sz w:val="32"/>
          <w:szCs w:val="32"/>
          <w:lang w:val="en-US" w:eastAsia="zh-CN"/>
        </w:rPr>
        <w:t>市青少年</w:t>
      </w:r>
      <w:r>
        <w:rPr>
          <w:rFonts w:hint="eastAsia" w:ascii="仿宋_GB2312" w:hAnsi="仿宋_GB2312" w:eastAsia="仿宋_GB2312" w:cs="仿宋_GB2312"/>
          <w:sz w:val="32"/>
          <w:szCs w:val="32"/>
          <w:lang w:eastAsia="zh-CN"/>
        </w:rPr>
        <w:t>体育事业健康发展。</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(3)满意度指标完成情况分析：本次赛事开展社会公众满意度达到年初目标，活动参与者的满意度颇高。</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、绩效评价结果应用建议</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绩效评价结果应用，进一步规范了财政资金管理，强化了绩效和责任意识，切实提高了财政资金使用效益，为使绩效评价结果得到合理应用，可将此次绩效评价结果作为以</w:t>
      </w:r>
      <w:r>
        <w:rPr>
          <w:rFonts w:hint="eastAsia" w:ascii="仿宋_GB2312" w:hAnsi="仿宋_GB2312" w:eastAsia="仿宋_GB2312" w:cs="仿宋_GB2312"/>
          <w:sz w:val="32"/>
          <w:szCs w:val="32"/>
          <w:lang w:val="en-US" w:eastAsia="zh-CN"/>
        </w:rPr>
        <w:t>后年度建设资金分配的重要依据之一。</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sz w:val="32"/>
          <w:szCs w:val="32"/>
          <w:lang w:eastAsia="zh-CN"/>
        </w:rPr>
      </w:pPr>
      <w:r>
        <w:rPr>
          <w:rFonts w:hint="eastAsia" w:ascii="黑体" w:hAnsi="黑体" w:eastAsia="黑体" w:cs="黑体"/>
          <w:sz w:val="32"/>
          <w:szCs w:val="32"/>
          <w:lang w:val="en-US" w:eastAsia="zh-CN"/>
        </w:rPr>
        <w:t>五、</w:t>
      </w:r>
      <w:r>
        <w:rPr>
          <w:rFonts w:hint="eastAsia" w:ascii="黑体" w:hAnsi="黑体" w:eastAsia="黑体" w:cs="黑体"/>
          <w:sz w:val="32"/>
          <w:szCs w:val="32"/>
          <w:lang w:eastAsia="zh-CN"/>
        </w:rPr>
        <w:t>主要经验及做法、存在的问题和建议</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主要经验及做法</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1.规范专项资金使用范围。专项资金使用严格按照国家和省财政、体育部门的相关规定，坚决杜绝超范围使用。</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2.健立健全专项资金管理制度。不断完善专项资金使用制度，做到项目立项和经费支出依法管理、规范使用。</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3.强化专项资金监管力度。进一步加强财务、审计、纪检监察等职能科室对专项资金事前、事中和事后全过程的监管。</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jc w:val="both"/>
        <w:textAlignment w:val="baseline"/>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lang w:eastAsia="zh-CN"/>
        </w:rPr>
        <w:t>）相关建议</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pacing w:val="4"/>
          <w:sz w:val="32"/>
          <w:szCs w:val="32"/>
          <w:lang w:eastAsia="zh-CN"/>
        </w:rPr>
      </w:pPr>
      <w:r>
        <w:rPr>
          <w:rFonts w:hint="eastAsia" w:ascii="仿宋_GB2312" w:hAnsi="仿宋_GB2312" w:eastAsia="仿宋_GB2312" w:cs="仿宋_GB2312"/>
          <w:sz w:val="32"/>
          <w:szCs w:val="32"/>
          <w:lang w:eastAsia="zh-CN"/>
        </w:rPr>
        <w:t>增加中央、省级、市级财政专项资金的投入力度。国家层面对体育工作要求越来越高，人才培养成本逐渐增加，地方财政日渐紧缩，学校两校三馆</w:t>
      </w:r>
      <w:r>
        <w:rPr>
          <w:rFonts w:hint="eastAsia" w:ascii="仿宋_GB2312" w:hAnsi="仿宋_GB2312" w:eastAsia="仿宋_GB2312" w:cs="仿宋_GB2312"/>
          <w:sz w:val="32"/>
          <w:szCs w:val="32"/>
          <w:lang w:val="en-US" w:eastAsia="zh-CN"/>
        </w:rPr>
        <w:t>15支队伍日常训练保障经费压力大</w:t>
      </w:r>
      <w:r>
        <w:rPr>
          <w:rFonts w:hint="eastAsia" w:ascii="仿宋_GB2312" w:hAnsi="仿宋_GB2312" w:eastAsia="仿宋_GB2312" w:cs="仿宋_GB2312"/>
          <w:sz w:val="32"/>
          <w:szCs w:val="32"/>
          <w:lang w:eastAsia="zh-CN"/>
        </w:rPr>
        <w:t>，望上级部门加大对我校专项资金的拨付力度，更好的推动我</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lang w:eastAsia="zh-CN"/>
        </w:rPr>
        <w:t>体育事业的发展。</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0" w:firstLine="656" w:firstLineChars="200"/>
        <w:textAlignment w:val="baseline"/>
        <w:rPr>
          <w:rFonts w:hint="eastAsia" w:ascii="仿宋_GB2312" w:hAnsi="仿宋_GB2312" w:eastAsia="仿宋_GB2312" w:cs="仿宋_GB2312"/>
          <w:spacing w:val="4"/>
          <w:sz w:val="32"/>
          <w:szCs w:val="32"/>
          <w:lang w:eastAsia="zh-CN"/>
        </w:rPr>
      </w:pPr>
    </w:p>
    <w:p>
      <w:pPr>
        <w:keepNext w:val="0"/>
        <w:keepLines w:val="0"/>
        <w:pageBreakBefore w:val="0"/>
        <w:widowControl/>
        <w:kinsoku w:val="0"/>
        <w:wordWrap w:val="0"/>
        <w:overflowPunct/>
        <w:topLinePunct w:val="0"/>
        <w:autoSpaceDE w:val="0"/>
        <w:autoSpaceDN w:val="0"/>
        <w:bidi w:val="0"/>
        <w:adjustRightInd w:val="0"/>
        <w:snapToGrid w:val="0"/>
        <w:spacing w:line="540" w:lineRule="exact"/>
        <w:ind w:left="0" w:firstLine="656" w:firstLineChars="200"/>
        <w:jc w:val="right"/>
        <w:textAlignment w:val="baseline"/>
        <w:rPr>
          <w:rFonts w:hint="default"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eastAsia="zh-CN"/>
        </w:rPr>
        <w:t>岳阳市</w:t>
      </w:r>
      <w:r>
        <w:rPr>
          <w:rFonts w:hint="eastAsia" w:ascii="仿宋_GB2312" w:hAnsi="仿宋_GB2312" w:eastAsia="仿宋_GB2312" w:cs="仿宋_GB2312"/>
          <w:spacing w:val="4"/>
          <w:sz w:val="32"/>
          <w:szCs w:val="32"/>
          <w:lang w:val="en-US" w:eastAsia="zh-CN"/>
        </w:rPr>
        <w:t xml:space="preserve">体育运动学校   </w:t>
      </w:r>
    </w:p>
    <w:p>
      <w:pPr>
        <w:keepNext w:val="0"/>
        <w:keepLines w:val="0"/>
        <w:pageBreakBefore w:val="0"/>
        <w:widowControl/>
        <w:kinsoku w:val="0"/>
        <w:wordWrap w:val="0"/>
        <w:overflowPunct/>
        <w:topLinePunct w:val="0"/>
        <w:autoSpaceDE w:val="0"/>
        <w:autoSpaceDN w:val="0"/>
        <w:bidi w:val="0"/>
        <w:adjustRightInd w:val="0"/>
        <w:snapToGrid w:val="0"/>
        <w:spacing w:line="540" w:lineRule="exact"/>
        <w:ind w:left="0" w:firstLine="656" w:firstLineChars="200"/>
        <w:jc w:val="right"/>
        <w:textAlignment w:val="baseline"/>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eastAsia="zh-CN"/>
        </w:rPr>
        <w:t>202</w:t>
      </w:r>
      <w:r>
        <w:rPr>
          <w:rFonts w:hint="eastAsia" w:ascii="仿宋_GB2312" w:hAnsi="仿宋_GB2312" w:eastAsia="仿宋_GB2312" w:cs="仿宋_GB2312"/>
          <w:spacing w:val="4"/>
          <w:sz w:val="32"/>
          <w:szCs w:val="32"/>
          <w:lang w:val="en-US" w:eastAsia="zh-CN"/>
        </w:rPr>
        <w:t>5</w:t>
      </w:r>
      <w:r>
        <w:rPr>
          <w:rFonts w:hint="eastAsia" w:ascii="仿宋_GB2312" w:hAnsi="仿宋_GB2312" w:eastAsia="仿宋_GB2312" w:cs="仿宋_GB2312"/>
          <w:spacing w:val="4"/>
          <w:sz w:val="32"/>
          <w:szCs w:val="32"/>
          <w:lang w:eastAsia="zh-CN"/>
        </w:rPr>
        <w:t>年</w:t>
      </w:r>
      <w:r>
        <w:rPr>
          <w:rFonts w:hint="eastAsia" w:ascii="仿宋_GB2312" w:hAnsi="仿宋_GB2312" w:eastAsia="仿宋_GB2312" w:cs="仿宋_GB2312"/>
          <w:spacing w:val="4"/>
          <w:sz w:val="32"/>
          <w:szCs w:val="32"/>
          <w:lang w:val="en-US" w:eastAsia="zh-CN"/>
        </w:rPr>
        <w:t>12</w:t>
      </w:r>
      <w:r>
        <w:rPr>
          <w:rFonts w:hint="eastAsia" w:ascii="仿宋_GB2312" w:hAnsi="仿宋_GB2312" w:eastAsia="仿宋_GB2312" w:cs="仿宋_GB2312"/>
          <w:spacing w:val="4"/>
          <w:sz w:val="32"/>
          <w:szCs w:val="32"/>
          <w:lang w:eastAsia="zh-CN"/>
        </w:rPr>
        <w:t>月</w:t>
      </w:r>
      <w:r>
        <w:rPr>
          <w:rFonts w:hint="eastAsia" w:ascii="仿宋_GB2312" w:hAnsi="仿宋_GB2312" w:eastAsia="仿宋_GB2312" w:cs="仿宋_GB2312"/>
          <w:spacing w:val="4"/>
          <w:sz w:val="32"/>
          <w:szCs w:val="32"/>
          <w:lang w:val="en-US" w:eastAsia="zh-CN"/>
        </w:rPr>
        <w:t xml:space="preserve">31日   </w:t>
      </w:r>
    </w:p>
    <w:p>
      <w:pPr>
        <w:keepNext w:val="0"/>
        <w:keepLines w:val="0"/>
        <w:pageBreakBefore w:val="0"/>
        <w:widowControl/>
        <w:kinsoku w:val="0"/>
        <w:wordWrap/>
        <w:overflowPunct/>
        <w:topLinePunct w:val="0"/>
        <w:autoSpaceDE w:val="0"/>
        <w:autoSpaceDN w:val="0"/>
        <w:bidi w:val="0"/>
        <w:adjustRightInd w:val="0"/>
        <w:snapToGrid w:val="0"/>
        <w:spacing w:line="540" w:lineRule="exact"/>
        <w:ind w:left="0" w:firstLine="656" w:firstLineChars="200"/>
        <w:jc w:val="right"/>
        <w:textAlignment w:val="baseline"/>
        <w:rPr>
          <w:rFonts w:hint="eastAsia" w:ascii="仿宋_GB2312" w:hAnsi="仿宋_GB2312" w:eastAsia="仿宋_GB2312" w:cs="仿宋_GB2312"/>
          <w:spacing w:val="4"/>
          <w:sz w:val="32"/>
          <w:szCs w:val="32"/>
          <w:lang w:val="en-US" w:eastAsia="zh-CN"/>
        </w:rPr>
      </w:pPr>
      <w:bookmarkStart w:id="0" w:name="_GoBack"/>
      <w:bookmarkEnd w:id="0"/>
    </w:p>
    <w:p>
      <w:pPr>
        <w:keepNext w:val="0"/>
        <w:keepLines w:val="0"/>
        <w:pageBreakBefore w:val="0"/>
        <w:widowControl/>
        <w:kinsoku w:val="0"/>
        <w:wordWrap/>
        <w:overflowPunct/>
        <w:topLinePunct w:val="0"/>
        <w:autoSpaceDE w:val="0"/>
        <w:autoSpaceDN w:val="0"/>
        <w:bidi w:val="0"/>
        <w:adjustRightInd w:val="0"/>
        <w:snapToGrid w:val="0"/>
        <w:spacing w:line="540" w:lineRule="exact"/>
        <w:ind w:left="0" w:firstLine="656" w:firstLineChars="200"/>
        <w:jc w:val="right"/>
        <w:textAlignment w:val="baseline"/>
        <w:rPr>
          <w:rFonts w:hint="default" w:ascii="仿宋_GB2312" w:hAnsi="仿宋_GB2312" w:eastAsia="仿宋_GB2312" w:cs="仿宋_GB2312"/>
          <w:spacing w:val="4"/>
          <w:sz w:val="32"/>
          <w:szCs w:val="32"/>
          <w:lang w:val="en-US" w:eastAsia="zh-CN"/>
        </w:rPr>
        <w:sectPr>
          <w:pgSz w:w="11900" w:h="16830"/>
          <w:pgMar w:top="1417" w:right="1474" w:bottom="1417" w:left="1474" w:header="0" w:footer="0" w:gutter="0"/>
          <w:cols w:space="720" w:num="1"/>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altName w:val="宋体"/>
    <w:panose1 w:val="02000500000000000000"/>
    <w:charset w:val="86"/>
    <w:family w:val="auto"/>
    <w:pitch w:val="default"/>
    <w:sig w:usb0="00000000" w:usb1="00000000"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2F1142"/>
    <w:rsid w:val="00A81D22"/>
    <w:rsid w:val="012F1142"/>
    <w:rsid w:val="044A62E2"/>
    <w:rsid w:val="50A22328"/>
    <w:rsid w:val="689F5810"/>
    <w:rsid w:val="6FC35E69"/>
    <w:rsid w:val="7DE571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9">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semiHidden/>
    <w:qFormat/>
    <w:uiPriority w:val="0"/>
    <w:pPr>
      <w:spacing w:after="120"/>
    </w:pPr>
  </w:style>
  <w:style w:type="paragraph" w:styleId="3">
    <w:name w:val="toc 5"/>
    <w:basedOn w:val="1"/>
    <w:next w:val="1"/>
    <w:semiHidden/>
    <w:qFormat/>
    <w:uiPriority w:val="99"/>
    <w:pPr>
      <w:ind w:left="1680" w:leftChars="800"/>
    </w:pPr>
  </w:style>
  <w:style w:type="paragraph" w:styleId="4">
    <w:name w:val="Body Text Indent"/>
    <w:basedOn w:val="1"/>
    <w:next w:val="1"/>
    <w:qFormat/>
    <w:uiPriority w:val="0"/>
    <w:pPr>
      <w:spacing w:after="120"/>
      <w:ind w:left="420" w:leftChars="200"/>
    </w:pPr>
    <w:rPr>
      <w:rFonts w:ascii="Times New Roman" w:hAnsi="Times New Roman" w:eastAsia="宋体" w:cs="Times New Roman"/>
    </w:rPr>
  </w:style>
  <w:style w:type="paragraph" w:styleId="5">
    <w:name w:val="footnote text"/>
    <w:basedOn w:val="1"/>
    <w:next w:val="6"/>
    <w:qFormat/>
    <w:uiPriority w:val="0"/>
    <w:pPr>
      <w:snapToGrid w:val="0"/>
      <w:jc w:val="left"/>
    </w:pPr>
    <w:rPr>
      <w:rFonts w:eastAsia="宋体"/>
      <w:sz w:val="18"/>
    </w:rPr>
  </w:style>
  <w:style w:type="paragraph" w:styleId="6">
    <w:name w:val="Body Text First Indent 2"/>
    <w:basedOn w:val="4"/>
    <w:next w:val="7"/>
    <w:qFormat/>
    <w:uiPriority w:val="0"/>
    <w:pPr>
      <w:ind w:firstLine="420" w:firstLineChars="200"/>
    </w:pPr>
  </w:style>
  <w:style w:type="paragraph" w:styleId="7">
    <w:name w:val="Body Text First Indent"/>
    <w:basedOn w:val="2"/>
    <w:next w:val="2"/>
    <w:qFormat/>
    <w:uiPriority w:val="0"/>
    <w:pPr>
      <w:ind w:firstLine="420" w:firstLineChars="100"/>
    </w:pPr>
    <w:rPr>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2139</Words>
  <Characters>2255</Characters>
  <Lines>0</Lines>
  <Paragraphs>0</Paragraphs>
  <TotalTime>38</TotalTime>
  <ScaleCrop>false</ScaleCrop>
  <LinksUpToDate>false</LinksUpToDate>
  <CharactersWithSpaces>2267</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2026-07-17T07:59:00Z</dcterms:created>
  <dc:creator>音</dc:creator>
  <cp:lastModifiedBy>002</cp:lastModifiedBy>
  <dcterms:modified xsi:type="dcterms:W3CDTF">2026-07-21T00:54:42Z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6769AB0141EE49F49471FD3A81619AD4_11</vt:lpwstr>
  </property>
  <property fmtid="{D5CDD505-2E9C-101B-9397-08002B2CF9AE}" pid="4" name="KSOTemplateDocerSaveRecord">
    <vt:lpwstr>eyJoZGlkIjoiN2EzNDg1NmYzOWU5YmQyNGYxMGQ1NjNiZDNlYmY4NjUiLCJ1c2VySWQiOiIzMTAyNjc0NjQifQ==</vt:lpwstr>
  </property>
</Properties>
</file>