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900" w:lineRule="exact"/>
        <w:jc w:val="center"/>
        <w:rPr>
          <w:rFonts w:ascii="方正小标宋简体" w:eastAsia="方正小标宋简体"/>
          <w:w w:val="90"/>
          <w:sz w:val="52"/>
          <w:szCs w:val="52"/>
        </w:rPr>
      </w:pPr>
    </w:p>
    <w:p>
      <w:pPr>
        <w:spacing w:line="900" w:lineRule="exact"/>
        <w:jc w:val="center"/>
        <w:rPr>
          <w:rFonts w:ascii="方正小标宋简体" w:eastAsia="方正小标宋简体"/>
          <w:w w:val="90"/>
          <w:sz w:val="52"/>
          <w:szCs w:val="52"/>
        </w:rPr>
      </w:pPr>
    </w:p>
    <w:p>
      <w:pPr>
        <w:spacing w:line="900" w:lineRule="exact"/>
        <w:jc w:val="center"/>
        <w:rPr>
          <w:rFonts w:ascii="仿宋" w:hAnsi="仿宋" w:eastAsia="仿宋" w:cs="方正小标宋简体"/>
          <w:w w:val="90"/>
          <w:sz w:val="52"/>
          <w:szCs w:val="52"/>
        </w:rPr>
      </w:pPr>
      <w:r>
        <w:rPr>
          <w:rFonts w:hint="eastAsia" w:ascii="仿宋" w:hAnsi="仿宋" w:eastAsia="仿宋" w:cs="方正小标宋简体"/>
          <w:w w:val="90"/>
          <w:sz w:val="52"/>
          <w:szCs w:val="52"/>
        </w:rPr>
        <w:t>2025年度岳阳市教育体育局整体支出</w:t>
      </w:r>
    </w:p>
    <w:p>
      <w:pPr>
        <w:spacing w:line="900" w:lineRule="exact"/>
        <w:jc w:val="center"/>
        <w:rPr>
          <w:rFonts w:ascii="仿宋" w:hAnsi="仿宋" w:eastAsia="仿宋" w:cs="方正小标宋简体"/>
          <w:w w:val="90"/>
          <w:sz w:val="52"/>
          <w:szCs w:val="52"/>
        </w:rPr>
      </w:pPr>
      <w:r>
        <w:rPr>
          <w:rFonts w:hint="eastAsia" w:ascii="仿宋" w:hAnsi="仿宋" w:eastAsia="仿宋" w:cs="方正小标宋简体"/>
          <w:w w:val="90"/>
          <w:sz w:val="52"/>
          <w:szCs w:val="52"/>
        </w:rPr>
        <w:t>绩效自评报告</w:t>
      </w:r>
    </w:p>
    <w:p>
      <w:pPr>
        <w:jc w:val="center"/>
        <w:rPr>
          <w:rFonts w:ascii="仿宋" w:hAnsi="仿宋" w:eastAsia="仿宋"/>
          <w:sz w:val="48"/>
          <w:szCs w:val="48"/>
        </w:rPr>
      </w:pPr>
    </w:p>
    <w:p>
      <w:pPr>
        <w:jc w:val="center"/>
        <w:rPr>
          <w:rFonts w:ascii="仿宋" w:hAnsi="仿宋" w:eastAsia="仿宋"/>
          <w:sz w:val="48"/>
          <w:szCs w:val="48"/>
        </w:rPr>
      </w:pPr>
    </w:p>
    <w:p>
      <w:pPr>
        <w:jc w:val="center"/>
        <w:rPr>
          <w:rFonts w:ascii="仿宋" w:hAnsi="仿宋" w:eastAsia="仿宋"/>
          <w:sz w:val="48"/>
          <w:szCs w:val="48"/>
        </w:rPr>
      </w:pPr>
    </w:p>
    <w:p>
      <w:pPr>
        <w:jc w:val="center"/>
        <w:rPr>
          <w:rFonts w:ascii="仿宋" w:hAnsi="仿宋" w:eastAsia="仿宋"/>
          <w:sz w:val="48"/>
          <w:szCs w:val="48"/>
        </w:rPr>
      </w:pPr>
    </w:p>
    <w:p>
      <w:pPr>
        <w:ind w:firstLine="960" w:firstLineChars="200"/>
        <w:jc w:val="center"/>
        <w:rPr>
          <w:rFonts w:ascii="仿宋" w:hAnsi="仿宋" w:eastAsia="仿宋"/>
          <w:sz w:val="48"/>
          <w:szCs w:val="48"/>
        </w:rPr>
      </w:pPr>
    </w:p>
    <w:p>
      <w:pPr>
        <w:ind w:firstLine="960" w:firstLineChars="200"/>
        <w:rPr>
          <w:rFonts w:ascii="仿宋" w:hAnsi="仿宋" w:eastAsia="仿宋"/>
          <w:sz w:val="48"/>
          <w:szCs w:val="48"/>
        </w:rPr>
      </w:pPr>
    </w:p>
    <w:p>
      <w:pPr>
        <w:ind w:firstLine="960" w:firstLineChars="200"/>
        <w:rPr>
          <w:rFonts w:ascii="仿宋" w:hAnsi="仿宋" w:eastAsia="仿宋"/>
          <w:sz w:val="48"/>
          <w:szCs w:val="48"/>
        </w:rPr>
      </w:pPr>
    </w:p>
    <w:p>
      <w:pPr>
        <w:spacing w:line="900" w:lineRule="exact"/>
        <w:jc w:val="center"/>
        <w:rPr>
          <w:rFonts w:ascii="仿宋" w:hAnsi="仿宋" w:eastAsia="仿宋" w:cs="方正小标宋简体"/>
          <w:w w:val="90"/>
          <w:sz w:val="52"/>
          <w:szCs w:val="52"/>
        </w:rPr>
      </w:pPr>
      <w:r>
        <w:rPr>
          <w:rFonts w:hint="eastAsia" w:ascii="仿宋" w:hAnsi="仿宋" w:eastAsia="仿宋" w:cs="方正小标宋简体"/>
          <w:w w:val="90"/>
          <w:sz w:val="52"/>
          <w:szCs w:val="52"/>
        </w:rPr>
        <w:t>单位名称（盖章）：</w:t>
      </w:r>
    </w:p>
    <w:p>
      <w:pPr>
        <w:rPr>
          <w:rFonts w:ascii="仿宋" w:hAnsi="仿宋" w:eastAsia="仿宋"/>
          <w:sz w:val="48"/>
          <w:szCs w:val="48"/>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spacing w:line="600" w:lineRule="exact"/>
        <w:ind w:firstLine="642" w:firstLineChars="200"/>
        <w:rPr>
          <w:rFonts w:ascii="仿宋_GB2312" w:hAnsi="仿宋_GB2312" w:eastAsia="仿宋_GB2312" w:cs="仿宋_GB2312"/>
          <w:b/>
          <w:bCs/>
          <w:sz w:val="32"/>
          <w:szCs w:val="32"/>
        </w:rPr>
        <w:sectPr>
          <w:pgSz w:w="11906" w:h="16838"/>
          <w:pgMar w:top="1587" w:right="1587" w:bottom="1587" w:left="1587" w:header="851" w:footer="992" w:gutter="0"/>
          <w:pgNumType w:fmt="numberInDash"/>
          <w:cols w:space="425" w:num="1"/>
          <w:docGrid w:type="lines" w:linePitch="312" w:charSpace="0"/>
        </w:sectPr>
      </w:pP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一、基本情况</w:t>
      </w:r>
    </w:p>
    <w:p>
      <w:pPr>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（一）职能职责</w:t>
      </w:r>
    </w:p>
    <w:p>
      <w:pPr>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岳阳市教育体育局主要工作职能为统筹规划和协调管理全市各级各类教育体育事业，负责拟订全市教育体育事业发展战略和规划、实施办法、年度计划和体制改革方案，并组织实施。指导教育教学研究和改革，负责教育体育基本信息的统计、分析和发布，指导全市教育体育系统精神文明建设工作。统筹管理本部门教育体育经费。主管全市教师和体育从业人员工作。贯彻落实《全民健身条例》，指导开展群众性体育、竞技体育、青少年体育活动，负责体育产业发展规划和管理。</w:t>
      </w:r>
    </w:p>
    <w:p>
      <w:pPr>
        <w:numPr>
          <w:ilvl w:val="0"/>
          <w:numId w:val="1"/>
        </w:numPr>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机构</w:t>
      </w:r>
      <w:r>
        <w:rPr>
          <w:rFonts w:hint="eastAsia" w:ascii="仿宋" w:hAnsi="仿宋" w:eastAsia="仿宋" w:cs="仿宋_GB2312"/>
          <w:sz w:val="32"/>
          <w:szCs w:val="32"/>
          <w:lang w:eastAsia="zh-CN"/>
        </w:rPr>
        <w:t>、人员及直属单位概况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rPr>
        <w:t>局机关内设25个职能科室，全局下辖共计11家</w:t>
      </w:r>
      <w:r>
        <w:rPr>
          <w:rFonts w:hint="eastAsia" w:ascii="仿宋" w:hAnsi="仿宋" w:eastAsia="仿宋" w:cs="仿宋_GB2312"/>
          <w:color w:val="auto"/>
          <w:sz w:val="32"/>
          <w:szCs w:val="32"/>
          <w:highlight w:val="none"/>
        </w:rPr>
        <w:t>财政全额拨款直属事业单位</w:t>
      </w:r>
      <w:r>
        <w:rPr>
          <w:rFonts w:hint="eastAsia" w:ascii="仿宋" w:hAnsi="仿宋" w:eastAsia="仿宋" w:cs="仿宋_GB2312"/>
          <w:sz w:val="32"/>
          <w:szCs w:val="32"/>
        </w:rPr>
        <w:t>，核定行政编制</w:t>
      </w:r>
      <w:r>
        <w:rPr>
          <w:rFonts w:hint="default" w:ascii="仿宋" w:hAnsi="仿宋" w:eastAsia="仿宋" w:cs="仿宋_GB2312"/>
          <w:sz w:val="32"/>
          <w:szCs w:val="32"/>
          <w:lang w:val="en"/>
        </w:rPr>
        <w:t>1377</w:t>
      </w:r>
      <w:r>
        <w:rPr>
          <w:rFonts w:hint="eastAsia" w:ascii="仿宋" w:hAnsi="仿宋" w:eastAsia="仿宋" w:cs="仿宋_GB2312"/>
          <w:sz w:val="32"/>
          <w:szCs w:val="32"/>
        </w:rPr>
        <w:t>人，2025年末实际在岗</w:t>
      </w:r>
      <w:r>
        <w:rPr>
          <w:rFonts w:hint="default" w:ascii="仿宋" w:hAnsi="仿宋" w:eastAsia="仿宋" w:cs="仿宋_GB2312"/>
          <w:sz w:val="32"/>
          <w:szCs w:val="32"/>
          <w:lang w:val="en"/>
        </w:rPr>
        <w:t>1324</w:t>
      </w:r>
      <w:r>
        <w:rPr>
          <w:rFonts w:hint="eastAsia" w:ascii="仿宋" w:hAnsi="仿宋" w:eastAsia="仿宋" w:cs="仿宋_GB2312"/>
          <w:sz w:val="32"/>
          <w:szCs w:val="32"/>
        </w:rPr>
        <w:t>人，</w:t>
      </w:r>
      <w:r>
        <w:rPr>
          <w:rFonts w:hint="eastAsia" w:ascii="仿宋" w:hAnsi="仿宋" w:eastAsia="仿宋" w:cs="仿宋_GB2312"/>
          <w:sz w:val="32"/>
          <w:szCs w:val="32"/>
          <w:lang w:eastAsia="zh-CN"/>
        </w:rPr>
        <w:t>控制率为</w:t>
      </w:r>
      <w:r>
        <w:rPr>
          <w:rFonts w:hint="eastAsia" w:ascii="仿宋" w:hAnsi="仿宋" w:eastAsia="仿宋" w:cs="仿宋_GB2312"/>
          <w:sz w:val="32"/>
          <w:szCs w:val="32"/>
          <w:lang w:val="en-US" w:eastAsia="zh-CN"/>
        </w:rPr>
        <w:t>96.15%，</w:t>
      </w:r>
      <w:r>
        <w:rPr>
          <w:rFonts w:hint="eastAsia" w:ascii="仿宋" w:hAnsi="仿宋" w:eastAsia="仿宋" w:cs="仿宋_GB2312"/>
          <w:sz w:val="32"/>
          <w:szCs w:val="32"/>
        </w:rPr>
        <w:t>编制足额到位。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rPr>
        <w:t>下辖单位</w:t>
      </w:r>
      <w:r>
        <w:rPr>
          <w:rFonts w:hint="eastAsia" w:ascii="仿宋" w:hAnsi="仿宋" w:eastAsia="仿宋" w:cs="仿宋_GB2312"/>
          <w:sz w:val="32"/>
          <w:szCs w:val="32"/>
          <w:lang w:eastAsia="zh-CN"/>
        </w:rPr>
        <w:t>包含岳阳市教育体育局、</w:t>
      </w:r>
      <w:r>
        <w:rPr>
          <w:rFonts w:hint="eastAsia" w:ascii="仿宋" w:hAnsi="仿宋" w:eastAsia="仿宋" w:cs="仿宋_GB2312"/>
          <w:sz w:val="32"/>
          <w:szCs w:val="32"/>
        </w:rPr>
        <w:t>岳阳市第一中学</w:t>
      </w:r>
      <w:r>
        <w:rPr>
          <w:rFonts w:hint="eastAsia" w:ascii="仿宋" w:hAnsi="仿宋" w:eastAsia="仿宋" w:cs="仿宋_GB2312"/>
          <w:sz w:val="32"/>
          <w:szCs w:val="32"/>
          <w:lang w:eastAsia="zh-CN"/>
        </w:rPr>
        <w:t>、</w:t>
      </w:r>
      <w:r>
        <w:rPr>
          <w:rFonts w:hint="eastAsia" w:ascii="仿宋" w:hAnsi="仿宋" w:eastAsia="仿宋" w:cs="仿宋_GB2312"/>
          <w:sz w:val="32"/>
          <w:szCs w:val="32"/>
        </w:rPr>
        <w:t>岳阳市第十五中学、岳阳市第十四中学、岳阳中学、岳阳市特殊教育学校、岳阳市第一职业中等专业学校</w:t>
      </w:r>
      <w:r>
        <w:rPr>
          <w:rFonts w:hint="eastAsia" w:ascii="仿宋" w:hAnsi="仿宋" w:eastAsia="仿宋" w:cs="仿宋_GB2312"/>
          <w:sz w:val="32"/>
          <w:szCs w:val="32"/>
          <w:lang w:eastAsia="zh-CN"/>
        </w:rPr>
        <w:t>、</w:t>
      </w:r>
      <w:r>
        <w:rPr>
          <w:rFonts w:hint="eastAsia" w:ascii="仿宋" w:hAnsi="仿宋" w:eastAsia="仿宋" w:cs="仿宋_GB2312"/>
          <w:sz w:val="32"/>
          <w:szCs w:val="32"/>
        </w:rPr>
        <w:t>岳阳市教育事务中心、岳阳市全民健身指导服务中心、岳阳市教育科学研究院、岳阳市体育运动学校。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_GB2312"/>
          <w:sz w:val="32"/>
          <w:szCs w:val="32"/>
        </w:rPr>
      </w:pPr>
      <w:r>
        <w:rPr>
          <w:rFonts w:hint="eastAsia" w:ascii="仿宋" w:hAnsi="仿宋" w:eastAsia="仿宋" w:cs="仿宋_GB2312"/>
          <w:sz w:val="32"/>
          <w:szCs w:val="32"/>
        </w:rPr>
        <w:t>四所市直普通高中主要承担普通高中教学、师资培育、校园运维、艺体教育、标准化考点建设工作</w:t>
      </w:r>
      <w:r>
        <w:rPr>
          <w:rFonts w:hint="eastAsia" w:ascii="仿宋" w:hAnsi="仿宋" w:eastAsia="仿宋" w:cs="仿宋_GB2312"/>
          <w:sz w:val="32"/>
          <w:szCs w:val="32"/>
          <w:lang w:eastAsia="zh-CN"/>
        </w:rPr>
        <w:t>。其中</w:t>
      </w:r>
      <w:r>
        <w:rPr>
          <w:rFonts w:hint="eastAsia" w:ascii="仿宋" w:hAnsi="仿宋" w:eastAsia="仿宋" w:cs="仿宋_GB2312"/>
          <w:sz w:val="32"/>
          <w:szCs w:val="32"/>
        </w:rPr>
        <w:t>岳阳市第一中学承接内地西藏班民族教育任务；岳阳市特殊教育学校负责市区适龄残疾儿童教育教学工作、康复训练及重度残疾学生送教上门服务；岳阳市第一职业中等专业学校开展中职学历教育、职业技能培训，推进产教融合与职教高考相关工作；岳阳市教育事务中心统筹全市校园新建改扩建、学生资助发放相关工作；岳阳市全民健身指导服务中心组织开展群众赛事、国民体质监测，落实公共场馆免费低收费运营；岳阳市教育科学研究院负责中小学、中职教学教研、教师业务培训与教学质量监测；岳阳市体育运动学校专职开展竞技体育后备人才培养，组织青少年体育集训、各级赛事参赛工作。</w:t>
      </w:r>
    </w:p>
    <w:p>
      <w:pPr>
        <w:spacing w:line="600" w:lineRule="exact"/>
        <w:ind w:firstLine="640" w:firstLineChars="200"/>
        <w:rPr>
          <w:rFonts w:ascii="黑体" w:hAnsi="黑体" w:eastAsia="黑体" w:cs="黑体"/>
          <w:sz w:val="32"/>
          <w:szCs w:val="32"/>
        </w:rPr>
      </w:pPr>
      <w:bookmarkStart w:id="0" w:name="OLE_LINK3"/>
      <w:bookmarkStart w:id="1" w:name="OLE_LINK4"/>
      <w:r>
        <w:rPr>
          <w:rFonts w:hint="eastAsia" w:ascii="黑体" w:hAnsi="黑体" w:eastAsia="黑体" w:cs="黑体"/>
          <w:sz w:val="32"/>
          <w:szCs w:val="32"/>
          <w:lang w:eastAsia="zh-CN"/>
        </w:rPr>
        <w:t>二</w:t>
      </w:r>
      <w:r>
        <w:rPr>
          <w:rFonts w:hint="eastAsia" w:ascii="黑体" w:hAnsi="黑体" w:eastAsia="黑体" w:cs="黑体"/>
          <w:sz w:val="32"/>
          <w:szCs w:val="32"/>
        </w:rPr>
        <w:t>、一般公共预算支出情况</w:t>
      </w:r>
    </w:p>
    <w:p>
      <w:pPr>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（一）基本支出情况</w:t>
      </w:r>
    </w:p>
    <w:p>
      <w:pPr>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2025年度全局截止到12月31日基本支出合计33043.42万元</w:t>
      </w:r>
      <w:r>
        <w:rPr>
          <w:rFonts w:hint="eastAsia" w:ascii="仿宋" w:hAnsi="仿宋" w:eastAsia="仿宋" w:cs="仿宋_GB2312"/>
          <w:sz w:val="32"/>
          <w:szCs w:val="32"/>
          <w:lang w:eastAsia="zh-CN"/>
        </w:rPr>
        <w:t>。</w:t>
      </w:r>
      <w:r>
        <w:rPr>
          <w:rFonts w:hint="eastAsia" w:ascii="仿宋" w:hAnsi="仿宋" w:eastAsia="仿宋" w:cs="仿宋_GB2312"/>
          <w:sz w:val="32"/>
          <w:szCs w:val="32"/>
        </w:rPr>
        <w:t>基本支出主要由人员经费和公用经费两部分构成，其中人员经费支出足额保障了全局1324名在岗人员的薪酬待遇、社会保障等核心支出，公用经费严格按照厉行节约的要求管控，保障了局机关及各直属事业单位日常运维、办公运转的基本需求。</w:t>
      </w:r>
    </w:p>
    <w:p>
      <w:pPr>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w:t>
      </w:r>
      <w:r>
        <w:rPr>
          <w:rFonts w:hint="eastAsia" w:ascii="仿宋" w:hAnsi="仿宋" w:eastAsia="仿宋" w:cs="仿宋_GB2312"/>
          <w:sz w:val="32"/>
          <w:szCs w:val="32"/>
          <w:lang w:eastAsia="zh-CN"/>
        </w:rPr>
        <w:t>二</w:t>
      </w:r>
      <w:r>
        <w:rPr>
          <w:rFonts w:hint="eastAsia" w:ascii="仿宋" w:hAnsi="仿宋" w:eastAsia="仿宋" w:cs="仿宋_GB2312"/>
          <w:sz w:val="32"/>
          <w:szCs w:val="32"/>
        </w:rPr>
        <w:t>）</w:t>
      </w:r>
      <w:r>
        <w:rPr>
          <w:rFonts w:hint="eastAsia" w:ascii="仿宋" w:hAnsi="仿宋" w:eastAsia="仿宋" w:cs="仿宋_GB2312"/>
          <w:sz w:val="32"/>
          <w:szCs w:val="32"/>
          <w:lang w:eastAsia="zh-CN"/>
        </w:rPr>
        <w:t>项目</w:t>
      </w:r>
      <w:r>
        <w:rPr>
          <w:rFonts w:hint="eastAsia" w:ascii="仿宋" w:hAnsi="仿宋" w:eastAsia="仿宋" w:cs="仿宋_GB2312"/>
          <w:sz w:val="32"/>
          <w:szCs w:val="32"/>
        </w:rPr>
        <w:t>支出情况</w:t>
      </w:r>
    </w:p>
    <w:p>
      <w:pPr>
        <w:snapToGrid w:val="0"/>
        <w:spacing w:line="520" w:lineRule="exact"/>
        <w:ind w:firstLine="640" w:firstLineChars="200"/>
        <w:jc w:val="left"/>
        <w:rPr>
          <w:rFonts w:hint="eastAsia" w:ascii="仿宋" w:hAnsi="仿宋" w:eastAsia="仿宋" w:cs="仿宋_GB2312"/>
          <w:sz w:val="32"/>
          <w:szCs w:val="32"/>
        </w:rPr>
      </w:pPr>
      <w:r>
        <w:rPr>
          <w:rFonts w:hint="eastAsia" w:ascii="仿宋" w:hAnsi="仿宋" w:eastAsia="仿宋" w:cs="仿宋_GB2312"/>
          <w:sz w:val="32"/>
          <w:szCs w:val="32"/>
        </w:rPr>
        <w:t>2025年度全局项目支出合计21192.69万元</w:t>
      </w:r>
      <w:r>
        <w:rPr>
          <w:rFonts w:hint="eastAsia" w:ascii="仿宋" w:hAnsi="仿宋" w:eastAsia="仿宋" w:cs="仿宋_GB2312"/>
          <w:sz w:val="32"/>
          <w:szCs w:val="32"/>
          <w:lang w:eastAsia="zh-CN"/>
        </w:rPr>
        <w:t>。</w:t>
      </w:r>
      <w:r>
        <w:rPr>
          <w:rFonts w:hint="eastAsia" w:ascii="仿宋" w:hAnsi="仿宋" w:eastAsia="仿宋" w:cs="仿宋_GB2312"/>
          <w:sz w:val="32"/>
          <w:szCs w:val="32"/>
        </w:rPr>
        <w:t>项目支出覆盖校园新建改扩建、师资培育、教学教研、</w:t>
      </w:r>
      <w:r>
        <w:rPr>
          <w:rFonts w:hint="eastAsia" w:ascii="仿宋" w:hAnsi="仿宋" w:eastAsia="仿宋" w:cs="仿宋_GB2312"/>
          <w:sz w:val="32"/>
          <w:szCs w:val="32"/>
          <w:lang w:eastAsia="zh-CN"/>
        </w:rPr>
        <w:t>学生资助、</w:t>
      </w:r>
      <w:r>
        <w:rPr>
          <w:rFonts w:hint="eastAsia" w:ascii="仿宋" w:hAnsi="仿宋" w:eastAsia="仿宋" w:cs="仿宋_GB2312"/>
          <w:sz w:val="32"/>
          <w:szCs w:val="32"/>
        </w:rPr>
        <w:t>全民健身、竞技</w:t>
      </w:r>
      <w:r>
        <w:rPr>
          <w:rFonts w:hint="eastAsia" w:ascii="仿宋" w:hAnsi="仿宋" w:eastAsia="仿宋" w:cs="仿宋_GB2312"/>
          <w:sz w:val="32"/>
          <w:szCs w:val="32"/>
          <w:lang w:eastAsia="zh-CN"/>
        </w:rPr>
        <w:t>训练</w:t>
      </w:r>
      <w:r>
        <w:rPr>
          <w:rFonts w:hint="eastAsia" w:ascii="仿宋" w:hAnsi="仿宋" w:eastAsia="仿宋" w:cs="仿宋_GB2312"/>
          <w:sz w:val="32"/>
          <w:szCs w:val="32"/>
        </w:rPr>
        <w:t>等教育体育领域，各项目均做到专款专用，严格按照项目预算执行，资金监管到位，年末结余管控规范，有效保障了年度重点工作任务的落地见效。</w:t>
      </w:r>
    </w:p>
    <w:p>
      <w:pPr>
        <w:numPr>
          <w:ilvl w:val="0"/>
          <w:numId w:val="2"/>
        </w:numPr>
        <w:spacing w:line="600" w:lineRule="exact"/>
        <w:ind w:firstLine="640" w:firstLineChars="200"/>
        <w:rPr>
          <w:rFonts w:hint="eastAsia" w:ascii="黑体" w:hAnsi="黑体" w:eastAsia="黑体" w:cs="黑体"/>
          <w:sz w:val="32"/>
          <w:szCs w:val="32"/>
          <w:lang w:val="en-US" w:eastAsia="zh-CN"/>
        </w:rPr>
      </w:pPr>
      <w:r>
        <w:rPr>
          <w:rFonts w:hint="default" w:ascii="黑体" w:hAnsi="黑体" w:eastAsia="黑体" w:cs="黑体"/>
          <w:sz w:val="32"/>
          <w:szCs w:val="32"/>
        </w:rPr>
        <w:t>政府性基金预算支出情况</w:t>
      </w:r>
      <w:r>
        <w:rPr>
          <w:rFonts w:hint="eastAsia" w:ascii="黑体" w:hAnsi="黑体" w:eastAsia="黑体" w:cs="黑体"/>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_GB2312"/>
          <w:sz w:val="32"/>
          <w:szCs w:val="32"/>
          <w:lang w:val="en-US" w:eastAsia="zh-CN"/>
        </w:rPr>
      </w:pPr>
      <w:r>
        <w:rPr>
          <w:rFonts w:hint="eastAsia" w:ascii="仿宋" w:hAnsi="仿宋" w:eastAsia="仿宋" w:cs="仿宋_GB2312"/>
          <w:color w:val="auto"/>
          <w:sz w:val="32"/>
          <w:szCs w:val="32"/>
          <w:lang w:eastAsia="zh-CN"/>
        </w:rPr>
        <w:t>岳阳市教育体育局、</w:t>
      </w:r>
      <w:r>
        <w:rPr>
          <w:rFonts w:hint="eastAsia" w:ascii="仿宋" w:hAnsi="仿宋" w:eastAsia="仿宋" w:cs="仿宋_GB2312"/>
          <w:color w:val="auto"/>
          <w:sz w:val="32"/>
          <w:szCs w:val="32"/>
        </w:rPr>
        <w:t>岳阳市第一中学</w:t>
      </w:r>
      <w:r>
        <w:rPr>
          <w:rFonts w:hint="eastAsia" w:ascii="仿宋" w:hAnsi="仿宋" w:eastAsia="仿宋" w:cs="仿宋_GB2312"/>
          <w:color w:val="auto"/>
          <w:sz w:val="32"/>
          <w:szCs w:val="32"/>
          <w:lang w:eastAsia="zh-CN"/>
        </w:rPr>
        <w:t>、</w:t>
      </w:r>
      <w:r>
        <w:rPr>
          <w:rFonts w:hint="eastAsia" w:ascii="仿宋" w:hAnsi="仿宋" w:eastAsia="仿宋" w:cs="仿宋_GB2312"/>
          <w:color w:val="auto"/>
          <w:sz w:val="32"/>
          <w:szCs w:val="32"/>
        </w:rPr>
        <w:t>岳阳市第十四中学、岳阳市全民健身指导服务中心、岳阳市体育运动学校</w:t>
      </w:r>
      <w:r>
        <w:rPr>
          <w:rFonts w:hint="default" w:ascii="仿宋" w:hAnsi="仿宋" w:eastAsia="仿宋" w:cs="仿宋_GB2312"/>
          <w:sz w:val="32"/>
          <w:szCs w:val="32"/>
          <w:lang w:val="en-US" w:eastAsia="zh-CN"/>
        </w:rPr>
        <w:t>发生政府性基金预算支出，支出总额1531.99万元</w:t>
      </w:r>
      <w:r>
        <w:rPr>
          <w:rFonts w:hint="eastAsia" w:ascii="仿宋" w:hAnsi="仿宋" w:eastAsia="仿宋" w:cs="仿宋_GB2312"/>
          <w:sz w:val="32"/>
          <w:szCs w:val="32"/>
          <w:lang w:val="en-US" w:eastAsia="zh-CN"/>
        </w:rPr>
        <w:t>。</w:t>
      </w:r>
    </w:p>
    <w:p>
      <w:pPr>
        <w:numPr>
          <w:ilvl w:val="0"/>
          <w:numId w:val="2"/>
        </w:numPr>
        <w:spacing w:line="600" w:lineRule="exact"/>
        <w:ind w:left="0" w:leftChars="0" w:firstLine="640" w:firstLineChars="200"/>
        <w:rPr>
          <w:rFonts w:hint="eastAsia" w:ascii="黑体" w:hAnsi="黑体" w:eastAsia="黑体" w:cs="黑体"/>
          <w:sz w:val="32"/>
          <w:szCs w:val="32"/>
          <w:lang w:val="en-US" w:eastAsia="zh-CN"/>
        </w:rPr>
      </w:pPr>
      <w:r>
        <w:rPr>
          <w:rFonts w:hint="default" w:ascii="黑体" w:hAnsi="黑体" w:eastAsia="黑体" w:cs="黑体"/>
          <w:sz w:val="32"/>
          <w:szCs w:val="32"/>
        </w:rPr>
        <w:t>国有资本经营预算支出情况</w:t>
      </w:r>
      <w:r>
        <w:rPr>
          <w:rFonts w:hint="eastAsia" w:ascii="黑体" w:hAnsi="黑体" w:eastAsia="黑体" w:cs="黑体"/>
          <w:sz w:val="32"/>
          <w:szCs w:val="32"/>
          <w:lang w:val="en-US" w:eastAsia="zh-CN"/>
        </w:rPr>
        <w:t xml:space="preserve"> </w:t>
      </w:r>
    </w:p>
    <w:p>
      <w:pPr>
        <w:spacing w:line="60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无国有资本经营预算收支。</w:t>
      </w:r>
    </w:p>
    <w:p>
      <w:pPr>
        <w:numPr>
          <w:ilvl w:val="0"/>
          <w:numId w:val="2"/>
        </w:numPr>
        <w:spacing w:line="600" w:lineRule="exact"/>
        <w:ind w:left="0" w:leftChars="0" w:firstLine="640" w:firstLineChars="200"/>
        <w:rPr>
          <w:rFonts w:hint="eastAsia" w:ascii="黑体" w:hAnsi="黑体" w:eastAsia="黑体" w:cs="黑体"/>
          <w:sz w:val="32"/>
          <w:szCs w:val="32"/>
          <w:lang w:val="en-US" w:eastAsia="zh-CN"/>
        </w:rPr>
      </w:pPr>
      <w:r>
        <w:rPr>
          <w:rFonts w:hint="default" w:ascii="黑体" w:hAnsi="黑体" w:eastAsia="黑体" w:cs="黑体"/>
          <w:sz w:val="32"/>
          <w:szCs w:val="32"/>
        </w:rPr>
        <w:t>社会保险基金预算支出情况</w:t>
      </w:r>
      <w:r>
        <w:rPr>
          <w:rFonts w:hint="eastAsia" w:ascii="黑体" w:hAnsi="黑体" w:eastAsia="黑体" w:cs="黑体"/>
          <w:sz w:val="32"/>
          <w:szCs w:val="32"/>
          <w:lang w:val="en-US" w:eastAsia="zh-CN"/>
        </w:rPr>
        <w:t xml:space="preserve"> </w:t>
      </w:r>
    </w:p>
    <w:p>
      <w:pPr>
        <w:spacing w:line="60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无社会保险基金预算收支。</w:t>
      </w:r>
    </w:p>
    <w:p>
      <w:pPr>
        <w:spacing w:line="600" w:lineRule="exact"/>
        <w:ind w:firstLine="640" w:firstLineChars="200"/>
        <w:rPr>
          <w:rFonts w:hint="default" w:ascii="黑体" w:hAnsi="黑体" w:eastAsia="黑体" w:cs="黑体"/>
          <w:sz w:val="32"/>
          <w:szCs w:val="32"/>
        </w:rPr>
      </w:pPr>
      <w:r>
        <w:rPr>
          <w:rFonts w:hint="default" w:ascii="黑体" w:hAnsi="黑体" w:eastAsia="黑体" w:cs="黑体"/>
          <w:sz w:val="32"/>
          <w:szCs w:val="32"/>
        </w:rPr>
        <w:t>六、部门整体支出绩效情况</w:t>
      </w:r>
    </w:p>
    <w:p>
      <w:pPr>
        <w:numPr>
          <w:ilvl w:val="0"/>
          <w:numId w:val="0"/>
        </w:numPr>
        <w:spacing w:line="600" w:lineRule="exact"/>
        <w:ind w:leftChars="200"/>
        <w:rPr>
          <w:rFonts w:hint="eastAsia" w:ascii="仿宋" w:hAnsi="仿宋" w:eastAsia="仿宋" w:cs="仿宋_GB2312"/>
          <w:sz w:val="32"/>
          <w:szCs w:val="32"/>
        </w:rPr>
      </w:pPr>
      <w:r>
        <w:rPr>
          <w:rFonts w:hint="eastAsia" w:ascii="仿宋" w:hAnsi="仿宋" w:eastAsia="仿宋" w:cs="仿宋_GB2312"/>
          <w:sz w:val="32"/>
          <w:szCs w:val="32"/>
        </w:rPr>
        <w:t>（一）</w:t>
      </w:r>
      <w:r>
        <w:rPr>
          <w:rFonts w:hint="eastAsia" w:ascii="仿宋" w:hAnsi="仿宋" w:eastAsia="仿宋" w:cs="仿宋_GB2312"/>
          <w:sz w:val="32"/>
          <w:szCs w:val="32"/>
          <w:lang w:eastAsia="zh-CN"/>
        </w:rPr>
        <w:t>资金管理</w:t>
      </w:r>
      <w:r>
        <w:rPr>
          <w:rFonts w:hint="eastAsia" w:ascii="仿宋" w:hAnsi="仿宋" w:eastAsia="仿宋" w:cs="仿宋_GB2312"/>
          <w:sz w:val="32"/>
          <w:szCs w:val="32"/>
        </w:rPr>
        <w:t>运行成效</w:t>
      </w:r>
    </w:p>
    <w:p>
      <w:pPr>
        <w:spacing w:line="600" w:lineRule="exact"/>
        <w:ind w:firstLine="640" w:firstLineChars="200"/>
        <w:rPr>
          <w:rFonts w:hint="eastAsia" w:ascii="仿宋" w:hAnsi="仿宋" w:eastAsia="仿宋" w:cs="仿宋_GB2312"/>
          <w:sz w:val="32"/>
          <w:szCs w:val="32"/>
          <w:lang w:eastAsia="zh-CN"/>
        </w:rPr>
      </w:pPr>
      <w:r>
        <w:rPr>
          <w:rFonts w:hint="eastAsia" w:ascii="仿宋" w:hAnsi="仿宋" w:eastAsia="仿宋" w:cs="仿宋_GB2312"/>
          <w:sz w:val="32"/>
          <w:szCs w:val="32"/>
          <w:lang w:val="en-US" w:eastAsia="zh-CN"/>
        </w:rPr>
        <w:t>统筹资金收支管理，规范绩效运行流程。一是预算执行管控有力。2025年度全局年初预算总额36881.98万元，全年调整后预算数59524.3万元，全年实际执行数54557.18万元，</w:t>
      </w:r>
      <w:bookmarkStart w:id="2" w:name="_GoBack"/>
      <w:bookmarkEnd w:id="2"/>
      <w:r>
        <w:rPr>
          <w:rFonts w:hint="eastAsia" w:ascii="仿宋" w:hAnsi="仿宋" w:eastAsia="仿宋" w:cs="仿宋_GB2312"/>
          <w:sz w:val="32"/>
          <w:szCs w:val="32"/>
          <w:lang w:val="en-US" w:eastAsia="zh-CN"/>
        </w:rPr>
        <w:t>各直属单位均按批复预算统筹开支，预算执行率为91.65%，其中市一中、特殊教育学校的预算执行率为100%，支出进度符合财政管理要求。全面完成校园建设、师资培育、全民健身、特教康复等全年重点工作，服务对象综合满意度稳定在95%以上。二是资金执行合规严谨。资金使用规范，注重绩效，支出审批程序严格，厉行节约，支出费用合理，确保了专款专用，最大限度地提高资金的使用效益。严格按照预算编制控制人员经费的使用。严格控制公用支出，所有公用支出都按照先计划再审批最后采购的原则进行。截止到12月31日，局机关三公经费合计4.55万元，其中公务接待费1.05万元，公务用车运行维护费3万元，因公出国费0.5万元，三公经费控制在合理的范围内，较上年减少。</w:t>
      </w:r>
      <w:r>
        <w:rPr>
          <w:rFonts w:hint="eastAsia" w:ascii="仿宋" w:hAnsi="仿宋" w:eastAsia="仿宋" w:cs="仿宋_GB2312"/>
          <w:sz w:val="32"/>
          <w:szCs w:val="32"/>
        </w:rPr>
        <w:t xml:space="preserve">三是专项资金监管到位。为加强单位资金使用效率，落实好财务管理制度，我局制定了财务管理制度以及风险防控措施，在资金使用审批上按照“先审核、后签字”的原则，由财务室先行审核票据，合规票据交由领导审批，不合规票据退回科室。在专项资金的使用上，根据专项工作不同要求，合理分配专项资金使用。在专项资金使用前需填报预算报告交由领导审批，纪监、审计全程监督，确保专项资金合理使用。纪检部门加强教育体育资金监管，在保障各项工作有序开展的同时，确保每一分钱都发挥最大作用。 </w:t>
      </w:r>
    </w:p>
    <w:p>
      <w:pPr>
        <w:numPr>
          <w:ilvl w:val="0"/>
          <w:numId w:val="0"/>
        </w:numPr>
        <w:snapToGrid w:val="0"/>
        <w:spacing w:line="520" w:lineRule="exact"/>
        <w:ind w:firstLine="640" w:firstLineChars="200"/>
        <w:rPr>
          <w:rFonts w:hint="eastAsia" w:ascii="仿宋" w:hAnsi="仿宋" w:eastAsia="仿宋" w:cs="仿宋_GB2312"/>
          <w:sz w:val="32"/>
          <w:szCs w:val="32"/>
          <w:lang w:val="en-US" w:eastAsia="zh-CN"/>
        </w:rPr>
      </w:pPr>
    </w:p>
    <w:p>
      <w:pPr>
        <w:numPr>
          <w:ilvl w:val="0"/>
          <w:numId w:val="0"/>
        </w:numPr>
        <w:snapToGrid w:val="0"/>
        <w:spacing w:line="520" w:lineRule="exact"/>
        <w:ind w:firstLine="640" w:firstLineChars="200"/>
        <w:rPr>
          <w:rFonts w:hint="default" w:ascii="仿宋" w:hAnsi="仿宋" w:eastAsia="仿宋" w:cs="仿宋_GB2312"/>
          <w:sz w:val="32"/>
          <w:szCs w:val="32"/>
          <w:lang w:val="en-US" w:eastAsia="zh-CN"/>
        </w:rPr>
      </w:pPr>
      <w:r>
        <w:rPr>
          <w:rFonts w:hint="eastAsia" w:ascii="仿宋" w:hAnsi="仿宋" w:eastAsia="仿宋" w:cs="仿宋_GB2312"/>
          <w:sz w:val="32"/>
          <w:szCs w:val="32"/>
          <w:lang w:val="en-US" w:eastAsia="zh-CN"/>
        </w:rPr>
        <w:t>（二）党建思政履职成效</w:t>
      </w:r>
    </w:p>
    <w:p>
      <w:pPr>
        <w:numPr>
          <w:ilvl w:val="0"/>
          <w:numId w:val="0"/>
        </w:numPr>
        <w:snapToGrid w:val="0"/>
        <w:spacing w:line="52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 xml:space="preserve"> </w:t>
      </w:r>
    </w:p>
    <w:p>
      <w:pPr>
        <w:numPr>
          <w:ilvl w:val="0"/>
          <w:numId w:val="0"/>
        </w:numPr>
        <w:snapToGrid w:val="0"/>
        <w:spacing w:line="52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强化政治引领根基，抓实立德树人任务。</w:t>
      </w:r>
      <w:r>
        <w:rPr>
          <w:rFonts w:hint="eastAsia" w:ascii="仿宋" w:hAnsi="仿宋" w:eastAsia="仿宋" w:cs="仿宋_GB2312"/>
          <w:sz w:val="32"/>
          <w:szCs w:val="32"/>
        </w:rPr>
        <w:t>一是党的领导不断加强。充分发挥市委教育工作领导小组和市委教育工委职能作用，全面实行中小学校党组织领导的校长负责制，全省首创建立县市区教育行政部门和正科级第一中学主要负责人任免备案制度，党管方向、管干部、管班子建设的体制机制进一步健全。压实党建工作责任，稳妥处置涉教体舆情，意识形态阵地安全稳固。二是思政教育出新见效。认真落实市委用好红色资源“活课堂”要求，精心打造特色思政课和精品研学线路，21件思政课微视频被学习强国平台选用，联合五部门出台中小学校研学实践指引，组织全市高中学校分10批次共38000人赴韶山开展红色研学。获评全市思想政治工作先进单位，市一中以西藏班创办四十周年为契机，打造“红石榴大讲堂”思政品牌，市十五中师生走入人大、政协、社区的“行走的思政课”广受好评。三是五育并举互促共进。加快补齐学校体育、美育、劳动教育、心理健康教育短板，推动巴陵戏、洞庭渔歌、古琴曲等优秀传统文化进校园，岳阳县八中、荷花塘小学分获全国中小学生艺术展演和全省戏曲课堂教学一等奖。出台《深化体教融合和全民健身有机融合机制改革实施方案》《2025年岳阳市市区初中体育后备人才基地建设方案》，完善小初高“一条龙”体育后备人才培养机制，今年城区招录初高中体育特长生203人，在市区新设22个初中体育后备人才基地。配备心理健康专兼职教师3877名，建设心理辅导室442个。岳阳市家校社共育指导中心初步建成，11个县级家校社协同育人“教联体”工作机制更加完善，实现育人资源大整合、质效大提升。</w:t>
      </w:r>
    </w:p>
    <w:p>
      <w:pPr>
        <w:numPr>
          <w:ilvl w:val="0"/>
          <w:numId w:val="0"/>
        </w:numPr>
        <w:snapToGrid w:val="0"/>
        <w:spacing w:line="520" w:lineRule="exact"/>
        <w:ind w:firstLine="640" w:firstLineChars="200"/>
        <w:rPr>
          <w:rFonts w:hint="eastAsia" w:ascii="仿宋" w:hAnsi="仿宋" w:eastAsia="仿宋" w:cs="仿宋_GB2312"/>
          <w:sz w:val="32"/>
          <w:szCs w:val="32"/>
          <w:lang w:val="en-US" w:eastAsia="zh-CN"/>
        </w:rPr>
      </w:pPr>
    </w:p>
    <w:p>
      <w:pPr>
        <w:numPr>
          <w:ilvl w:val="0"/>
          <w:numId w:val="0"/>
        </w:numPr>
        <w:snapToGrid w:val="0"/>
        <w:spacing w:line="52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（三）教育发展提质成效</w:t>
      </w:r>
    </w:p>
    <w:p>
      <w:pPr>
        <w:numPr>
          <w:ilvl w:val="0"/>
          <w:numId w:val="0"/>
        </w:numPr>
        <w:snapToGrid w:val="0"/>
        <w:spacing w:line="52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优化教育资源布局，持续扩大办学成效。一是资源配置均衡优化。积极应对学龄人口变化和新型城镇化，调优教育资源布局。今年，共投入6.19亿元，新建、改扩建学校70所，建成乡镇标准化寄宿制学校21所，完成10所县域高中标准化建设。投资1.5亿元的市一中提质改造项目已全部投入使用，投资7900万元的岳阳中学教学楼项目正在建设中。我局牵头负责2项省级重点民生实事项目，即义务教育学校补充配置电脑26179台，建设物理化学生物考室174个，已全部完成任务。中心城区以省级示范性高中为龙头组建4个高中教育集团，将岳阳楼区、君山区和云溪区的12所学校一并纳入，目前正在稳步运行中。特殊教育送教上门比例由年初的20.01%降至8.52%。公办专门学校建设正快速推进，将于12月底投入使用。云溪区通过义务教育优质均衡县区省级评估，年底将接受国家验收。积极与各县市区协调提前申报优质均衡国家评估，平江县提前至2026年，君山区提前至2027年，岳阳县、岳阳楼区提前至2028年，临湘市、湘阴县提前至2029年，汨罗市、华容县提前至2030年。二是队伍建设培优赋能。2022年市本级率先组织全市引领性高中教师业务知识考试，逐步带动县市区全覆盖开展，教师参考率、及格率、优秀率逐年提升。每年选派50名书记校长到知名高校和中小学研修交流，组建54个名师工作室、18个学科核心团队，培训市县青年骨干教师1万名以上。开展师德师风建设年活动，打造“守德如玉、敬业如山、爱生如子、视校如家”的教师队伍。设立教师高级职称指标奖励“周转池”，今年新注入10个指标，使用7个，奖励先进，营造奋发进取氛围。三是教育质量提档进位。公办园在园幼儿占比58.73%，普惠性学前教育资源占比93.69%，均高于国家要求。今年中考总平均分、合格率居全省前列。高考本科录取率及600分以上、屏蔽分、清北录取人数均逐年增长，多项指标实现历史性突破，综合排名从全省靠后跃居前列，中职公共基础课普测成绩连年居全省第一，中小学生体质健康优良率提升到49.81%。今年我市新增3所高校（岳阳学院、长沙科技学院、岳阳科技职业学院），均顺利招生办学，湖南理工学院更名“大学”已由省教育厅完成公示，教育部组织专家组近期正在现场考察。高校布局和学科专业优化调整启动实施，停招或撤销专业41个，新增专业29个，在石油化工、通信工程、光学工程、人工智能等方面形成学科专业特色，更好地服务我市“1+3+X”现代化产业体系建设。深化产教融合，已建成5个市域产教联合体和1个全国数字化社区居家养老产教融合共同体。全力支持大学生创业工作，着力建设一批大学生创业孵化基地。大力推进校友回湘工作，招商引资实际落地资金87.7亿元，招引校友人才44人，接受校友捐赠金额0.68亿元。硬件建设目标全面落地。全年投入6.19亿元实施70所学校新建改扩建，建成21所乡镇标准化寄宿制学校、10所县域标准化高中，市一中1.5亿元提质工程、7900万元岳阳中学教学楼顺利推进，配齐26179台教学电脑、174间标准化实验室。岳阳市教育事务统筹落实各类基建与资助项目，实现困难学生应助尽助；岳阳市特殊教育学校加大康复专项投入，送教上门比例降至8.52%。</w:t>
      </w:r>
    </w:p>
    <w:p>
      <w:pPr>
        <w:numPr>
          <w:ilvl w:val="0"/>
          <w:numId w:val="0"/>
        </w:numPr>
        <w:snapToGrid w:val="0"/>
        <w:spacing w:line="52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（四）体育惠民建设成效</w:t>
      </w:r>
    </w:p>
    <w:p>
      <w:pPr>
        <w:spacing w:line="60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lang w:val="en-US" w:eastAsia="zh-CN"/>
        </w:rPr>
        <w:t>深耕文体惠民服务，推动体育事业提质。</w:t>
      </w:r>
      <w:r>
        <w:rPr>
          <w:rFonts w:hint="eastAsia" w:ascii="仿宋" w:hAnsi="仿宋" w:eastAsia="仿宋" w:cs="仿宋_GB2312"/>
          <w:sz w:val="32"/>
          <w:szCs w:val="32"/>
        </w:rPr>
        <w:t>今年举办2025年全国太极拳公开赛（湖南赛区）暨湖南省太极拳大赛、岳阳马拉松、CBA季前赛、湖南省青少年游泳锦标赛等赛事150场，直接参与群众10余万人。6场“湘超”岳阳主场赛事，现场观赛人数超14万人次，赛事期间接待游客67.5万人次，撬动岳阳文体旅综合消费超4.45亿元。今年十五运会，岳阳市体校运动员获射箭项目银牌1枚、射击项目银牌1枚。全面推广“体校+学校”办学模式，新增国家体育后备人才基地学校2所，全国青少年校园“三大球”特色学校177所，省体育传统特色学校19所，体育彩票销量稳居全省第二，成功入选全国体育促进青少年身心健康4个试点城市之一。</w:t>
      </w:r>
    </w:p>
    <w:p>
      <w:pPr>
        <w:spacing w:line="600" w:lineRule="exact"/>
        <w:ind w:firstLine="640" w:firstLineChars="200"/>
        <w:rPr>
          <w:rFonts w:hint="eastAsia" w:ascii="仿宋" w:hAnsi="仿宋" w:eastAsia="仿宋" w:cs="仿宋_GB2312"/>
          <w:sz w:val="32"/>
          <w:szCs w:val="32"/>
        </w:rPr>
      </w:pPr>
    </w:p>
    <w:p>
      <w:pPr>
        <w:numPr>
          <w:ilvl w:val="0"/>
          <w:numId w:val="3"/>
        </w:numPr>
        <w:snapToGrid w:val="0"/>
        <w:spacing w:line="520" w:lineRule="exact"/>
        <w:ind w:firstLine="640" w:firstLineChars="200"/>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综合治理保障成效</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抓实全域协同治理，净化教体发展生态。一是作风建设抓常抓长。深入基层学校、体育场所开展“走找想促”，向省信息系统报送178个调研问题和29条“金点子”建议，上报数量始终保持在全市前三，多次获市委通报表扬。坚决落实中央八项规定精神，抓实整治形式主义为基层减负，进校园社会事务由48项减至12项。压减发文会议数量，今年发文、会议数量同比分别下降16.2%和28.6%，在市级为基层减负专项工作会上，我局作经验交流。二是规范管理落实落细。优化“湘易办”政务服务，教师资格证认定、新生入学等实现“一网通办”，今年全市共计57313名适龄儿童通过新生报名平台完成线上报名。抓实“双减”“五项管理”，落实规范办学“二十条”。常态化开展“利剑护蕾”等专项行动，加大对高危体育项目经营场所的监管力度，切实抓好“防溺水”工作，今年全市共排查整改危险水域5659处，安装溺水警示牌14747个、监控摄像头1052个、救生设施29694个，建成农村安全游泳点31处，暑期免费开放游泳场馆16家，全面筑牢教体安全防线。建立校外培训监管“红黄绿”三色预警机制，定期公布校外培训机构白名单，引导家长理性选择。三是整治整改从严从紧。认真对待今年市委教育领域专项巡察工作，全面开展自查自纠，全力配合完成巡察各项任务。扎实开展中小学“校园餐”专项整治和集中整治“突击战”，整治利用教辅征订及校服购买谋利等问题，取得明显成效。根据卫江书记关于“校园餐”工作指示要求，我局与市财政局、市市场监管局联合开展调研，为进一步深化“校园餐”专项整治、提高“校园餐”工作质效起到积极推动作用，得到市委、市政府充分肯定。学校书记校长担任校园食品安全第一责任人比例达到100%，深加工食品和冻品使用比例降至9.21%，大宗食材集中采购实现全覆盖。</w:t>
      </w:r>
    </w:p>
    <w:p>
      <w:pPr>
        <w:spacing w:line="600" w:lineRule="exact"/>
        <w:ind w:firstLine="640" w:firstLineChars="200"/>
        <w:rPr>
          <w:rFonts w:hint="eastAsia" w:ascii="仿宋" w:hAnsi="仿宋" w:eastAsia="仿宋" w:cs="仿宋_GB2312"/>
          <w:sz w:val="32"/>
          <w:szCs w:val="32"/>
        </w:rPr>
      </w:pPr>
    </w:p>
    <w:bookmarkEnd w:id="0"/>
    <w:bookmarkEnd w:id="1"/>
    <w:p>
      <w:pPr>
        <w:spacing w:line="60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七、存在的主要问题和困难</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教育资源供给矛盾较突出。随着学龄人口结构变化和城镇化进程加快，幼儿园学位普遍充裕，高中学位尚有缺口，“城挤乡剩”“先挤后剩”问题显现。部分学校基础设施老化，实验室和实验器材不足，运动场地不达标，特殊教育学位供给不足。教育质量总体上市区强于县市、县城优于乡镇，优质教育资源辐射能力不强，区域间、城乡间教育公共服务能力水平不均等问题比较突出。</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高等教育综合实力不强。当前，我市全日制普通高校布点不多、层次不高。全国22个省域副中心城市，平均拥有本科高校4.5所，省内衡阳6所，邻省江西赣州5所、贵州遵义4所、广西桂林9所，而我市只有3所且没有博士学位授权高校，与岳阳经济社会发展水平和城市定位不相称。高校学科专业设置与产业布局匹配度还不高，产学研用结合不紧密，教育助力产城融合发展能力不足。部门协同发力不够，近三年毕业的在岳和来岳大学生创办企业数量不多、排名全省靠后。</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体育发展不平衡不充分。竞技体育相比省内长沙、衡阳等地，优势项目不多，整体实力不强。体教融合需进一步深化，体育后备人才培养机制不优，尤其是“好苗子留不住”的问题有待解决。全民健身群众赛事活动数量、类型不够丰富，自办和引进的高水平赛事较少。体育产业规模较小，与长沙相比有较大差距。体育服务业占比偏低，体育产业创新能力不足，产品附加值不高，市场竞争力不强。</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w:t>
      </w:r>
      <w:r>
        <w:rPr>
          <w:rFonts w:hint="eastAsia" w:ascii="仿宋" w:hAnsi="仿宋" w:eastAsia="仿宋" w:cs="仿宋_GB2312"/>
          <w:sz w:val="32"/>
          <w:szCs w:val="32"/>
          <w:lang w:eastAsia="zh-CN"/>
        </w:rPr>
        <w:t>四</w:t>
      </w:r>
      <w:r>
        <w:rPr>
          <w:rFonts w:hint="eastAsia" w:ascii="仿宋" w:hAnsi="仿宋" w:eastAsia="仿宋" w:cs="仿宋_GB2312"/>
          <w:sz w:val="32"/>
          <w:szCs w:val="32"/>
        </w:rPr>
        <w:t>）财政资金使用存在不足</w:t>
      </w:r>
      <w:r>
        <w:rPr>
          <w:rFonts w:hint="eastAsia" w:ascii="仿宋" w:hAnsi="仿宋" w:eastAsia="仿宋" w:cs="仿宋_GB2312"/>
          <w:sz w:val="32"/>
          <w:szCs w:val="32"/>
          <w:lang w:eastAsia="zh-CN"/>
        </w:rPr>
        <w:t>。各单位在资金统筹、日常支出管控上仍有提升空间，经费审核把关力度有待加强，后续将严格落实各项财经制度，从严规范各类支出，坚决杜绝不合理开支</w:t>
      </w:r>
      <w:r>
        <w:rPr>
          <w:rFonts w:hint="eastAsia" w:ascii="仿宋" w:hAnsi="仿宋" w:eastAsia="仿宋" w:cs="仿宋_GB2312"/>
          <w:sz w:val="32"/>
          <w:szCs w:val="32"/>
        </w:rPr>
        <w:t>。</w:t>
      </w:r>
    </w:p>
    <w:p>
      <w:pPr>
        <w:spacing w:line="600" w:lineRule="exact"/>
        <w:ind w:firstLine="640" w:firstLineChars="200"/>
        <w:rPr>
          <w:rFonts w:hint="eastAsia" w:ascii="黑体" w:hAnsi="黑体" w:eastAsia="黑体" w:cs="黑体"/>
          <w:sz w:val="32"/>
          <w:szCs w:val="32"/>
          <w:lang w:eastAsia="zh-CN"/>
        </w:rPr>
      </w:pPr>
      <w:r>
        <w:rPr>
          <w:rFonts w:hint="eastAsia" w:ascii="黑体" w:hAnsi="黑体" w:eastAsia="黑体" w:cs="黑体"/>
          <w:sz w:val="32"/>
          <w:szCs w:val="32"/>
          <w:lang w:eastAsia="zh-CN"/>
        </w:rPr>
        <w:t>八、下一年改进措施</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坚持立德树人，打造研学名城。依托岳阳红色资源和文化底蕴，加强革命传统和爱国主义教育，讲好新时代思政课。系统整合平江起义纪念馆、任弼时故居等红色教育资源，岳阳楼、屈子祠等历史文化资源，东洞庭湖湿地、最美长江岸线等“守护好一江碧水”生态保护实践，以及新时代经济社会发展成果，建设20个红色研学基地，着力打造“我的洞庭行”“我的弼时行”系列研学品牌，把岳阳建成“天下洞庭·研学名城”。</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坚持规划先行，优化资源供给。抓紧做好“十五五”教育体育事业发展规划，制定教育强市实施意见。引导教育体育资源向人口集中区、产业或功能布局区、城市发展新区集中，争取5年内农村寄宿制小学全部集中在乡镇，初中主要集中在县城，农村高中全部集中在县城。新建健身设施500处以上，人均体育场地面积达到3.6平方米。以网络联校为纽带，以科技教育为抓手，建成用好全市智慧教育平台，探索教育数字化转型新路径。支持普通学校资源教室建设，将送教上门比例保持在10%以下。加快市公办专门学校建设，确保今年底建成并投入使用。</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坚持优质均衡，提升教育质量。采用“委托管理”和“发展联盟”模式，深入实施城区普通高中集团化办学，扩大优质教育资源覆盖面。多方聚力，精准施策，系统推进县中振兴行动计划落地见效。到2030年，所有县市区均通过县域义务教育优质均衡发展和学前教育普及普惠国家督导评估认定。严格落实《湖南省规范中小学办学行为20条规定》，完善校外培训治理长效机制。创新“体育+文化”教学模式，打造“一校一品”特色项目。建立“三大球”运动队成建制升学机制，办成2所国家级体育后备人才基地学校。</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坚持融合创新，服务地方发展。推进中职教育与普高教育融合发展，逐步扩大职业学校综合高中部数量和招生规模。深化产教融合，建设10个以上市域产教联合体和行业产教融合共同体，每所高职院校建成1—2个现代产业学院和专业特色学院。抓住省高校“两优”契机，支持湖南理工学院“创大申博”，推动化学化工类学科往湖南理工学院靠拢。扎实做好迎接省教育厅专家组现场评估和教育部现场评审考察准备，尽快实现岳阳职院“升本”。稳步推进湖南民院独立转型发展，优化调整学科专业设置，由以师范类为主转为综合性高职院校。</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五）坚持普惠便利，推动全民健身。构建更高水平全民健身公共服务体系，让健身成为人民群众生活品质提升重要标志。以承办十六届全运会相关赛事为契机，提高竞技体育综合实力，打造岳阳马拉松、汨罗江龙舟赛、临湘垂钓、平江体育旅游等具有岳阳特色的全民健身活动品牌，加大体育场馆向社会免费或低收费开放力度，把赛事办到社区乡村和群众身边，加快建好王家河体育公园、南湖体育公园、平江天岳体育公园等，体育场地利用率继续保持全省前列。</w:t>
      </w:r>
    </w:p>
    <w:p>
      <w:pPr>
        <w:spacing w:line="620" w:lineRule="exact"/>
        <w:ind w:firstLine="640"/>
        <w:rPr>
          <w:rFonts w:ascii="仿宋" w:hAnsi="仿宋" w:eastAsia="仿宋" w:cs="仿宋_GB2312"/>
          <w:sz w:val="32"/>
          <w:szCs w:val="32"/>
        </w:rPr>
      </w:pPr>
      <w:r>
        <w:rPr>
          <w:rFonts w:hint="eastAsia" w:ascii="仿宋" w:hAnsi="仿宋" w:eastAsia="仿宋" w:cs="仿宋_GB2312"/>
          <w:sz w:val="32"/>
          <w:szCs w:val="32"/>
        </w:rPr>
        <w:t>我局将继续配合财政做好预算绩效管理工作，确保财政资金合规有效地使用。进一步提高绩效管理水平，加强与财政部门的紧密配合，开展好整体支出及项目资金绩效管理工作，运用好绩效评价的结果，不断提升预算管理水平。</w:t>
      </w:r>
    </w:p>
    <w:p>
      <w:pPr>
        <w:rPr>
          <w:rFonts w:ascii="仿宋" w:hAnsi="仿宋" w:eastAsia="仿宋"/>
        </w:rPr>
      </w:pPr>
    </w:p>
    <w:sectPr>
      <w:footerReference r:id="rId3" w:type="default"/>
      <w:pgSz w:w="11906" w:h="16838"/>
      <w:pgMar w:top="1587" w:right="1587" w:bottom="1587"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3"/>
                          </w:pPr>
                          <w:r>
                            <w:fldChar w:fldCharType="begin"/>
                          </w:r>
                          <w:r>
                            <w:instrText xml:space="preserve"> PAGE  \* MERGEFORMAT </w:instrText>
                          </w:r>
                          <w:r>
                            <w:fldChar w:fldCharType="separate"/>
                          </w:r>
                          <w:r>
                            <w:t>- 5 -</w:t>
                          </w:r>
                          <w:r>
                            <w:fldChar w:fldCharType="end"/>
                          </w:r>
                        </w:p>
                      </w:txbxContent>
                    </wps:txbx>
                    <wps:bodyPr wrap="none" lIns="0" tIns="0" rIns="0" bIns="0" upright="true">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AwU4t+1AQAAXwMAAA4AAAAAAAAAAQAgAAAANAEAAGRycy9lMm9E&#10;b2MueG1sUEsFBgAAAAAGAAYAWQEAAFsFA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- 5 -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FEEED6"/>
    <w:multiLevelType w:val="singleLevel"/>
    <w:tmpl w:val="E7FEEED6"/>
    <w:lvl w:ilvl="0" w:tentative="0">
      <w:start w:val="5"/>
      <w:numFmt w:val="chineseCounting"/>
      <w:suff w:val="nothing"/>
      <w:lvlText w:val="（%1）"/>
      <w:lvlJc w:val="left"/>
      <w:rPr>
        <w:rFonts w:hint="eastAsia"/>
      </w:rPr>
    </w:lvl>
  </w:abstractNum>
  <w:abstractNum w:abstractNumId="1">
    <w:nsid w:val="FEFED626"/>
    <w:multiLevelType w:val="singleLevel"/>
    <w:tmpl w:val="FEFED626"/>
    <w:lvl w:ilvl="0" w:tentative="0">
      <w:start w:val="3"/>
      <w:numFmt w:val="chineseCounting"/>
      <w:suff w:val="nothing"/>
      <w:lvlText w:val="%1、"/>
      <w:lvlJc w:val="left"/>
      <w:rPr>
        <w:rFonts w:hint="eastAsia"/>
      </w:rPr>
    </w:lvl>
  </w:abstractNum>
  <w:abstractNum w:abstractNumId="2">
    <w:nsid w:val="5F35E66B"/>
    <w:multiLevelType w:val="singleLevel"/>
    <w:tmpl w:val="5F35E66B"/>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9DF"/>
    <w:rsid w:val="00025C7E"/>
    <w:rsid w:val="00045AE1"/>
    <w:rsid w:val="000C09DF"/>
    <w:rsid w:val="0016074D"/>
    <w:rsid w:val="001966E8"/>
    <w:rsid w:val="001C0F7E"/>
    <w:rsid w:val="00281075"/>
    <w:rsid w:val="0028200E"/>
    <w:rsid w:val="0033010C"/>
    <w:rsid w:val="004545AF"/>
    <w:rsid w:val="0048130D"/>
    <w:rsid w:val="004A54D8"/>
    <w:rsid w:val="004B03CB"/>
    <w:rsid w:val="004D5038"/>
    <w:rsid w:val="005623CD"/>
    <w:rsid w:val="00574CB3"/>
    <w:rsid w:val="00751042"/>
    <w:rsid w:val="007D2AA5"/>
    <w:rsid w:val="008A775A"/>
    <w:rsid w:val="008F069D"/>
    <w:rsid w:val="008F7CB2"/>
    <w:rsid w:val="009364BF"/>
    <w:rsid w:val="009539B3"/>
    <w:rsid w:val="00A03E96"/>
    <w:rsid w:val="00A221C4"/>
    <w:rsid w:val="00A558CC"/>
    <w:rsid w:val="00AF6DB8"/>
    <w:rsid w:val="00B114C8"/>
    <w:rsid w:val="00B57075"/>
    <w:rsid w:val="00B71376"/>
    <w:rsid w:val="00BA2948"/>
    <w:rsid w:val="00C4675C"/>
    <w:rsid w:val="00C81986"/>
    <w:rsid w:val="00D92738"/>
    <w:rsid w:val="00D95D24"/>
    <w:rsid w:val="00DE7A6C"/>
    <w:rsid w:val="00DF5060"/>
    <w:rsid w:val="00E849EA"/>
    <w:rsid w:val="00EE3F30"/>
    <w:rsid w:val="00FD0AD8"/>
    <w:rsid w:val="00FD4C06"/>
    <w:rsid w:val="054A784B"/>
    <w:rsid w:val="09883D5C"/>
    <w:rsid w:val="0FEF6645"/>
    <w:rsid w:val="1A8A2D73"/>
    <w:rsid w:val="4D7C03E4"/>
    <w:rsid w:val="54BB3840"/>
    <w:rsid w:val="55FF4536"/>
    <w:rsid w:val="5FD7B220"/>
    <w:rsid w:val="63FA37C5"/>
    <w:rsid w:val="6FFD81D8"/>
    <w:rsid w:val="72F44A27"/>
    <w:rsid w:val="74FD319E"/>
    <w:rsid w:val="7FFD4F44"/>
    <w:rsid w:val="7FFF5F77"/>
    <w:rsid w:val="7FFF8222"/>
    <w:rsid w:val="AB5767AF"/>
    <w:rsid w:val="CDBF2C00"/>
    <w:rsid w:val="D3BF057B"/>
    <w:rsid w:val="DEFF2AFA"/>
    <w:rsid w:val="E79D9DD9"/>
    <w:rsid w:val="EBDF77DE"/>
    <w:rsid w:val="F1F9FFD5"/>
    <w:rsid w:val="F9E61DF4"/>
    <w:rsid w:val="FDFB7CFE"/>
    <w:rsid w:val="FEFB75B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Calibri" w:hAnsi="Calibri" w:cs="Calibri"/>
      <w:szCs w:val="21"/>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HTML Preformatted"/>
    <w:basedOn w:val="1"/>
    <w:link w:val="9"/>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character" w:styleId="8">
    <w:name w:val="Strong"/>
    <w:basedOn w:val="7"/>
    <w:qFormat/>
    <w:uiPriority w:val="0"/>
    <w:rPr>
      <w:b/>
      <w:bCs/>
    </w:rPr>
  </w:style>
  <w:style w:type="character" w:customStyle="1" w:styleId="9">
    <w:name w:val="HTML 预设格式 Char"/>
    <w:basedOn w:val="7"/>
    <w:link w:val="5"/>
    <w:qFormat/>
    <w:uiPriority w:val="0"/>
    <w:rPr>
      <w:rFonts w:ascii="宋体" w:hAnsi="宋体" w:eastAsia="宋体" w:cs="Times New Roman"/>
      <w:sz w:val="24"/>
      <w:szCs w:val="24"/>
    </w:rPr>
  </w:style>
  <w:style w:type="character" w:customStyle="1" w:styleId="10">
    <w:name w:val="NormalCharacter"/>
    <w:qFormat/>
    <w:uiPriority w:val="0"/>
    <w:rPr>
      <w:rFonts w:ascii="Calibri" w:hAnsi="Calibri" w:eastAsia="宋体" w:cs="Times New Roman"/>
      <w:kern w:val="2"/>
      <w:sz w:val="21"/>
      <w:szCs w:val="24"/>
      <w:lang w:val="en-US" w:eastAsia="zh-CN" w:bidi="ar-SA"/>
    </w:rPr>
  </w:style>
  <w:style w:type="paragraph" w:customStyle="1" w:styleId="11">
    <w:name w:val="正文缩进1"/>
    <w:basedOn w:val="1"/>
    <w:qFormat/>
    <w:uiPriority w:val="0"/>
    <w:pPr>
      <w:ind w:firstLine="420"/>
    </w:pPr>
    <w:rPr>
      <w:rFonts w:ascii="Calibri" w:hAnsi="Calibri"/>
    </w:rPr>
  </w:style>
  <w:style w:type="paragraph" w:customStyle="1" w:styleId="12">
    <w:name w:val="目录 92"/>
    <w:next w:val="1"/>
    <w:qFormat/>
    <w:uiPriority w:val="0"/>
    <w:pPr>
      <w:wordWrap w:val="0"/>
      <w:ind w:left="2975"/>
      <w:jc w:val="both"/>
    </w:pPr>
    <w:rPr>
      <w:rFonts w:ascii="Times New Roman" w:hAnsi="Times New Roman" w:eastAsia="宋体" w:cs="Times New Roman"/>
      <w:sz w:val="21"/>
      <w:lang w:val="en-US" w:eastAsia="zh-CN" w:bidi="ar-SA"/>
    </w:rPr>
  </w:style>
  <w:style w:type="paragraph" w:styleId="13">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5304</Words>
  <Characters>5528</Characters>
  <Lines>39</Lines>
  <Paragraphs>11</Paragraphs>
  <TotalTime>22</TotalTime>
  <ScaleCrop>false</ScaleCrop>
  <LinksUpToDate>false</LinksUpToDate>
  <CharactersWithSpaces>5530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2024-04-21T11:03:00Z</dcterms:created>
  <dc:creator>uh</dc:creator>
  <cp:lastModifiedBy>shuidi</cp:lastModifiedBy>
  <cp:lastPrinted>2024-04-27T09:50:00Z</cp:lastPrinted>
  <dcterms:modified xsi:type="dcterms:W3CDTF">2026-07-23T18:00:15Z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KSOTemplateDocerSaveRecord">
    <vt:lpwstr>eyJoZGlkIjoiNWNmYWE1YTVjMGU0ZDFiMzkyYzBhNzEyYjNhZWNmYWQiLCJ1c2VySWQiOiIzNzA3MzA3NjYifQ==</vt:lpwstr>
  </property>
  <property fmtid="{D5CDD505-2E9C-101B-9397-08002B2CF9AE}" pid="4" name="ICV">
    <vt:lpwstr>33CAD510661E4212BA4A6674EF45E2BE_12</vt:lpwstr>
  </property>
</Properties>
</file>