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岳阳市劳动保障监察支队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黑体" w:hAnsi="黑体" w:eastAsia="黑体" w:cs="黑体"/>
          <w:kern w:val="0"/>
          <w:sz w:val="72"/>
          <w:szCs w:val="72"/>
          <w:lang w:eastAsia="zh-CN"/>
        </w:rPr>
        <w:t>202</w:t>
      </w:r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4</w:t>
      </w:r>
      <w:r>
        <w:rPr>
          <w:rFonts w:hint="eastAsia" w:ascii="黑体" w:hAnsi="黑体" w:eastAsia="黑体" w:cs="黑体"/>
          <w:kern w:val="0"/>
          <w:sz w:val="72"/>
          <w:szCs w:val="72"/>
          <w:lang w:eastAsia="zh-CN"/>
        </w:rPr>
        <w:t>年</w:t>
      </w:r>
      <w:r>
        <w:rPr>
          <w:rFonts w:hint="eastAsia" w:ascii="黑体" w:hAnsi="黑体" w:eastAsia="黑体" w:cs="黑体"/>
          <w:kern w:val="0"/>
          <w:sz w:val="72"/>
          <w:szCs w:val="72"/>
        </w:rPr>
        <w:t>度</w:t>
      </w:r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部门预算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第一部分  2024年单位预算说明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第二部分  2024年单位预算公开表格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20、专项资金预算汇总表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21、项目支出绩效目标表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22、单位整体支出绩效目标表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23、一般公共预算基本支出表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注：以上单位预算公开报表中，空表表示本单位无相关收支情况。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第一部分  2024年单位预算说明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仿宋" w:hAnsi="仿宋" w:eastAsia="仿宋" w:cs="___WRD_EMBED_SUB_42"/>
          <w:kern w:val="0"/>
          <w:sz w:val="32"/>
          <w:szCs w:val="32"/>
        </w:rPr>
      </w:pPr>
      <w:r>
        <w:rPr>
          <w:rFonts w:hint="eastAsia" w:ascii="仿宋" w:hAnsi="仿宋" w:eastAsia="仿宋" w:cs="微软雅黑"/>
          <w:kern w:val="0"/>
          <w:sz w:val="32"/>
          <w:szCs w:val="32"/>
        </w:rPr>
        <w:t>岳阳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市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劳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动保障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监察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支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队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主要职责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: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拟定全市劳动保障监察工作制度，依法查处和督办重大案件，指导县市区开展劳动监察工作，协调劳动者维权工作，组织处理有关突发事件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（二）机构设置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岳阳市劳动保障监察支队为独立核算的公益一类副处级事业单位，现有在编人员为22人，退休2人，财政供养人员3人。</w:t>
      </w:r>
      <w:r>
        <w:rPr>
          <w:rFonts w:hint="eastAsia" w:eastAsia="仿宋_GB2312" w:cs="仿宋_GB2312"/>
          <w:kern w:val="0"/>
          <w:sz w:val="32"/>
          <w:szCs w:val="32"/>
        </w:rPr>
        <w:t>内设科室分别是执法一大队、执法二大队、执法三大队、案件受理科、办公室。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二、单位预算单位构成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本单位预算仅含本级预算。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（一）收入预算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一般公共预算、政府性基金、国有资本经营预算等财政拨款收入，以及经营收入、事业收入等单位资金。2024年度年本单位收入预算458.06万元，其中，一般公共预算拨款458.06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主要是因为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  <w:t>社会保险费基数和奖金有所增加。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（二）支出预算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2024年本单位支出预算458.06万元，其中，208社会保障和就业支出412.46万元，210卫生健康支出20.10万元，221住房保障支出25.50万元，支出较去年增加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21.86万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主要是因为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  <w:t>社会保险费基数和奖金有所增加。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四、一般公共预算拨款支出预算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2024年一般公共预算拨款支出预算458.06万元，其中，208社会保障和就业支出412.46万元，占90.04%；210卫生健康支出20.10万元，占4.39%；221住房保障支出25.50万元，占5.57%；具体安排情况如下：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基本支出：2024年基本支出年初预算数为402.56万元（数据来源见表23）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支出：2024年项目支出年初预算数为55.50万元（数据来源见表20），是指单位为完成特定行政工作任务或事业发展目标而发生的支出，包括有关业务工作经费、运行维护经费、其他事业发展资金等。其中：2024年办案费专项支出0.50万元，主要</w:t>
      </w:r>
      <w:r>
        <w:rPr>
          <w:rFonts w:hint="eastAsia" w:eastAsia="仿宋_GB2312"/>
          <w:sz w:val="32"/>
          <w:szCs w:val="32"/>
          <w:lang w:val="en-US" w:eastAsia="zh-CN"/>
        </w:rPr>
        <w:t>劳动监察执法和农民工维权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执法办案支出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,劳动保障监察执法能力建设专项支出30.00万元，主要用于</w:t>
      </w:r>
      <w:r>
        <w:rPr>
          <w:rFonts w:hint="eastAsia" w:eastAsia="仿宋_GB2312"/>
          <w:sz w:val="32"/>
          <w:szCs w:val="32"/>
          <w:lang w:eastAsia="zh-CN"/>
        </w:rPr>
        <w:t>劳动保障执法监察工作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,农民工治欠保支工作专项支出25.00万元，主要</w:t>
      </w:r>
      <w:r>
        <w:rPr>
          <w:rFonts w:hint="eastAsia" w:eastAsia="仿宋_GB2312"/>
          <w:sz w:val="32"/>
          <w:szCs w:val="32"/>
          <w:lang w:eastAsia="zh-CN"/>
        </w:rPr>
        <w:t>农民工维权治欠保支工作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2024年度本单位无政府性基金安排的支出，所以公开的附件15-17（政府性基金预算）为空。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本单位2024年机关运行经费当年一般公共预算拨款59.82万元（数据来源见表12），比上一年增加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工会经费今年有所增加。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“三公”经费预算数4.00万元（数据来源见表14），其中，公务接待费1.00万元，因公出国（境）费0.00万元，公务用车购置及运行费3.00万元（其中，公务用车购置费0.00万元，公务用车运行费3.00万元）。2024年三公经费预算较上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公务接待费用下降。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（三）一般性支出情况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本单位2024年会议费预算0.50万元（数据来源见表13会议费、培训费），拟召开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次会议，人数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召开迎省检会议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；培训费预算0.50万元，拟开展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次培训，人数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人，内容为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促进农民工就业培训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；计划举办节庆、晚会、论坛、赛事活动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未计划举办节庆、晚会、论坛、赛事活动。”）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（四）政府采购情况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本单位2024年政府采购预算总额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万元，其中工程类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万元，货物类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万元，服务类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（五）国有资产占有使用及新增资产配置情况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截至上年底，本单位共有车辆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辆，一般公务用车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辆。单位价值50万元以上通用设备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2024年拟报废处置车辆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辆，其中：报废处置领导干部用车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辆，报废处置一般公务用车XX辆，报废处置其他用车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辆，报废处置单位价值50万元以上通用设备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台，报废处置单位价值100万元以上通用设备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台。拟新增配置车辆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辆，一般公务用车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2024年度未计划处置车辆、设备等。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2024年拟新增配备领导干部用车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辆，一般公务用车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辆，新增配备单位价值50万元以上通用设备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台。（2024年度本单位未计划新增车辆、设备等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（六）预算绩效目标说明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本单位所有支出实行绩效目标管理。纳入2024年单位整体支出绩效目标的金额为458.06万元，其中，基本支出402.56万元，项目支出55.50万元，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纳入项目支出绩效目标的金额为55.5万元，其中办案费为0.5万元，劳动保障监察执法能力建设项目经费为30万元，农民工治欠保支工作项目经费为25万元。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详见文尾附表中单位预算公开表格的表21-22。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第二部分  2024年单位预算公开表格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20、专项资金预算汇总表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21、项目支出绩效目标表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22、单位整体支出绩效目标表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23、一般公共预算基本支出表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注：以上单位预算公开报表中，空表表示本单位无相关收支情况。</w:t>
      </w:r>
    </w:p>
    <w:sectPr>
      <w:pgSz w:w="16838" w:h="11906" w:orient="landscape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___WRD_EMBED_SUB_4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NlYTEzODBhYTY4OTRkZjg4ZWMzNWEzOTVkNDM0MDEifQ=="/>
    <w:docVar w:name="KSO_WPS_MARK_KEY" w:val="2a205c8c-aac5-4e10-887c-a467d4ba7877"/>
  </w:docVars>
  <w:rsids>
    <w:rsidRoot w:val="00A21A57"/>
    <w:rsid w:val="00A21A57"/>
    <w:rsid w:val="00C90F0D"/>
    <w:rsid w:val="03373831"/>
    <w:rsid w:val="04A17343"/>
    <w:rsid w:val="077C09B2"/>
    <w:rsid w:val="0A083831"/>
    <w:rsid w:val="0AC51722"/>
    <w:rsid w:val="0F1B23BF"/>
    <w:rsid w:val="11E2416F"/>
    <w:rsid w:val="14276FAA"/>
    <w:rsid w:val="162B4B2F"/>
    <w:rsid w:val="19CC03D7"/>
    <w:rsid w:val="1DA578DB"/>
    <w:rsid w:val="258C1362"/>
    <w:rsid w:val="27D56FF1"/>
    <w:rsid w:val="2868736F"/>
    <w:rsid w:val="287560DE"/>
    <w:rsid w:val="2C506C46"/>
    <w:rsid w:val="2DEC0BF0"/>
    <w:rsid w:val="3DE67D69"/>
    <w:rsid w:val="427A45C5"/>
    <w:rsid w:val="46EF5082"/>
    <w:rsid w:val="491F06FD"/>
    <w:rsid w:val="541505F1"/>
    <w:rsid w:val="58704048"/>
    <w:rsid w:val="5A0233C6"/>
    <w:rsid w:val="5C4849EC"/>
    <w:rsid w:val="5F681281"/>
    <w:rsid w:val="66DE2AC5"/>
    <w:rsid w:val="67550FD9"/>
    <w:rsid w:val="681E10CA"/>
    <w:rsid w:val="6C8859AD"/>
    <w:rsid w:val="6E7004A6"/>
    <w:rsid w:val="736B2562"/>
    <w:rsid w:val="75F40509"/>
    <w:rsid w:val="76B06A57"/>
    <w:rsid w:val="79227061"/>
    <w:rsid w:val="793E60FB"/>
    <w:rsid w:val="7B7913C9"/>
    <w:rsid w:val="7C21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outlineLvl w:val="0"/>
    </w:pPr>
    <w:rPr>
      <w:b/>
      <w:bCs/>
      <w:sz w:val="32"/>
      <w:szCs w:val="32"/>
    </w:rPr>
  </w:style>
  <w:style w:type="paragraph" w:styleId="4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6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basedOn w:val="8"/>
    <w:link w:val="3"/>
    <w:uiPriority w:val="9"/>
    <w:rPr>
      <w:b/>
      <w:bCs/>
      <w:kern w:val="44"/>
      <w:sz w:val="44"/>
      <w:szCs w:val="44"/>
    </w:rPr>
  </w:style>
  <w:style w:type="character" w:customStyle="1" w:styleId="11">
    <w:name w:val="标题 2 Char"/>
    <w:basedOn w:val="8"/>
    <w:link w:val="4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3 Char"/>
    <w:basedOn w:val="8"/>
    <w:link w:val="5"/>
    <w:semiHidden/>
    <w:qFormat/>
    <w:uiPriority w:val="9"/>
    <w:rPr>
      <w:b/>
      <w:bCs/>
      <w:sz w:val="32"/>
      <w:szCs w:val="32"/>
    </w:rPr>
  </w:style>
  <w:style w:type="character" w:customStyle="1" w:styleId="13">
    <w:name w:val="页眉 Char"/>
    <w:basedOn w:val="8"/>
    <w:link w:val="7"/>
    <w:semiHidden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脚 Char"/>
    <w:basedOn w:val="8"/>
    <w:link w:val="6"/>
    <w:semiHidden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3361</Words>
  <Characters>3683</Characters>
  <Lines>26</Lines>
  <Paragraphs>7</Paragraphs>
  <TotalTime>62</TotalTime>
  <ScaleCrop>false</ScaleCrop>
  <LinksUpToDate>false</LinksUpToDate>
  <CharactersWithSpaces>3709</CharactersWithSpaces>
  <Application>WPS Office_10.8.2.7164_F1E327BC-269C-435d-A152-05C5408002CA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2024-03-20T01:38:00Z</dcterms:created>
  <dc:creator>Windows User</dc:creator>
  <cp:lastModifiedBy>Administrator</cp:lastModifiedBy>
  <cp:lastPrinted>2024-03-21T07:32:00Z</cp:lastPrinted>
  <dcterms:modified xsi:type="dcterms:W3CDTF">2024-03-21T07:36:36Z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  <property fmtid="{D5CDD505-2E9C-101B-9397-08002B2CF9AE}" pid="3" name="ICV">
    <vt:lpwstr>09599CEFD3BE4F8C9B1B1A255B708257_12</vt:lpwstr>
  </property>
</Properties>
</file>