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年度部门整体支出绩效评价基础数据表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年度部门整体支出绩效自评表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1596" w:leftChars="57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直预算部门整体支出绩效自评报告 （统一参考格式）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部门整体支出绩效自评工作考核评分表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5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94.25%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2.92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2.89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178.68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212.23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195.12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158.88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173.23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163.15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16.09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27.52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2.83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4.45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严格按文件要求压缩一般性支出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 xml:space="preserve">欧璟成 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填报日期：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 xml:space="preserve">2024.5.20  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 xml:space="preserve">8251669  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5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984"/>
        <w:gridCol w:w="906"/>
        <w:gridCol w:w="2116"/>
        <w:gridCol w:w="1148"/>
        <w:gridCol w:w="1115"/>
        <w:gridCol w:w="675"/>
        <w:gridCol w:w="916"/>
        <w:gridCol w:w="12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0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2023年度就业服务中心一般公共预算支出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1494.72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1494.72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1626.17</w:t>
            </w:r>
            <w:bookmarkStart w:id="0" w:name="_GoBack"/>
            <w:bookmarkEnd w:id="0"/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108.79%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38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1626.17</w:t>
            </w:r>
          </w:p>
        </w:tc>
        <w:tc>
          <w:tcPr>
            <w:tcW w:w="38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1517.12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38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38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2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38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52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38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2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1：落实各类就业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人才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措施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2：完善公共就业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人才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服务体系（含就业援助、就业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帮扶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、城镇就业服务、农村就业服务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四海揽才、人才测评等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）；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3：扶持创新创业带动就业（含开展创业培训、创业指导和创业担保贷款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）；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目标4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：发挥失业保险制度功能。　　</w:t>
            </w:r>
          </w:p>
        </w:tc>
        <w:tc>
          <w:tcPr>
            <w:tcW w:w="38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一年来，全市城镇新增就业6.62万人，完成全年目标任务“5.9万人”的112.2%；城镇调查失业率5.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%，控制在合理区间，全省排名并列第三；新增农村劳动力转移就业3.43万人，完成全年目标任务“3.1万人”的110.64%；失业人员再就业5.23万人，完成全年目标任务“2.7万人”的193.7% ；就业困难人员就业1.41万人，完成全年目标任务“9000人”的156.67%；全市4130名有就业意愿退捕渔民保持动态清零，10.91万名脱贫劳动力上岗就业；全市培训创业者1.04万人，完成全年目标任务“9500人”的109.47%；新增发放创业担保贷款5.5亿元，完成指导计划“4.8亿元”的114.58%；全市入驻创业孵化基地实体1594个，双创氛围持续浓厚；累计发放各类失业保险待遇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5945.73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万元，全市失业保险参保人数48.78万人。全市就业形势保持总体稳定。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年内发放就业困难人员灵活就业人员社保补贴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500万元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500.82万元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新增农村劳动力转移就业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3.1万人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3.43万人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发放失业保险待遇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5000万元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5945.73万元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发放就业见习补贴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3229个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3444个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发放创业培训补贴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690万元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708万元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开展招聘推岗、职业指导等促进就业活动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40场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40场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流动人员人事档案数字化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4万卷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4万卷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年内新发放创业担保贷款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年内新发放创业担保贷款2亿元以上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5.5亿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落实稳就业政策措施，扶持创新创业带动就业工作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2023.1.1-2023.12.31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　2023年12月31日前完成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　2023年12月31日前完成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减少失业、扩大就业为社会创造经济价值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落实减负稳岗扩就业及创业扶持政策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对社会经济的影响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有所促进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有所促进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对社会效益的影响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有所促进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有所促进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对生态环境的影响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通过实施就业帮扶维稳社会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各类人才、失业人员、进城务工等人员的满意度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≥95%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≥95%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3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97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欧璟成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2024.5.22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8251669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社保信息化便民服务创新提升行动专项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岳阳市人社局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岳阳市就业服务中心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完善“一网通办”平台建设；开展企业职工就业情况调查摸排工作；鼓励新就业群体参加失业保险。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完善“一网通办”平台建设；开展企业职工就业情况调查摸排工作；鼓励新就业群体参加失业保险。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完善平台建设进度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达到40%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≥40%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入企调查摸排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≥10次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12次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调查记录情况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记录完善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记录完善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平台操作流畅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故障率≤5%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低于故障率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入企调查摸排次数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2023年12月31日前完成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时间节点前完成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完善平台建设进度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　2023年12月31日前完成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时间节点前完成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稳定就业形势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改善人群的收入水平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稳定就业形势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　稳中求好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提供便民服务程度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≥96%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受众人民群众满意度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≥98%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欧璟成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2024.5.22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8251669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4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rPr>
          <w:rFonts w:hint="default"/>
        </w:rPr>
      </w:pPr>
    </w:p>
    <w:p>
      <w:pP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社会保险基金防风险堵漏洞专项工作经费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岳阳市人社局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岳阳市就业服务中心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对县市区进行风险问题整改督查工作；对全市进行疑点数据核查及整改工作督查；对全市完善工作台账的督查工作。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圆满完成了对县市区进行风险问题整改督查工作；对全市进行疑点数据核查及整改工作督查；对全市完善工作台账的督查工作。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督查工作次数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≥10次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13次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风险点排查率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≥98%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疑点数据清除率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督查工作次数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2023年12月31日前完成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时间节点前完成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疑点数据清除进度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2023年12月31日前完成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时间节点前完成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对社会发展可能造成的影响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对自然生态环境可能造成的影响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改善人群的收入水平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稳定就业形势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稳中求好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提供便民服务程度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96%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受众人民群众满意度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≥98%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欧璟成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2024.5.22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8251669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岳阳市就业服务中心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2024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岳阳市就业服务中心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我中心是公益一类副处级事业单位。我中心是公益一类副处级事业单位。中心在职在编人员82人，退休39人。内设5个部室，分别为综合部、基层平台服务部、人才交流服务部、农民工就业服务部、创业指导服务部。并辖市失业保险基金管理服务所、市创业培训服务所、市人力资源服务所3个分支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我中心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贯彻落实党中央和省委、市委关于就业创业、人力资源和失业保险工作的方针政策和决策部署，开展政府促进就业、人力资源服务和失业保险调查研究工作，积极参与制定政府促进就业、人力资源和失业保险的发展规划，并组织实施的行政辅助性工作，指导推进全市公共就业服务体系建设，面向社会提供就业、人才和培训等公益服务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2024年基本支出年初预算数为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1517.12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万元（数据来源见表23），是指为保障单位机构正常运转、完成日常工作任务而发生的各项支出，包括用于基本工资、津贴补贴等人员经费以及办公费、印刷费、水电费、差旅费等日常公用经费。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年项目支出数为40.00万元，是指单位为完成特定行政工作任务或事业发展目标而发生的支出，包括有关业务工作经费、运行维护经费、其他事业发展资金等。其中：社保信息化便民服务创新提升行动专项专项支出30.00万元，主要用于开展就业创业工作方面,社会保险基金防风险堵漏洞专项工作经费专项支出10.00万元，主要用于开展失业保险基金和资金相关活动等正常运转工作方面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政府性基金预算支出情况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我中心无政府性基金预算支出情况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我中心无国有资本经营预算支出情况。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我中心无社会保险基金预算支出情况。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2023年度，我中心在“四本预算”支出的绩效目标管理下，取得了显著成效，不仅全面超额完成了预定的各项就业指标，还有效促进了社会稳定和经济发展，提升了服务对象的满意度，展现了良好的资产管理与业务开展能力，具体表现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运行成本与管理效率：通过优化预算资金配置与使用流程，我们实现了高效的资金运作，特别是在创业担保贷款发放、创业孵化基地建设和失业保险待遇发放方面，资金利用率达到114.58%以上，同时保证了所有项目的顺利实施，体现了高效率的成本控制与管理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履职效能：在促进就业的核心职责上，无论是城镇新增就业、农村劳动力转移就业，还是针对特殊群体（如就业困难人员、退捕渔民、脱贫劳动力）的就业支持，均大幅度超越了既定目标，彰显了部门极高的履职效能。特别是在失业人员再就业和就业困难人员就业方面，完成率分别达到了193.7%和156.67%，体现了对民生重点问题的精准施策与高效解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社会效应：全市就业形势的总体稳定，以及对创业者的大力扶持（如创业者培训、创业孵化基地实体增加），不仅直接带动了经济增长，还激发了社会创新活力，形成了浓厚的“双创”氛围。这些措施有效缓解了社会就业压力，提高了民众的生活水平和幸福感，社会效应显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可持续发展能力：通过加大对失业保险基金的管理与发放，保障了48.78万参保人员的权益，构建了稳定的社会安全网，为应对未来可能的经济波动提供了坚实的后盾。同时，对农村劳动力和脱贫劳动力的有效转移与安置，促进了人力资源的合理配置与地区经济的均衡发展，增强了社会经济的可持续性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尽管2023年度我中心在诸多方面取得了显著成绩，但在深入分析与自我评估中，也发现了一些问题与挑战，这些问题可能影响到预算绩效的进一步提升和部门长期发展。具体分析如下：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预算与预算绩效管理：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问题：虽然多数绩效目标超额完成，但存在个别项目预算执行与绩效目标偏离的情况，如某些技能培训课程报名率低，导致预算资金使用效率不高。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原因分析：可能是前期市场调研不足，未能精准对接市场需求和求职者兴趣，或是宣传推广力度不够，导致资源错配。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部门履职效能：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问题：在就业困难人员的就业支持上，虽然完成率高，但后续跟踪服务和稳定性评估显示，部分人员在就业后的长期留存率较低。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原因分析：可能是因为缺乏个性化职业规划指导和后续跟踪服务，或是提供的就业岗位与个人技能匹配度不高，导致再次失业风险增加。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资金分配、使用和管理：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问题：创业担保贷款发放额度虽高，但贷款回收率和创业成功率有待提高，部分创业项目可能存在盲目投资或经营不善。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原因分析：可能是风险评估机制不健全，对申请者的创业计划审核不够严格，缺乏有效的后续指导和支持。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资产和财务管理：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问题：创业孵化基地实体入驻数量虽多，但基地运营成本偏高，部分基地设施利用率不高，未能充分实现资源优化配置。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原因分析：可能是基地管理运营模式单一，缺乏创新和灵活性，或者对入驻企业筛选标准不够严格，未能充分发挥孵化功能。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政府采购：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问题：在采购培训服务、办公设备等过程中，偶尔出现采购周期较长，影响项目及时推进的情况。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原因分析：可能是政府采购流程复杂、效率低下，或是市场调研和供应商选择阶段耗时过长，需要优化采购流程和策略。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针对上述问题，建议采取以下措施：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加强前期调研和需求分析，确保预算投入与实际需求精准匹配。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强化个性化服务和后期跟踪，提高就业支持的可持续性。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优化风险评估机制，加强对创业项目的指导与监督，提高资金使用效率。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创新创业孵化基地管理模式，引入竞争机制，提高基地运营效率和服务质量。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简化政府采购流程，提升采购效率，同时加强供应商管理和评估，确保物资和服务质量。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通过这些问题的识别与改进，将进一步提升预算绩效管理水平，增强部门履职效能，促进资源的合理配置与高效利用。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本单位部门整体支出绩效自评报告已在本单位门户网站公开。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报告需要以下附件：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项目支出绩效自评表（一个一级项目支出一张表）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社会保险基金预算支出情况表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</w:p>
    <w:p>
      <w:pPr>
        <w:spacing w:before="120" w:beforeLines="50" w:after="120" w:afterLines="50"/>
        <w:jc w:val="center"/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部门整体支出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highlight w:val="none"/>
        </w:rPr>
        <w:t>绩效自评工作考核评分表</w:t>
      </w:r>
    </w:p>
    <w:tbl>
      <w:tblPr>
        <w:tblStyle w:val="5"/>
        <w:tblW w:w="99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4"/>
        <w:gridCol w:w="5000"/>
        <w:gridCol w:w="3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评分标准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所需佐证材料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布置工作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自评通知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（8分）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印发绩效自评通知的得2分，否则不得分。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按照本规程规定，绩效自评通知包括自评范围、自评主要依据、自评主要内容、自评程序和步骤、有关要求等内容，并附有本通知要求的附件的，得6分；否则缺1项扣1分，最多扣6分。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绩效自评通知盖章的电子版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工作小组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成立绩效自评工作小组的得2分，否则不得分。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本部门、本单位预算绩效管理领导小组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绩效评价工作小组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有关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highlight w:val="none"/>
              </w:rPr>
              <w:t>文件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盖章的电子版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实施评价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单位自查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预算部门本级和所属单位都要开展绩效自查，转移支付项目单位都要开展绩效自查，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县、区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级主管部门都要汇总本区域转移支付情况；以上各项每发现一个单位没有做相应工作的，扣1分，最多扣10分。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转移支付项目单位名称和资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金情况清单</w:t>
            </w:r>
          </w:p>
          <w:p>
            <w:pPr>
              <w:numPr>
                <w:ilvl w:val="0"/>
                <w:numId w:val="5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有转移支付资金的各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县区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主管部门汇总情况的盖章PDF版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提交报告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8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按时向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市财政局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报送报告的得10分；每推迟一个工作日报送报告的扣1分，最多扣10分。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70分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完整性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绩效自评报告正文部分内容齐全的，得8分；否则每少一个部分扣2分，最多扣8分。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绩效自评报告附件部分内容齐全的，得7分；否则每少一个部分扣2分，最多扣7分。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1、部门整体支出和项目支出绩效指标反映产出、效益、服务对象满意度方面的指标和预算执行率的权重符合《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岳阳市市级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预算部门绩效自评操作规程》要求的，得5分，否则按比例扣除相应的分数。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部门整体支出和项目支出绩效指标全部细化到三级指标的，得5分；部分细化的，酌情扣分；没有细化的，不得分。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部门整体支出和项目支出三级绩效指标内涵明确、具体、可衡量的得5分；突出核心指标，精简实用的得3分；指标与部门整体支出和项目支出密切相关，全面反映产出和效益的得2分；否则，每项酌情扣分，最多扣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反映问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题情况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从预算和预算绩效管理，部门履职效能，资金分配、使用和管理，资产和财务管理，政府采购等方面归纳问题、分析原因全面的，得20分；反映问题、分析原因较全面的，得16—18分；反映问题、分析原因不全面的，得13—15分；问题未归纳且过于简单的，得10—12分；只提出资金不足问题的不得分；其他情况酌情扣分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建议情况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建议与问题对应且全面的得15分，建议比较全面的得12—14分，建议不全面的得9—11分，建议过于简单的得6—8分，只提出加大资金投入建议的不得分；其他情况酌情扣分。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100分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44126"/>
    <w:multiLevelType w:val="singleLevel"/>
    <w:tmpl w:val="9764412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0FABC33"/>
    <w:multiLevelType w:val="singleLevel"/>
    <w:tmpl w:val="D0FABC3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AACA4F0"/>
    <w:multiLevelType w:val="singleLevel"/>
    <w:tmpl w:val="1AACA4F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BD5EAEF"/>
    <w:multiLevelType w:val="singleLevel"/>
    <w:tmpl w:val="3BD5EA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DDF8822"/>
    <w:multiLevelType w:val="singleLevel"/>
    <w:tmpl w:val="5DDF882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1M2RhNTcwYzM1ODdkNzU1MzA4Zjk1ZDI2YWY4MGYifQ=="/>
  </w:docVars>
  <w:rsids>
    <w:rsidRoot w:val="59886344"/>
    <w:rsid w:val="08D521FC"/>
    <w:rsid w:val="098E0962"/>
    <w:rsid w:val="0BC814CA"/>
    <w:rsid w:val="0FE82379"/>
    <w:rsid w:val="1AB5530F"/>
    <w:rsid w:val="1B4A38E8"/>
    <w:rsid w:val="1BAD248A"/>
    <w:rsid w:val="1DA358F3"/>
    <w:rsid w:val="1EAF6B78"/>
    <w:rsid w:val="205D622D"/>
    <w:rsid w:val="23D37054"/>
    <w:rsid w:val="27F06DED"/>
    <w:rsid w:val="29EA52E9"/>
    <w:rsid w:val="2B995E21"/>
    <w:rsid w:val="30535777"/>
    <w:rsid w:val="31031453"/>
    <w:rsid w:val="317653A0"/>
    <w:rsid w:val="387B14EE"/>
    <w:rsid w:val="3CD967E3"/>
    <w:rsid w:val="47046B53"/>
    <w:rsid w:val="4C416CAC"/>
    <w:rsid w:val="4C902BD6"/>
    <w:rsid w:val="4D3B4CA9"/>
    <w:rsid w:val="4E7C16C5"/>
    <w:rsid w:val="4E9502E8"/>
    <w:rsid w:val="51ED326C"/>
    <w:rsid w:val="5283444E"/>
    <w:rsid w:val="54F20223"/>
    <w:rsid w:val="58D42829"/>
    <w:rsid w:val="59886344"/>
    <w:rsid w:val="5B610E2E"/>
    <w:rsid w:val="5E2C27BF"/>
    <w:rsid w:val="62332994"/>
    <w:rsid w:val="64762192"/>
    <w:rsid w:val="6A8A71EB"/>
    <w:rsid w:val="6DA45F88"/>
    <w:rsid w:val="7DE62533"/>
    <w:rsid w:val="7DE97570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after="200" w:afterLines="0" w:line="276" w:lineRule="auto"/>
    </w:pPr>
    <w:rPr>
      <w:rFonts w:hint="eastAsia" w:ascii="Arial" w:hAnsi="Arial"/>
      <w:sz w:val="24"/>
      <w:szCs w:val="24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6397</Words>
  <Characters>6993</Characters>
  <Lines>0</Lines>
  <Paragraphs>0</Paragraphs>
  <TotalTime>394</TotalTime>
  <ScaleCrop>false</ScaleCrop>
  <LinksUpToDate>false</LinksUpToDate>
  <CharactersWithSpaces>7555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super坨团</cp:lastModifiedBy>
  <cp:lastPrinted>2024-06-12T03:22:00Z</cp:lastPrinted>
  <dcterms:modified xsi:type="dcterms:W3CDTF">2024-06-27T01:30:09Z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6182D3A10D564617983F46DEE354AEAF</vt:lpwstr>
  </property>
</Properties>
</file>