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jc w:val="center"/>
        <w:rPr>
          <w:sz w:val="56"/>
          <w:szCs w:val="56"/>
        </w:rPr>
      </w:pPr>
    </w:p>
    <w:p>
      <w:pPr>
        <w:pStyle w:val="13"/>
        <w:jc w:val="center"/>
        <w:rPr>
          <w:sz w:val="56"/>
          <w:szCs w:val="56"/>
        </w:rPr>
      </w:pPr>
    </w:p>
    <w:p>
      <w:pPr>
        <w:pStyle w:val="13"/>
        <w:jc w:val="center"/>
        <w:rPr>
          <w:sz w:val="84"/>
          <w:szCs w:val="84"/>
        </w:rPr>
      </w:pPr>
    </w:p>
    <w:p>
      <w:pPr>
        <w:pStyle w:val="13"/>
        <w:jc w:val="center"/>
        <w:rPr>
          <w:sz w:val="84"/>
          <w:szCs w:val="84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202</w:t>
      </w: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年度</w:t>
      </w: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eastAsia="zh-CN"/>
        </w:rPr>
        <w:t>岳阳市职业技能鉴定中心</w:t>
      </w: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</w:t>
      </w: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56"/>
          <w:szCs w:val="56"/>
        </w:rPr>
      </w:pPr>
    </w:p>
    <w:p>
      <w:pPr>
        <w:pStyle w:val="13"/>
        <w:jc w:val="center"/>
        <w:rPr>
          <w:sz w:val="56"/>
          <w:szCs w:val="56"/>
        </w:rPr>
      </w:pPr>
    </w:p>
    <w:p>
      <w:pPr>
        <w:pStyle w:val="13"/>
        <w:jc w:val="center"/>
        <w:rPr>
          <w:sz w:val="56"/>
          <w:szCs w:val="56"/>
        </w:rPr>
      </w:pPr>
    </w:p>
    <w:p>
      <w:pPr>
        <w:pStyle w:val="13"/>
        <w:jc w:val="center"/>
        <w:rPr>
          <w:sz w:val="56"/>
          <w:szCs w:val="56"/>
        </w:rPr>
      </w:pPr>
    </w:p>
    <w:p>
      <w:pPr>
        <w:pStyle w:val="13"/>
        <w:jc w:val="center"/>
        <w:rPr>
          <w:sz w:val="32"/>
          <w:szCs w:val="32"/>
        </w:rPr>
      </w:pPr>
    </w:p>
    <w:p>
      <w:pPr>
        <w:pStyle w:val="13"/>
        <w:jc w:val="center"/>
        <w:rPr>
          <w:sz w:val="32"/>
          <w:szCs w:val="32"/>
        </w:rPr>
      </w:pPr>
    </w:p>
    <w:p>
      <w:pPr>
        <w:pStyle w:val="13"/>
        <w:spacing w:line="500" w:lineRule="exact"/>
        <w:jc w:val="both"/>
        <w:rPr>
          <w:b/>
          <w:sz w:val="36"/>
          <w:szCs w:val="28"/>
        </w:rPr>
      </w:pPr>
    </w:p>
    <w:p>
      <w:pPr>
        <w:pStyle w:val="13"/>
        <w:spacing w:line="500" w:lineRule="exact"/>
        <w:jc w:val="both"/>
        <w:rPr>
          <w:b/>
          <w:sz w:val="36"/>
          <w:szCs w:val="28"/>
        </w:rPr>
      </w:pPr>
    </w:p>
    <w:p>
      <w:pPr>
        <w:pStyle w:val="13"/>
        <w:spacing w:line="50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13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第一部分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val="en-US" w:eastAsia="zh-CN"/>
        </w:rPr>
        <w:t>岳阳市职业技能鉴定中心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概况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一、部门职责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二、机构设置及决算单位构成</w:t>
      </w:r>
    </w:p>
    <w:p>
      <w:pPr>
        <w:pStyle w:val="13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第二部分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三、支出决算表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四、财政拨款收入支出决算总表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五、一般公共预算财政拨款支出决算表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六、一般公共预算财政拨款基本支出决算明细表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七、政府性基金预算财政拨款收入支出决算表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八、国有资本经营预算财政拨款支出决算表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九、财政拨款“三公”经费支出决算表</w:t>
      </w:r>
    </w:p>
    <w:p>
      <w:pPr>
        <w:pStyle w:val="13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第三部分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部门决算情况说明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一、收入支出决算总体情况说明</w:t>
      </w:r>
    </w:p>
    <w:p>
      <w:pPr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七、政府性基金预算收入支出决算情况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八、</w:t>
      </w:r>
      <w:r>
        <w:rPr>
          <w:rFonts w:hint="eastAsia" w:ascii="仿宋_GB2312" w:hAnsi="仿宋_GB2312" w:eastAsia="仿宋_GB2312" w:cs="仿宋_GB2312"/>
          <w:sz w:val="28"/>
          <w:szCs w:val="28"/>
        </w:rPr>
        <w:t>国有资本经营预算财政拨款支出决算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九、财政拨款三公经费支出决算情况说明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十、关于机关运行经费支出说明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十一、一般性支出情况说明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十二、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关于政府采购支出说明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十三、关于国有资产占用情况说明</w:t>
      </w:r>
    </w:p>
    <w:p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十四、</w:t>
      </w:r>
      <w:r>
        <w:rPr>
          <w:rFonts w:hint="eastAsia" w:ascii="仿宋_GB2312" w:hAnsi="仿宋_GB2312" w:eastAsia="仿宋_GB2312" w:cs="仿宋_GB2312"/>
          <w:sz w:val="28"/>
          <w:szCs w:val="28"/>
        </w:rPr>
        <w:t>关于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年度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预算</w:t>
      </w:r>
      <w:r>
        <w:rPr>
          <w:rFonts w:hint="eastAsia" w:ascii="仿宋_GB2312" w:hAnsi="仿宋_GB2312" w:eastAsia="仿宋_GB2312" w:cs="仿宋_GB2312"/>
          <w:sz w:val="28"/>
          <w:szCs w:val="28"/>
        </w:rPr>
        <w:t>绩效情况的说明</w:t>
      </w:r>
    </w:p>
    <w:p>
      <w:pPr>
        <w:pStyle w:val="13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第四部分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名词解释</w:t>
      </w:r>
    </w:p>
    <w:p>
      <w:pPr>
        <w:pStyle w:val="13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五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附件</w:t>
      </w: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 xml:space="preserve">第一部分 </w:t>
      </w: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84"/>
          <w:szCs w:val="8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eastAsia="zh-CN"/>
        </w:rPr>
        <w:t>岳阳市职业技能鉴定中心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概况</w:t>
      </w:r>
    </w:p>
    <w:p>
      <w:pPr>
        <w:pStyle w:val="8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4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4"/>
        <w:ind w:left="0" w:leftChars="0" w:firstLine="0" w:firstLineChars="0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8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4"/>
        <w:rPr>
          <w:rFonts w:hint="eastAsia"/>
        </w:rPr>
      </w:pPr>
    </w:p>
    <w:p>
      <w:pPr>
        <w:pStyle w:val="14"/>
        <w:numPr>
          <w:ilvl w:val="0"/>
          <w:numId w:val="1"/>
        </w:numPr>
        <w:ind w:firstLineChars="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部门职责</w:t>
      </w:r>
    </w:p>
    <w:p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负责全市职业技能鉴定，职业技能竞赛，职业培训质量评估得组织实施，承担职业技能鉴定所的资格条件，技工院校和民办职业培训机构的督导评估标准，提供鉴定试题，承办全市职业技能鉴定考评员的培训和考核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二、机构设置及决算单位构成</w:t>
      </w:r>
    </w:p>
    <w:p>
      <w:pPr>
        <w:widowControl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（一）内设机构设置。岳阳市职业技能鉴定中心，为正科级公益一类事业单位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下设部室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综合部、考务部、竞赛部。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（二）决算单位构成。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岳阳市职业技能鉴定中心无独立核算的下属单位，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2023年度部门决算汇总公开单位仅包括岳阳市职业技能鉴定中心本级。</w:t>
      </w:r>
    </w:p>
    <w:p>
      <w:pPr>
        <w:jc w:val="left"/>
        <w:rPr>
          <w:rFonts w:ascii="仿宋_GB2312" w:hAnsi="宋体" w:eastAsia="仿宋_GB2312"/>
          <w:sz w:val="28"/>
          <w:szCs w:val="32"/>
        </w:rPr>
      </w:pPr>
    </w:p>
    <w:p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</w:p>
    <w:p/>
    <w:p>
      <w:pPr>
        <w:pStyle w:val="8"/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/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第二部分</w:t>
      </w: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部门决算表</w:t>
      </w:r>
    </w:p>
    <w:p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  <w:t>（见附件）</w:t>
      </w:r>
    </w:p>
    <w:p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3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第三部分</w:t>
      </w: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202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年度部门决算情况说明</w:t>
      </w: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一、收入支出决算总体情况说明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年度收、支总计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145.8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万元。与上年相比，减少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124.19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45.99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一般公共预算财政拨款收入和其他收入减少。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二、收入决算情况说明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年度收入合计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145.49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万元，其中：财政拨款收入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139.96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96.2</w:t>
      </w:r>
      <w:r>
        <w:rPr>
          <w:rFonts w:hint="eastAsia" w:ascii="仿宋_GB2312" w:hAnsi="仿宋_GB2312" w:eastAsia="仿宋_GB2312" w:cs="仿宋_GB2312"/>
          <w:sz w:val="32"/>
          <w:szCs w:val="32"/>
        </w:rPr>
        <w:t>%；上级补助收入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%；事业收入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%；经营收入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%；附属单位上缴收入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%；其他收入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5.53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3.8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三、支出决算情况说明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年度支出合计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145.8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145.8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%；上缴上级支出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%；经营支出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%；对附属单位补助支出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四、财政拨款收入支出决算总体情况说明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年度财政拨款收、支总计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139.96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万元，与上年相比，减少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46.36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24.88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一般公共预算财政拨款减少。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五、一般公共预算财政拨款支出决算情况说明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（一）一般公共预算财政拨款支出决算总体情况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139.96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万元，占本年支出合计的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95.99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%，与上年相比，财政拨款支出减少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46.36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24.88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职业技能鉴定补贴减少。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</w:rPr>
        <w:t>（二）一般公共预算财政拨款支出决算结构情况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年度财政拨款支出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139.96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万元，主要用于以下方面：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社会保障和就业支出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126.48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90.37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卫生健康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4.64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3.32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%;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住房保障支出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8.85万元，占6.32%。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（三）一般公共预算财政拨款支出决算具体情况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年度财政拨款支出年初预算数为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129.5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145.8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112.59</w:t>
      </w:r>
      <w:r>
        <w:rPr>
          <w:rFonts w:hint="eastAsia" w:ascii="仿宋_GB2312" w:hAnsi="仿宋_GB2312" w:eastAsia="仿宋_GB2312" w:cs="仿宋_GB2312"/>
          <w:sz w:val="32"/>
          <w:szCs w:val="32"/>
        </w:rPr>
        <w:t>%，其中：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社会保障和就业支出</w:t>
      </w:r>
      <w:r>
        <w:rPr>
          <w:rFonts w:hint="eastAsia" w:ascii="Times New Roman" w:hAnsi="Times New Roman" w:eastAsia="仿宋_GB2312"/>
          <w:sz w:val="32"/>
          <w:szCs w:val="32"/>
        </w:rPr>
        <w:t>（类）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人力资源和社会保障管理事务</w:t>
      </w:r>
      <w:r>
        <w:rPr>
          <w:rFonts w:hint="eastAsia" w:ascii="Times New Roman" w:hAnsi="Times New Roman" w:eastAsia="仿宋_GB2312"/>
          <w:sz w:val="32"/>
          <w:szCs w:val="32"/>
        </w:rPr>
        <w:t>（款）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行政运行</w:t>
      </w:r>
      <w:r>
        <w:rPr>
          <w:rFonts w:hint="eastAsia" w:ascii="Times New Roman" w:hAnsi="Times New Roman" w:eastAsia="仿宋_GB2312"/>
          <w:sz w:val="32"/>
          <w:szCs w:val="32"/>
        </w:rPr>
        <w:t>（项）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万元，决算数大于年初预算数的主要原因是：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奖金、住房公积金和差旅费的增加。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社会保障和就业支出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（类）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人力资源和社会保障管理事务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 公共就业服务和职业技能鉴定机构（项）。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106.69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113.85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106.71</w:t>
      </w:r>
      <w:r>
        <w:rPr>
          <w:rFonts w:hint="eastAsia" w:ascii="仿宋_GB2312" w:hAnsi="仿宋_GB2312" w:eastAsia="仿宋_GB2312" w:cs="仿宋_GB2312"/>
          <w:sz w:val="32"/>
          <w:szCs w:val="32"/>
        </w:rPr>
        <w:t>%，决算数大于年初预算数的主要原因是：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基本支出增加。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社会保障和就业支出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（类）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人力资源和社会保障管理事务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其他人力资源和社会保障管理事务支出（项）。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年初预算为0万元，支出决算为0.31万元，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决算数大于年初预算数的主要原因是：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上年财政专户资金的结余。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社会保障和就业支出</w:t>
      </w:r>
      <w:r>
        <w:rPr>
          <w:rFonts w:hint="eastAsia" w:ascii="Times New Roman" w:hAnsi="Times New Roman" w:eastAsia="仿宋_GB2312"/>
          <w:sz w:val="32"/>
          <w:szCs w:val="32"/>
        </w:rPr>
        <w:t>（类）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行政事业单位养老支出</w:t>
      </w:r>
      <w:r>
        <w:rPr>
          <w:rFonts w:hint="eastAsia" w:ascii="Times New Roman" w:hAnsi="Times New Roman" w:eastAsia="仿宋_GB2312"/>
          <w:sz w:val="32"/>
          <w:szCs w:val="32"/>
        </w:rPr>
        <w:t>（款）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机关事业单位基本养老保险缴费支出</w:t>
      </w:r>
      <w:r>
        <w:rPr>
          <w:rFonts w:hint="eastAsia" w:ascii="Times New Roman" w:hAnsi="Times New Roman" w:eastAsia="仿宋_GB2312"/>
          <w:sz w:val="32"/>
          <w:szCs w:val="32"/>
        </w:rPr>
        <w:t>（项）。</w:t>
      </w:r>
    </w:p>
    <w:p>
      <w:pPr>
        <w:pStyle w:val="13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年初预算为8.98万元，支出决算为8.98万元，</w:t>
      </w:r>
      <w:r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  <w:t>完成年初预算的100%。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决算数等于年初预算数的原因是：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完全按照年初预算执行。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5、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社会保障和就业支出</w:t>
      </w:r>
      <w:r>
        <w:rPr>
          <w:rFonts w:hint="eastAsia" w:ascii="Times New Roman" w:hAnsi="Times New Roman" w:eastAsia="仿宋_GB2312"/>
          <w:sz w:val="32"/>
          <w:szCs w:val="32"/>
        </w:rPr>
        <w:t>（类）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就业补贴</w:t>
      </w:r>
      <w:r>
        <w:rPr>
          <w:rFonts w:hint="eastAsia" w:ascii="Times New Roman" w:hAnsi="Times New Roman" w:eastAsia="仿宋_GB2312"/>
          <w:sz w:val="32"/>
          <w:szCs w:val="32"/>
        </w:rPr>
        <w:t>（款）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职业技能鉴定补贴</w:t>
      </w:r>
      <w:r>
        <w:rPr>
          <w:rFonts w:hint="eastAsia" w:ascii="Times New Roman" w:hAnsi="Times New Roman" w:eastAsia="仿宋_GB2312"/>
          <w:sz w:val="32"/>
          <w:szCs w:val="32"/>
        </w:rPr>
        <w:t>（项）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5.53</w:t>
      </w:r>
      <w:r>
        <w:rPr>
          <w:rFonts w:hint="eastAsia" w:ascii="Times New Roman" w:hAnsi="Times New Roman" w:eastAsia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决算数大于年初预算数的主要原因是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其他资金支出增加。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960" w:firstLineChars="3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社会保障和就业支出</w:t>
      </w:r>
      <w:r>
        <w:rPr>
          <w:rFonts w:hint="eastAsia" w:ascii="Times New Roman" w:hAnsi="Times New Roman" w:eastAsia="仿宋_GB2312"/>
          <w:sz w:val="32"/>
          <w:szCs w:val="32"/>
        </w:rPr>
        <w:t>（类）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其他社会保障和就业支出</w:t>
      </w:r>
      <w:r>
        <w:rPr>
          <w:rFonts w:hint="eastAsia" w:ascii="Times New Roman" w:hAnsi="Times New Roman" w:eastAsia="仿宋_GB2312"/>
          <w:sz w:val="32"/>
          <w:szCs w:val="32"/>
        </w:rPr>
        <w:t>（款）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其他社会保障和就业支出</w:t>
      </w:r>
      <w:r>
        <w:rPr>
          <w:rFonts w:hint="eastAsia" w:ascii="Times New Roman" w:hAnsi="Times New Roman" w:eastAsia="仿宋_GB2312"/>
          <w:sz w:val="32"/>
          <w:szCs w:val="32"/>
        </w:rPr>
        <w:t>（项）。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leftChars="250" w:firstLine="320" w:firstLineChars="1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0.27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2.75</w:t>
      </w:r>
      <w:r>
        <w:rPr>
          <w:rFonts w:hint="eastAsia" w:ascii="Times New Roman" w:hAnsi="Times New Roman" w:eastAsia="仿宋_GB2312"/>
          <w:sz w:val="32"/>
          <w:szCs w:val="32"/>
        </w:rPr>
        <w:t>万元，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完成年初预算的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101.85%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决算数大于年初预算数的主要原因是：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基本支出增加。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卫生健康支出</w:t>
      </w:r>
      <w:r>
        <w:rPr>
          <w:rFonts w:hint="eastAsia" w:ascii="Times New Roman" w:hAnsi="Times New Roman" w:eastAsia="仿宋_GB2312"/>
          <w:sz w:val="32"/>
          <w:szCs w:val="32"/>
        </w:rPr>
        <w:t>（类）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行政事业单位医疗</w:t>
      </w:r>
      <w:r>
        <w:rPr>
          <w:rFonts w:hint="eastAsia" w:ascii="Times New Roman" w:hAnsi="Times New Roman" w:eastAsia="仿宋_GB2312"/>
          <w:sz w:val="32"/>
          <w:szCs w:val="32"/>
        </w:rPr>
        <w:t>（款）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事业单位医疗</w:t>
      </w:r>
      <w:r>
        <w:rPr>
          <w:rFonts w:hint="eastAsia" w:ascii="Times New Roman" w:hAnsi="Times New Roman" w:eastAsia="仿宋_GB2312"/>
          <w:sz w:val="32"/>
          <w:szCs w:val="32"/>
        </w:rPr>
        <w:t>（项）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4.72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4.64</w:t>
      </w:r>
      <w:r>
        <w:rPr>
          <w:rFonts w:hint="eastAsia" w:ascii="Times New Roman" w:hAnsi="Times New Roman" w:eastAsia="仿宋_GB2312"/>
          <w:sz w:val="32"/>
          <w:szCs w:val="32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98.31</w:t>
      </w:r>
      <w:r>
        <w:rPr>
          <w:rFonts w:hint="eastAsia" w:ascii="Times New Roman" w:hAnsi="Times New Roman" w:eastAsia="仿宋_GB2312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小于</w:t>
      </w:r>
      <w:r>
        <w:rPr>
          <w:rFonts w:hint="eastAsia" w:ascii="仿宋_GB2312" w:hAnsi="仿宋_GB2312" w:eastAsia="仿宋_GB2312" w:cs="仿宋_GB2312"/>
          <w:sz w:val="32"/>
          <w:szCs w:val="32"/>
        </w:rPr>
        <w:t>年初预算数的主要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原因是：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新进和退休各一名职工。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住房保障支出（类）住房改革支出（款）住房公积金（项）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年初预算为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8.85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万元，支出决算为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8.85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万元，完成年初预算的100%，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决算数等于年初预算数的原因是：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完全按照年初预算执行。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六、一般公共预算财政拨款基本支出决算情况说明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139.96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126.94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万元，占基本支出的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90.69</w:t>
      </w:r>
      <w:r>
        <w:rPr>
          <w:rFonts w:hint="eastAsia" w:ascii="仿宋_GB2312" w:hAnsi="仿宋_GB2312" w:eastAsia="仿宋_GB2312" w:cs="仿宋_GB2312"/>
          <w:sz w:val="32"/>
          <w:szCs w:val="32"/>
        </w:rPr>
        <w:t>%,主要包括基本工资、津贴补贴、奖金、伙食补助费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绩效工资</w:t>
      </w:r>
      <w:r>
        <w:rPr>
          <w:rFonts w:hint="eastAsia" w:ascii="宋体" w:hAnsi="宋体" w:eastAsia="宋体"/>
          <w:sz w:val="32"/>
          <w:szCs w:val="32"/>
          <w:lang w:val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机关事业单位基本养老保险缴费、职工基本医疗保险缴费、其他社会保障缴费、住房公积金、对个人和家庭的补助、退休费、其他对个人和家庭的补助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13.03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万元，占基本支出的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9.31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%，主要包括办公费、印刷费、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邮电费、差旅费、维修（护）费、工会经费、福利费、其他商品和服务支出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七、政府性基金预算收入支出决算情况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年度政府性基金预算财政拨款收入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万元；年初结转和结余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万元；年末结转和结余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  <w:t>八、国有资本经营预算财政拨款支出决算情况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2023年度国有资本经营预算财政拨款收入0万元；年初结转和结余0万元；支出0万元；</w:t>
      </w:r>
      <w:r>
        <w:rPr>
          <w:rFonts w:hint="eastAsia" w:ascii="仿宋_GB2312" w:hAnsi="仿宋_GB2312" w:eastAsia="仿宋_GB2312" w:cs="仿宋_GB2312"/>
          <w:i w:val="0"/>
          <w:iCs/>
          <w:color w:val="auto"/>
          <w:kern w:val="0"/>
          <w:sz w:val="32"/>
          <w:szCs w:val="32"/>
          <w:lang w:val="en-US" w:eastAsia="zh-CN" w:bidi="ar-SA"/>
        </w:rPr>
        <w:t>其中：基本支出0万元，项目支出0万元；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年末结转和结余0万元。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hint="eastAsia" w:hAnsi="黑体" w:cs="黑体"/>
          <w:b w:val="0"/>
          <w:bCs/>
          <w:sz w:val="32"/>
          <w:szCs w:val="32"/>
          <w:lang w:eastAsia="zh-CN"/>
        </w:rPr>
        <w:t>九、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财政拨款三公经费支出决算情况说明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（一）“三公”经费财政拨款支出决算总体情况说明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“三公”经费财政拨款支出预算为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0.2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万元，决算数小于预算数的主要原因是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2023年度本单位未开展与“三公”经费相关的活动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其中：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因公出国（境）费支出预算为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万元，决算数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等于年初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预算数的主要原因是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我单位严格按预算执行决算；与上年一致，无增减变动，主要原因是未安排因公出国（境）活动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公务接待费支出预算为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0.2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万元，决算数小于预算数的主要原因是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2023年本单位未开展相关的活动。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公务用车购置费支出预算为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万元，决算数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等于年初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预算数的主要原因是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我单位严格按预算执行决算；与上年一致，无增减变动，主要原因是两年均未购置公务用车。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万元，决算数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等于年初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预算数的主要原因是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我单位严格按预算执行决算；与上年一致，无增减变动，主要原因是两年均无公务用车需要运行维护。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（二）“三公”经费财政拨款支出决算具体情况说明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年度“三公”经费财政拨款支出决算中，公务接待费支出决算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万元,因公出国（境）费支出决算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万元，公务用车购置费及运行维护费支出决算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万元。其中：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color w:val="FF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因公出国（境）费支出决算为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Times New Roman" w:hAnsi="Times New Roman" w:eastAsia="仿宋_GB2312"/>
          <w:sz w:val="32"/>
          <w:szCs w:val="32"/>
        </w:rPr>
        <w:t>全年安排因公出国（境）团组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个，累计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人次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我单位2023年度无因公出国（境）费支出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公务接待费支出决算为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  <w:t>全年共接待来访团组0个、来宾0人次，我单位2023年度无公务接待费支出。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  <w:t>公务用车购置费及运行维护费支出决算为0万元，其中：公务用车购置费0万元，当年没有购置公务用车。公务用车运行维护费0万元，截至2023年12月31日，我单位开支财政拨款的公务用车保有量为0辆。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32"/>
          <w:lang w:eastAsia="zh-CN"/>
        </w:rPr>
        <w:t>十</w:t>
      </w:r>
      <w:r>
        <w:rPr>
          <w:rFonts w:hint="eastAsia" w:ascii="Times New Roman" w:hAnsi="Times New Roman" w:eastAsia="仿宋_GB2312"/>
          <w:b/>
          <w:color w:val="auto"/>
          <w:sz w:val="32"/>
          <w:szCs w:val="32"/>
        </w:rPr>
        <w:t>、关于机关运行经费支出说明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岳阳市职业技能鉴定中心单位性质为财政补助事业单位，部门决算报表没有机关运行经费统计数据。机关运行经费名词解释在第四部分。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、一般性支出情况说明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本单位无会议费的预算和支出决算数；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培训费年初预算0.1万元，支出决算为0万元，决算数小于年初预算数的主要原因是：2023年我单位未开展相关培训活动。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本单位无举办节庆、晚会、论坛、赛事等活动的预算和支出决算数。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、关于政府采购支出说明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本部门202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年度政府采购支出总额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万元，其中：政府采购货物支出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万元、政府采购工程支出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万元、政府采购服务支出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万元。授予中小企业合同金额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万元，占政府采购支出总额的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%，其中：授予小微企业合同金额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授予中小企业合同金额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%。货物采购授予中小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企业合同金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额占货物支出金额的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%，工程采购授予中小企业合同金额占工程支出金额的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%，服务采购授予中小企业合同金额占服务支出金额的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、关于国有资产占用情况说明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/>
          <w:color w:val="auto"/>
          <w:sz w:val="32"/>
          <w:szCs w:val="32"/>
          <w:lang w:val="en-US" w:eastAsia="zh-CN"/>
        </w:rPr>
        <w:t>截至2023年12月31日，本单位共有车辆0辆，其中，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副部（省）级及以上领导用车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机要通信用车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辆、应急保障用车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辆、执法执勤用车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辆、特种专业技术用车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离退休干部服务用车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辆、其他用车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辆；单位价值100万元以上设备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（不含车辆）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台（套）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、关于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年度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预算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绩效情况的说明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（一）绩效管理工作开展情况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根据预算绩效管理要求，我们组织对2023年度整体支出和项目资金实施了全覆盖性的绩效评价，撰写了绩效自评报告。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组织开展整体支出绩效评价，涉及一般公共预算支出139.96万元，政府性基金预算支出0万元，国有资本经营预算支出0万元。从评价情况来看，整体支出绩效评价中，2023年整体支出145.8万元，其中：基本支出145.8万元，项目支出0万元，本单位整体支出绩效自评综合评分99.8分，评价结果等次为优秀。</w:t>
      </w:r>
    </w:p>
    <w:p>
      <w:pPr>
        <w:numPr>
          <w:ilvl w:val="0"/>
          <w:numId w:val="0"/>
        </w:numPr>
        <w:autoSpaceDE w:val="0"/>
        <w:autoSpaceDN w:val="0"/>
        <w:adjustRightInd w:val="0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组织对一般公共预算项目支出全面开展绩效自评，项目0个，共涉及资金0万元（由于一般公共预算项目支出总额为0，故无法计算占一般公共预算项目支出总额的比重）。组织对政府性基金预算项目支出开展绩效自评，项目0个，共涉及资金0万元(由于政府性基金预算项目支出总额为0，故无法计算占政府性基金预算项目支出总额的比重）。组织对国有资本经营预算项目支出开展绩效自评，项目0个，共涉及资金0万元（由于国有资本经营预算项目支出总额为0，故无法计算占国有资本经营预算项目支出总额的比重）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32"/>
          <w:szCs w:val="32"/>
          <w:lang w:val="en-US" w:eastAsia="zh-CN"/>
        </w:rPr>
        <w:t>本单位无项目支出，未开展项目绩效自评，无项目绩效自评结果。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部门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（单位）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整体支出绩效情况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根据年初设定的绩效目标，绩效自评得分为99.8分。全年预算数为145.8万元，执行数为145.8万元，完成预算的100%。绩效目标完成情况：一是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顺利开展86批次技能等级认定监管工作，认定人数9754人，获证6335人次。二是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完成全年职业技能培训监督管理工作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存在的问题及原因分析</w:t>
      </w:r>
    </w:p>
    <w:p>
      <w:pPr>
        <w:pStyle w:val="1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存在的主要问题及原因：一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是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预算管理机制不健全，执行不够严格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预算绩效管理缺乏系统的制度规范。目前预算绩效管理从制度上尚未形成体系。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二是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绩效管理的广度和深度不足。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由于对预算绩效管理的认识程度不高，对预算绩效管理的整体框架认识不足，因而完成工作积极性不高，无法形成单位内部利用绩效评价指导预算工作的管理体系。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三是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资金预算编制的科学性、精确性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有待提高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。在编制项目预算资金时，要严格按照年度预算目标进行编制，对项目支出预算做出较为精准的测算，实现业务量与资金安排的匹配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预算绩效管理开展情况、绩效目标和绩效评价报告等，已在市政府部门财政预决算公开平台上向社会公开，详见附件。</w:t>
      </w:r>
    </w:p>
    <w:p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eastAsia" w:ascii="楷体" w:hAnsi="楷体" w:eastAsia="楷体" w:cs="楷体"/>
          <w:b/>
          <w:bCs/>
          <w:i w:val="0"/>
          <w:iCs w:val="0"/>
          <w:color w:val="FF0000"/>
          <w:kern w:val="0"/>
          <w:sz w:val="36"/>
          <w:szCs w:val="36"/>
          <w:lang w:val="en-US" w:eastAsia="zh-CN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</w:p>
    <w:p>
      <w:pPr>
        <w:pStyle w:val="13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第四部分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  <w:t>名词解释</w:t>
      </w:r>
    </w:p>
    <w:p>
      <w:pPr>
        <w:pStyle w:val="8"/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>
      <w:pPr>
        <w:pStyle w:val="8"/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二、机关运行经费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，指为保障行政单位（包括参照公务员法管理的事业单位）运行用于购买货物和服务的各项资金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，包括办公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费、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印刷费、邮电费、差旅费、会议费、日常维修费、专用材料及一般设备购置费、办公用房水电费、办公用房取暖费、办公用房物业管理费、公务用车运行维护费以及其他费用。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i/>
          <w:color w:val="FF0000"/>
          <w:kern w:val="0"/>
          <w:sz w:val="32"/>
          <w:szCs w:val="32"/>
          <w:lang w:val="en-US" w:eastAsia="zh-CN" w:bidi="ar-SA"/>
        </w:rPr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/>
    <w:p>
      <w:pPr>
        <w:pStyle w:val="8"/>
      </w:pPr>
    </w:p>
    <w:p>
      <w:pPr>
        <w:pStyle w:val="4"/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</w:t>
      </w:r>
      <w:r>
        <w:rPr>
          <w:rFonts w:hint="eastAsia" w:ascii="方正小标宋_GBK" w:hAnsi="方正小标宋_GBK" w:eastAsia="方正小标宋_GBK" w:cs="方正小标宋_GBK"/>
          <w:sz w:val="72"/>
          <w:szCs w:val="72"/>
          <w:lang w:eastAsia="zh-CN"/>
        </w:rPr>
        <w:t>五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部分</w:t>
      </w:r>
    </w:p>
    <w:p>
      <w:pPr>
        <w:pStyle w:val="13"/>
        <w:jc w:val="both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</w:p>
    <w:p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附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件</w:t>
      </w:r>
    </w:p>
    <w:p>
      <w:pPr>
        <w:ind w:firstLine="640" w:firstLineChars="200"/>
        <w:jc w:val="left"/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1、2023年部门决算公开表格</w:t>
      </w:r>
    </w:p>
    <w:p>
      <w:pPr>
        <w:ind w:firstLine="640" w:firstLineChars="200"/>
        <w:jc w:val="left"/>
        <w:rPr>
          <w:rFonts w:ascii="宋体" w:hAnsi="宋体" w:eastAsia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</w:rPr>
        <w:t>年度部门整体支出绩效评价报告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5B932E"/>
    <w:multiLevelType w:val="singleLevel"/>
    <w:tmpl w:val="BA5B932E"/>
    <w:lvl w:ilvl="0" w:tentative="0">
      <w:start w:val="3"/>
      <w:numFmt w:val="decimal"/>
      <w:suff w:val="nothing"/>
      <w:lvlText w:val="%1、"/>
      <w:lvlJc w:val="left"/>
      <w:rPr>
        <w:rFonts w:hint="default"/>
        <w:color w:val="auto"/>
      </w:rPr>
    </w:lvl>
  </w:abstractNum>
  <w:abstractNum w:abstractNumId="1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D387AD"/>
    <w:multiLevelType w:val="singleLevel"/>
    <w:tmpl w:val="44D387AD"/>
    <w:lvl w:ilvl="0" w:tentative="0">
      <w:start w:val="1"/>
      <w:numFmt w:val="decimal"/>
      <w:suff w:val="nothing"/>
      <w:lvlText w:val="%1、"/>
      <w:lvlJc w:val="left"/>
      <w:rPr>
        <w:rFonts w:hint="default" w:ascii="Times New Roman" w:hAnsi="Times New Roman" w:cs="Times New Roman"/>
        <w:b w:val="0"/>
        <w:bCs w:val="0"/>
        <w:color w:val="auto"/>
      </w:rPr>
    </w:lvl>
  </w:abstractNum>
  <w:abstractNum w:abstractNumId="3">
    <w:nsid w:val="48786243"/>
    <w:multiLevelType w:val="singleLevel"/>
    <w:tmpl w:val="48786243"/>
    <w:lvl w:ilvl="0" w:tentative="0">
      <w:start w:val="8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6F9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A3F69"/>
    <w:rsid w:val="00103957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926B9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AB18F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D06FF"/>
    <w:rsid w:val="00DD5FE9"/>
    <w:rsid w:val="00E00C7A"/>
    <w:rsid w:val="00E37D6C"/>
    <w:rsid w:val="00E55B68"/>
    <w:rsid w:val="00E561AE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1771CF2"/>
    <w:rsid w:val="03E84C6D"/>
    <w:rsid w:val="059958AD"/>
    <w:rsid w:val="05DD7D85"/>
    <w:rsid w:val="09EB3129"/>
    <w:rsid w:val="0DCB5E80"/>
    <w:rsid w:val="0E0D4B6C"/>
    <w:rsid w:val="0F966920"/>
    <w:rsid w:val="12583BA5"/>
    <w:rsid w:val="134978E4"/>
    <w:rsid w:val="13BA5B9C"/>
    <w:rsid w:val="142940B1"/>
    <w:rsid w:val="1CE300A6"/>
    <w:rsid w:val="1D023B1F"/>
    <w:rsid w:val="1D97DEFF"/>
    <w:rsid w:val="1DC073F3"/>
    <w:rsid w:val="1DFF72E5"/>
    <w:rsid w:val="1EFC6F07"/>
    <w:rsid w:val="22AC03C2"/>
    <w:rsid w:val="22DC582D"/>
    <w:rsid w:val="237F2925"/>
    <w:rsid w:val="242C36CB"/>
    <w:rsid w:val="28107961"/>
    <w:rsid w:val="2B980CF2"/>
    <w:rsid w:val="2EAC6087"/>
    <w:rsid w:val="2FDF85B8"/>
    <w:rsid w:val="2FFFEE04"/>
    <w:rsid w:val="30AB0CE7"/>
    <w:rsid w:val="31C95635"/>
    <w:rsid w:val="33282F37"/>
    <w:rsid w:val="333D59C6"/>
    <w:rsid w:val="34DF85B0"/>
    <w:rsid w:val="3678712D"/>
    <w:rsid w:val="37B4019C"/>
    <w:rsid w:val="3B8F36BC"/>
    <w:rsid w:val="3D22095C"/>
    <w:rsid w:val="40D73F33"/>
    <w:rsid w:val="432C08E3"/>
    <w:rsid w:val="491FF225"/>
    <w:rsid w:val="4A5D5F44"/>
    <w:rsid w:val="4FFD214C"/>
    <w:rsid w:val="5352765A"/>
    <w:rsid w:val="55384D17"/>
    <w:rsid w:val="5777D4F5"/>
    <w:rsid w:val="57CD6463"/>
    <w:rsid w:val="59DD8326"/>
    <w:rsid w:val="5B984F77"/>
    <w:rsid w:val="5DDD3078"/>
    <w:rsid w:val="5DEF592A"/>
    <w:rsid w:val="5F224DE8"/>
    <w:rsid w:val="5FC6BB1E"/>
    <w:rsid w:val="5FF720F1"/>
    <w:rsid w:val="64061C99"/>
    <w:rsid w:val="67864300"/>
    <w:rsid w:val="67EB6A2D"/>
    <w:rsid w:val="67FF5C0B"/>
    <w:rsid w:val="68E74AD2"/>
    <w:rsid w:val="69E114E5"/>
    <w:rsid w:val="6A2D60BD"/>
    <w:rsid w:val="6BAA4A2F"/>
    <w:rsid w:val="6EFC0924"/>
    <w:rsid w:val="6FB74722"/>
    <w:rsid w:val="6FEF8B7E"/>
    <w:rsid w:val="70B36BA1"/>
    <w:rsid w:val="71A6591B"/>
    <w:rsid w:val="72FC0200"/>
    <w:rsid w:val="737D59BA"/>
    <w:rsid w:val="737F32B1"/>
    <w:rsid w:val="74602F75"/>
    <w:rsid w:val="77C37683"/>
    <w:rsid w:val="790B5926"/>
    <w:rsid w:val="79FF515B"/>
    <w:rsid w:val="7AE55C22"/>
    <w:rsid w:val="7B4B146B"/>
    <w:rsid w:val="7E9E1962"/>
    <w:rsid w:val="7E9F11B4"/>
    <w:rsid w:val="7F37EC1E"/>
    <w:rsid w:val="7F7DCD9D"/>
    <w:rsid w:val="7F970A6F"/>
    <w:rsid w:val="7FC1FFF3"/>
    <w:rsid w:val="7FC69637"/>
    <w:rsid w:val="7FDF8620"/>
    <w:rsid w:val="7FFB242F"/>
    <w:rsid w:val="7FFDB408"/>
    <w:rsid w:val="7FFE4EEB"/>
    <w:rsid w:val="95FB2B98"/>
    <w:rsid w:val="9A639BC2"/>
    <w:rsid w:val="9FF7D786"/>
    <w:rsid w:val="ABBFB23D"/>
    <w:rsid w:val="C3B4DA5A"/>
    <w:rsid w:val="CBFF70E0"/>
    <w:rsid w:val="CFF50B82"/>
    <w:rsid w:val="CFFFAD89"/>
    <w:rsid w:val="DFFE359E"/>
    <w:rsid w:val="DFFE4FFD"/>
    <w:rsid w:val="EEABED75"/>
    <w:rsid w:val="F56FDF51"/>
    <w:rsid w:val="F6B69F17"/>
    <w:rsid w:val="F77F1D61"/>
    <w:rsid w:val="F7FED3A9"/>
    <w:rsid w:val="F8C9DB26"/>
    <w:rsid w:val="F97E8EAE"/>
    <w:rsid w:val="FB36E1A6"/>
    <w:rsid w:val="FB3BE134"/>
    <w:rsid w:val="FCFF4275"/>
    <w:rsid w:val="FD7FEEEA"/>
    <w:rsid w:val="FDFFB577"/>
    <w:rsid w:val="FEEA50FE"/>
    <w:rsid w:val="FF7D47A9"/>
    <w:rsid w:val="FFCF21CB"/>
    <w:rsid w:val="FF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 Indent"/>
    <w:basedOn w:val="1"/>
    <w:next w:val="4"/>
    <w:unhideWhenUsed/>
    <w:qFormat/>
    <w:uiPriority w:val="99"/>
    <w:pPr>
      <w:widowControl/>
      <w:spacing w:after="120"/>
      <w:ind w:left="420" w:leftChars="200"/>
      <w:jc w:val="left"/>
    </w:pPr>
    <w:rPr>
      <w:rFonts w:ascii="宋体" w:hAnsi="宋体" w:eastAsia="宋体" w:cs="宋体"/>
      <w:kern w:val="0"/>
      <w:sz w:val="24"/>
    </w:rPr>
  </w:style>
  <w:style w:type="paragraph" w:styleId="4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next w:val="4"/>
    <w:semiHidden/>
    <w:qFormat/>
    <w:uiPriority w:val="0"/>
    <w:pPr>
      <w:snapToGrid w:val="0"/>
      <w:jc w:val="left"/>
    </w:pPr>
    <w:rPr>
      <w:sz w:val="18"/>
      <w:szCs w:val="18"/>
    </w:rPr>
  </w:style>
  <w:style w:type="character" w:customStyle="1" w:styleId="11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6"/>
    <w:qFormat/>
    <w:uiPriority w:val="99"/>
    <w:rPr>
      <w:sz w:val="18"/>
      <w:szCs w:val="18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font0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2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1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1347</Words>
  <Characters>7679</Characters>
  <Lines>63</Lines>
  <Paragraphs>18</Paragraphs>
  <TotalTime>34</TotalTime>
  <ScaleCrop>false</ScaleCrop>
  <LinksUpToDate>false</LinksUpToDate>
  <CharactersWithSpaces>9008</CharactersWithSpaces>
  <Application>WPS Office_10.8.2.7164_F1E327BC-269C-435d-A152-05C5408002CA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2020-07-08T02:32:00Z</dcterms:created>
  <dc:creator>李航 null</dc:creator>
  <cp:lastModifiedBy>Administrator</cp:lastModifiedBy>
  <cp:lastPrinted>2024-08-08T10:20:00Z</cp:lastPrinted>
  <dcterms:modified xsi:type="dcterms:W3CDTF">2024-09-23T07:36:40Z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2052-10.8.2.7164</vt:lpwstr>
  </property>
  <property fmtid="{D5CDD505-2E9C-101B-9397-08002B2CF9AE}" pid="3" name="ICV">
    <vt:lpwstr>98623D6660B449428EB8E073C6C952EA</vt:lpwstr>
  </property>
</Properties>
</file>