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rFonts w:ascii="Times New Roman" w:hAnsi="Times New Roman" w:eastAsia="方正小标宋_GBK"/>
          <w:sz w:val="36"/>
          <w:szCs w:val="36"/>
        </w:rPr>
      </w:pPr>
    </w:p>
    <w:p>
      <w:pPr>
        <w:spacing w:afterLines="50" w:line="600" w:lineRule="exact"/>
        <w:jc w:val="center"/>
        <w:rPr>
          <w:rFonts w:ascii="Times New Roman" w:hAnsi="Times New Roman" w:eastAsia="方正小标宋_GBK"/>
          <w:sz w:val="36"/>
          <w:szCs w:val="36"/>
        </w:rPr>
      </w:pPr>
    </w:p>
    <w:p>
      <w:pPr>
        <w:spacing w:afterLines="50" w:line="600" w:lineRule="exact"/>
        <w:rPr>
          <w:rFonts w:ascii="黑体" w:hAnsi="黑体" w:eastAsia="黑体" w:cs="黑体"/>
          <w:sz w:val="32"/>
          <w:szCs w:val="32"/>
        </w:rPr>
      </w:pPr>
    </w:p>
    <w:p>
      <w:pPr>
        <w:spacing w:afterLines="50" w:line="600" w:lineRule="exact"/>
        <w:rPr>
          <w:rFonts w:ascii="黑体" w:hAnsi="黑体" w:eastAsia="黑体" w:cs="黑体"/>
          <w:sz w:val="32"/>
          <w:szCs w:val="32"/>
        </w:rPr>
      </w:pPr>
    </w:p>
    <w:p>
      <w:pPr>
        <w:spacing w:afterLines="50" w:line="600" w:lineRule="exact"/>
        <w:rPr>
          <w:rFonts w:ascii="黑体" w:hAnsi="黑体" w:eastAsia="黑体" w:cs="黑体"/>
          <w:sz w:val="32"/>
          <w:szCs w:val="32"/>
        </w:rPr>
      </w:pPr>
    </w:p>
    <w:p>
      <w:pPr>
        <w:spacing w:afterLines="50" w:line="600" w:lineRule="exact"/>
        <w:rPr>
          <w:rFonts w:ascii="黑体" w:hAnsi="黑体" w:eastAsia="黑体" w:cs="黑体"/>
          <w:sz w:val="32"/>
          <w:szCs w:val="32"/>
        </w:rPr>
      </w:pPr>
    </w:p>
    <w:p>
      <w:pPr>
        <w:jc w:val="center"/>
        <w:rPr>
          <w:rFonts w:ascii="Times New Roman" w:hAnsi="Times New Roman" w:eastAsia="方正小标宋_GBK"/>
          <w:sz w:val="52"/>
          <w:szCs w:val="5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2022年度岳阳</w:t>
      </w:r>
      <w:r>
        <w:rPr>
          <w:rFonts w:hint="eastAsia" w:ascii="方正小标宋简体" w:hAnsi="方正小标宋简体" w:eastAsia="方正小标宋简体" w:cs="方正小标宋简体"/>
          <w:sz w:val="44"/>
          <w:szCs w:val="44"/>
          <w:lang w:eastAsia="zh-CN"/>
        </w:rPr>
        <w:t>强制隔离戒毒所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年  月  日</w:t>
      </w:r>
    </w:p>
    <w:p>
      <w:pPr>
        <w:jc w:val="center"/>
        <w:rPr>
          <w:rFonts w:ascii="方正小标宋简体" w:hAnsi="方正小标宋简体" w:eastAsia="方正小标宋简体" w:cs="方正小标宋简体"/>
          <w:sz w:val="44"/>
          <w:szCs w:val="44"/>
        </w:rPr>
      </w:pPr>
      <w:r>
        <w:rPr>
          <w:rFonts w:ascii="Times New Roman" w:hAnsi="Times New Roman" w:eastAsia="仿宋_GB2312"/>
          <w:sz w:val="32"/>
          <w:szCs w:val="32"/>
        </w:rPr>
        <w:t>（此页为封面）</w:t>
      </w: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2022年度岳阳</w:t>
      </w:r>
      <w:r>
        <w:rPr>
          <w:rFonts w:hint="eastAsia" w:ascii="方正小标宋简体" w:hAnsi="方正小标宋简体" w:eastAsia="方正小标宋简体" w:cs="方正小标宋简体"/>
          <w:sz w:val="44"/>
          <w:szCs w:val="44"/>
          <w:lang w:eastAsia="zh-CN"/>
        </w:rPr>
        <w:t>强制隔离戒毒所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单位</w:t>
      </w:r>
      <w:r>
        <w:rPr>
          <w:rFonts w:ascii="Times New Roman" w:hAnsi="Times New Roman" w:eastAsia="黑体"/>
          <w:sz w:val="32"/>
          <w:szCs w:val="32"/>
        </w:rPr>
        <w:t>基本情况</w:t>
      </w:r>
    </w:p>
    <w:p>
      <w:pPr>
        <w:keepNext/>
        <w:keepLines/>
        <w:shd w:val="clear" w:color="auto" w:fill="FFFFFF"/>
        <w:spacing w:beforeLines="0" w:afterLines="0"/>
        <w:ind w:firstLine="640"/>
        <w:jc w:val="left"/>
        <w:rPr>
          <w:rFonts w:hint="eastAsia" w:ascii="宋体" w:hAnsi="宋体"/>
          <w:bCs/>
          <w:sz w:val="32"/>
          <w:szCs w:val="32"/>
        </w:rPr>
      </w:pPr>
      <w:r>
        <w:rPr>
          <w:rFonts w:hint="eastAsia" w:ascii="宋体" w:hAnsi="宋体"/>
          <w:bCs/>
          <w:sz w:val="32"/>
          <w:szCs w:val="32"/>
        </w:rPr>
        <w:t>岳阳市</w:t>
      </w:r>
      <w:r>
        <w:rPr>
          <w:rFonts w:hint="eastAsia" w:ascii="宋体" w:hAnsi="宋体"/>
          <w:bCs/>
          <w:sz w:val="32"/>
          <w:szCs w:val="32"/>
          <w:lang w:eastAsia="zh-CN"/>
        </w:rPr>
        <w:t>强制隔离戒毒所</w:t>
      </w:r>
      <w:r>
        <w:rPr>
          <w:rFonts w:hint="eastAsia" w:ascii="宋体" w:hAnsi="宋体"/>
          <w:bCs/>
          <w:sz w:val="32"/>
          <w:szCs w:val="32"/>
        </w:rPr>
        <w:t>的主要工作职能：依法履行对强制隔离戒毒、戒毒康复的管理教育及对社区戒毒、康复工作提供指导和支持职责。</w:t>
      </w:r>
    </w:p>
    <w:p>
      <w:pPr>
        <w:spacing w:line="640" w:lineRule="exact"/>
        <w:ind w:firstLine="640" w:firstLineChars="200"/>
        <w:rPr>
          <w:rFonts w:ascii="Times New Roman" w:hAnsi="Times New Roman" w:eastAsia="黑体"/>
          <w:sz w:val="32"/>
          <w:szCs w:val="32"/>
        </w:rPr>
      </w:pPr>
    </w:p>
    <w:p>
      <w:pPr>
        <w:pStyle w:val="8"/>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8"/>
        <w:widowControl/>
        <w:spacing w:line="64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10"/>
        <w:spacing w:line="600" w:lineRule="exact"/>
        <w:ind w:firstLine="640" w:firstLineChars="200"/>
        <w:rPr>
          <w:rFonts w:ascii="仿宋" w:hAnsi="仿宋" w:eastAsia="仿宋"/>
          <w:sz w:val="32"/>
          <w:szCs w:val="32"/>
        </w:rPr>
      </w:pPr>
      <w:r>
        <w:rPr>
          <w:rFonts w:hint="eastAsia" w:ascii="仿宋" w:hAnsi="仿宋" w:eastAsia="仿宋"/>
          <w:sz w:val="32"/>
          <w:szCs w:val="32"/>
        </w:rPr>
        <w:t>2022年度一般公共预算基本支出</w:t>
      </w:r>
      <w:r>
        <w:rPr>
          <w:rFonts w:hint="eastAsia" w:ascii="Times New Roman" w:hAnsi="Times New Roman" w:eastAsia="仿宋_GB2312"/>
          <w:sz w:val="32"/>
          <w:szCs w:val="32"/>
        </w:rPr>
        <w:t>2922.53</w:t>
      </w:r>
      <w:r>
        <w:rPr>
          <w:rFonts w:hint="eastAsia" w:ascii="仿宋" w:hAnsi="仿宋" w:eastAsia="仿宋"/>
          <w:sz w:val="32"/>
          <w:szCs w:val="32"/>
        </w:rPr>
        <w:t>万元，其中：</w:t>
      </w:r>
    </w:p>
    <w:p>
      <w:pPr>
        <w:pStyle w:val="10"/>
        <w:spacing w:line="600" w:lineRule="exact"/>
        <w:ind w:firstLine="643" w:firstLineChars="200"/>
        <w:rPr>
          <w:rFonts w:ascii="仿宋" w:hAnsi="仿宋" w:eastAsia="仿宋"/>
          <w:sz w:val="32"/>
          <w:szCs w:val="32"/>
        </w:rPr>
      </w:pPr>
      <w:r>
        <w:rPr>
          <w:rFonts w:hint="eastAsia" w:ascii="仿宋" w:hAnsi="仿宋" w:eastAsia="仿宋"/>
          <w:b/>
          <w:bCs/>
          <w:sz w:val="32"/>
          <w:szCs w:val="32"/>
        </w:rPr>
        <w:t>人员经费</w:t>
      </w:r>
      <w:r>
        <w:rPr>
          <w:rFonts w:hint="eastAsia" w:ascii="Times New Roman" w:hAnsi="Times New Roman" w:eastAsia="仿宋_GB2312"/>
          <w:sz w:val="32"/>
          <w:szCs w:val="32"/>
        </w:rPr>
        <w:t>2654.17</w:t>
      </w:r>
      <w:r>
        <w:rPr>
          <w:rFonts w:hint="eastAsia" w:ascii="仿宋" w:hAnsi="仿宋" w:eastAsia="仿宋"/>
          <w:sz w:val="32"/>
          <w:szCs w:val="32"/>
        </w:rPr>
        <w:t>万元，占基本支出的</w:t>
      </w:r>
      <w:r>
        <w:rPr>
          <w:rFonts w:hint="eastAsia" w:ascii="仿宋" w:hAnsi="仿宋" w:eastAsia="仿宋"/>
          <w:sz w:val="32"/>
          <w:szCs w:val="32"/>
          <w:lang w:val="en-US" w:eastAsia="zh-CN"/>
        </w:rPr>
        <w:t>90.82</w:t>
      </w:r>
      <w:r>
        <w:rPr>
          <w:rFonts w:hint="eastAsia" w:ascii="仿宋" w:hAnsi="仿宋" w:eastAsia="仿宋"/>
          <w:sz w:val="32"/>
          <w:szCs w:val="32"/>
        </w:rPr>
        <w:t>%,主要包括基本工资、津贴补贴、奖金、伙食补助费、机关事业单位基本养老保险缴费、职工基本医疗保险缴费、住房公积金、医疗费等。</w:t>
      </w:r>
    </w:p>
    <w:p>
      <w:pPr>
        <w:pStyle w:val="8"/>
        <w:widowControl/>
        <w:spacing w:line="640" w:lineRule="exact"/>
        <w:ind w:firstLine="643"/>
        <w:rPr>
          <w:rFonts w:ascii="Times New Roman" w:hAnsi="Times New Roman" w:eastAsia="楷体_GB2312"/>
          <w:b/>
          <w:sz w:val="32"/>
          <w:szCs w:val="32"/>
        </w:rPr>
      </w:pPr>
      <w:r>
        <w:rPr>
          <w:rFonts w:hint="eastAsia" w:ascii="仿宋" w:hAnsi="仿宋" w:eastAsia="仿宋"/>
          <w:b/>
          <w:bCs/>
          <w:sz w:val="32"/>
          <w:szCs w:val="32"/>
        </w:rPr>
        <w:t>公用经费</w:t>
      </w:r>
      <w:r>
        <w:rPr>
          <w:rFonts w:hint="eastAsia" w:ascii="Times New Roman" w:hAnsi="Times New Roman" w:eastAsia="仿宋_GB2312"/>
          <w:sz w:val="32"/>
          <w:szCs w:val="32"/>
        </w:rPr>
        <w:t>268.36</w:t>
      </w:r>
      <w:r>
        <w:rPr>
          <w:rFonts w:hint="eastAsia" w:ascii="仿宋" w:hAnsi="仿宋" w:eastAsia="仿宋"/>
          <w:sz w:val="32"/>
          <w:szCs w:val="32"/>
        </w:rPr>
        <w:t>万元，占基本支出的</w:t>
      </w:r>
      <w:r>
        <w:rPr>
          <w:rFonts w:hint="eastAsia" w:ascii="仿宋" w:hAnsi="仿宋" w:eastAsia="仿宋"/>
          <w:sz w:val="32"/>
          <w:szCs w:val="32"/>
          <w:lang w:val="en-US" w:eastAsia="zh-CN"/>
        </w:rPr>
        <w:t>9.18</w:t>
      </w:r>
      <w:r>
        <w:rPr>
          <w:rFonts w:hint="eastAsia" w:ascii="仿宋" w:hAnsi="仿宋" w:eastAsia="仿宋"/>
          <w:sz w:val="32"/>
          <w:szCs w:val="32"/>
        </w:rPr>
        <w:t>%，主要包括办公费、水费、电费、培训费、公务接待费、工会经费、其他交通费等。</w:t>
      </w:r>
    </w:p>
    <w:p>
      <w:pPr>
        <w:pStyle w:val="8"/>
        <w:widowControl/>
        <w:spacing w:line="640" w:lineRule="exact"/>
        <w:ind w:firstLine="640"/>
        <w:rPr>
          <w:rFonts w:ascii="Times New Roman" w:hAnsi="Times New Roman" w:eastAsia="楷体_GB2312"/>
          <w:b/>
          <w:sz w:val="32"/>
          <w:szCs w:val="32"/>
        </w:rPr>
      </w:pPr>
      <w:r>
        <w:rPr>
          <w:rFonts w:ascii="Times New Roman" w:hAnsi="Times New Roman" w:eastAsia="楷体_GB2312"/>
          <w:b/>
          <w:sz w:val="32"/>
          <w:szCs w:val="32"/>
        </w:rPr>
        <w:t>（二）项目支出情况</w:t>
      </w:r>
    </w:p>
    <w:p>
      <w:pPr>
        <w:pStyle w:val="8"/>
        <w:widowControl/>
        <w:spacing w:line="640" w:lineRule="exact"/>
        <w:ind w:firstLine="640"/>
        <w:rPr>
          <w:rFonts w:ascii="仿宋" w:hAnsi="仿宋" w:eastAsia="仿宋"/>
          <w:sz w:val="32"/>
          <w:szCs w:val="32"/>
        </w:rPr>
      </w:pPr>
      <w:r>
        <w:rPr>
          <w:rFonts w:hint="eastAsia" w:ascii="仿宋" w:hAnsi="仿宋" w:eastAsia="仿宋"/>
          <w:sz w:val="32"/>
          <w:szCs w:val="32"/>
        </w:rPr>
        <w:t>2022年度一般公共预算项目支出</w:t>
      </w:r>
      <w:r>
        <w:rPr>
          <w:rFonts w:hint="eastAsia" w:ascii="仿宋" w:hAnsi="仿宋" w:eastAsia="仿宋"/>
          <w:sz w:val="32"/>
          <w:szCs w:val="32"/>
          <w:lang w:val="en-US" w:eastAsia="zh-CN"/>
        </w:rPr>
        <w:t>1394.62</w:t>
      </w:r>
      <w:r>
        <w:rPr>
          <w:rFonts w:hint="eastAsia" w:ascii="仿宋" w:hAnsi="仿宋" w:eastAsia="仿宋"/>
          <w:sz w:val="32"/>
          <w:szCs w:val="32"/>
        </w:rPr>
        <w:t>万元。</w:t>
      </w:r>
      <w:r>
        <w:rPr>
          <w:rFonts w:hint="eastAsia" w:ascii="仿宋" w:hAnsi="仿宋" w:eastAsia="仿宋" w:cstheme="minorBidi"/>
          <w:kern w:val="2"/>
          <w:sz w:val="32"/>
          <w:szCs w:val="32"/>
        </w:rPr>
        <w:t>主要是</w:t>
      </w:r>
      <w:r>
        <w:rPr>
          <w:rFonts w:hint="eastAsia" w:ascii="仿宋" w:hAnsi="仿宋" w:eastAsia="仿宋" w:cstheme="minorBidi"/>
          <w:kern w:val="2"/>
          <w:sz w:val="32"/>
          <w:szCs w:val="32"/>
          <w:lang w:eastAsia="zh-CN"/>
        </w:rPr>
        <w:t>新所迁建、强制隔离戒毒给养、强制隔离戒毒业务等项目的支出</w:t>
      </w:r>
      <w:r>
        <w:rPr>
          <w:rFonts w:hint="eastAsia" w:ascii="仿宋" w:hAnsi="仿宋" w:eastAsia="仿宋" w:cstheme="minorBidi"/>
          <w:kern w:val="2"/>
          <w:sz w:val="32"/>
          <w:szCs w:val="32"/>
        </w:rPr>
        <w:t>。</w:t>
      </w:r>
    </w:p>
    <w:p>
      <w:pPr>
        <w:pStyle w:val="4"/>
        <w:shd w:val="clear" w:color="auto" w:fill="FFFFFF"/>
        <w:spacing w:before="0" w:beforeAutospacing="0" w:after="0" w:afterAutospacing="0" w:line="480" w:lineRule="auto"/>
        <w:ind w:firstLine="480"/>
        <w:jc w:val="both"/>
        <w:rPr>
          <w:rFonts w:ascii="仿宋" w:hAnsi="仿宋" w:eastAsia="仿宋" w:cstheme="minorBidi"/>
          <w:kern w:val="2"/>
          <w:sz w:val="32"/>
          <w:szCs w:val="32"/>
        </w:rPr>
      </w:pPr>
      <w:r>
        <w:rPr>
          <w:rFonts w:hint="eastAsia" w:ascii="仿宋" w:hAnsi="仿宋" w:eastAsia="仿宋" w:cstheme="minorBidi"/>
          <w:kern w:val="2"/>
          <w:sz w:val="32"/>
          <w:szCs w:val="32"/>
        </w:rPr>
        <w:t>资金使用规范，注重绩效，支出审批程序严格，厉行节约，支出费用合理，确保了专款专用，最大限度地提高资金的使用效益。严格按照预算编制控制人员经费的使用，不安排编制外人员经费。</w:t>
      </w:r>
    </w:p>
    <w:p>
      <w:pPr>
        <w:pStyle w:val="4"/>
        <w:shd w:val="clear" w:color="auto" w:fill="FFFFFF"/>
        <w:spacing w:before="0" w:beforeAutospacing="0" w:after="0" w:afterAutospacing="0" w:line="480" w:lineRule="auto"/>
        <w:ind w:firstLine="480"/>
        <w:jc w:val="both"/>
        <w:rPr>
          <w:rFonts w:ascii="仿宋" w:hAnsi="仿宋" w:eastAsia="仿宋" w:cstheme="minorBidi"/>
          <w:kern w:val="2"/>
          <w:sz w:val="32"/>
          <w:szCs w:val="32"/>
        </w:rPr>
      </w:pPr>
      <w:r>
        <w:rPr>
          <w:rFonts w:hint="eastAsia" w:ascii="仿宋" w:hAnsi="仿宋" w:eastAsia="仿宋" w:cstheme="minorBidi"/>
          <w:kern w:val="2"/>
          <w:sz w:val="32"/>
          <w:szCs w:val="32"/>
        </w:rPr>
        <w:t>按照专项工作的计划进度和预算安排支出专项资金，大力加强专项资金的保障力度，确保主要工作专项工作有序开展。专项资金全部用于专项工作，不存在被挪用、挤占的情况，全部按进度支付到位。</w:t>
      </w:r>
    </w:p>
    <w:p>
      <w:pPr>
        <w:pStyle w:val="8"/>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8"/>
        <w:widowControl/>
        <w:spacing w:line="640" w:lineRule="exact"/>
        <w:ind w:firstLine="640"/>
        <w:rPr>
          <w:rFonts w:ascii="仿宋" w:hAnsi="仿宋" w:eastAsia="仿宋"/>
          <w:sz w:val="32"/>
          <w:szCs w:val="32"/>
        </w:rPr>
      </w:pPr>
      <w:r>
        <w:rPr>
          <w:rFonts w:hint="eastAsia" w:ascii="仿宋" w:hAnsi="仿宋" w:eastAsia="仿宋"/>
          <w:sz w:val="32"/>
          <w:szCs w:val="32"/>
        </w:rPr>
        <w:t>2022年我</w:t>
      </w:r>
      <w:r>
        <w:rPr>
          <w:rFonts w:hint="eastAsia" w:ascii="仿宋" w:hAnsi="仿宋" w:eastAsia="仿宋"/>
          <w:sz w:val="32"/>
          <w:szCs w:val="32"/>
          <w:lang w:eastAsia="zh-CN"/>
        </w:rPr>
        <w:t>所</w:t>
      </w:r>
      <w:r>
        <w:rPr>
          <w:rFonts w:hint="eastAsia" w:ascii="仿宋" w:hAnsi="仿宋" w:eastAsia="仿宋"/>
          <w:sz w:val="32"/>
          <w:szCs w:val="32"/>
        </w:rPr>
        <w:t>无政府性基金预算支出。</w:t>
      </w:r>
    </w:p>
    <w:p>
      <w:pPr>
        <w:pStyle w:val="8"/>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8"/>
        <w:widowControl/>
        <w:spacing w:line="640" w:lineRule="exact"/>
        <w:ind w:firstLine="640"/>
        <w:rPr>
          <w:rFonts w:ascii="仿宋" w:hAnsi="仿宋" w:eastAsia="仿宋"/>
          <w:sz w:val="32"/>
          <w:szCs w:val="32"/>
        </w:rPr>
      </w:pPr>
      <w:r>
        <w:rPr>
          <w:rFonts w:hint="eastAsia" w:ascii="仿宋" w:hAnsi="仿宋" w:eastAsia="仿宋"/>
          <w:sz w:val="32"/>
          <w:szCs w:val="32"/>
        </w:rPr>
        <w:t>2022年我</w:t>
      </w:r>
      <w:r>
        <w:rPr>
          <w:rFonts w:hint="eastAsia" w:ascii="仿宋" w:hAnsi="仿宋" w:eastAsia="仿宋"/>
          <w:sz w:val="32"/>
          <w:szCs w:val="32"/>
          <w:lang w:eastAsia="zh-CN"/>
        </w:rPr>
        <w:t>所</w:t>
      </w:r>
      <w:r>
        <w:rPr>
          <w:rFonts w:hint="eastAsia" w:ascii="仿宋" w:hAnsi="仿宋" w:eastAsia="仿宋"/>
          <w:sz w:val="32"/>
          <w:szCs w:val="32"/>
        </w:rPr>
        <w:t>无国有资本经营预算支出。</w:t>
      </w:r>
    </w:p>
    <w:p>
      <w:pPr>
        <w:pStyle w:val="8"/>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8"/>
        <w:widowControl/>
        <w:spacing w:line="640" w:lineRule="exact"/>
        <w:ind w:firstLine="640"/>
        <w:rPr>
          <w:rFonts w:ascii="仿宋" w:hAnsi="仿宋" w:eastAsia="仿宋"/>
          <w:sz w:val="32"/>
          <w:szCs w:val="32"/>
        </w:rPr>
      </w:pPr>
      <w:r>
        <w:rPr>
          <w:rFonts w:hint="eastAsia" w:ascii="仿宋" w:hAnsi="仿宋" w:eastAsia="仿宋"/>
          <w:sz w:val="32"/>
          <w:szCs w:val="32"/>
        </w:rPr>
        <w:t>2022年我</w:t>
      </w:r>
      <w:r>
        <w:rPr>
          <w:rFonts w:hint="eastAsia" w:ascii="仿宋" w:hAnsi="仿宋" w:eastAsia="仿宋"/>
          <w:sz w:val="32"/>
          <w:szCs w:val="32"/>
          <w:lang w:eastAsia="zh-CN"/>
        </w:rPr>
        <w:t>所</w:t>
      </w:r>
      <w:r>
        <w:rPr>
          <w:rFonts w:hint="eastAsia" w:ascii="仿宋" w:hAnsi="仿宋" w:eastAsia="仿宋"/>
          <w:sz w:val="32"/>
          <w:szCs w:val="32"/>
        </w:rPr>
        <w:t>无社会保险基金预算支出。</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spacing w:line="560" w:lineRule="exact"/>
        <w:ind w:firstLine="640" w:firstLineChars="200"/>
        <w:rPr>
          <w:rFonts w:eastAsia="仿宋" w:cs="仿宋"/>
          <w:bCs/>
          <w:sz w:val="32"/>
          <w:szCs w:val="32"/>
        </w:rPr>
      </w:pPr>
      <w:r>
        <w:rPr>
          <w:rFonts w:hint="eastAsia" w:eastAsia="仿宋" w:cs="仿宋"/>
          <w:bCs/>
          <w:sz w:val="32"/>
          <w:szCs w:val="32"/>
        </w:rPr>
        <w:t>2022年，我</w:t>
      </w:r>
      <w:r>
        <w:rPr>
          <w:rFonts w:hint="eastAsia" w:eastAsia="仿宋" w:cs="仿宋"/>
          <w:bCs/>
          <w:sz w:val="32"/>
          <w:szCs w:val="32"/>
          <w:lang w:eastAsia="zh-CN"/>
        </w:rPr>
        <w:t>所</w:t>
      </w:r>
      <w:r>
        <w:rPr>
          <w:rFonts w:hint="eastAsia" w:eastAsia="仿宋" w:cs="仿宋"/>
          <w:bCs/>
          <w:sz w:val="32"/>
          <w:szCs w:val="32"/>
        </w:rPr>
        <w:t>部门整体支出</w:t>
      </w:r>
      <w:r>
        <w:rPr>
          <w:rFonts w:hint="eastAsia" w:eastAsia="仿宋" w:cs="仿宋"/>
          <w:bCs/>
          <w:sz w:val="32"/>
          <w:szCs w:val="32"/>
          <w:lang w:val="en-US" w:eastAsia="zh-CN"/>
        </w:rPr>
        <w:t>4317.15</w:t>
      </w:r>
      <w:r>
        <w:rPr>
          <w:rFonts w:hint="eastAsia" w:eastAsia="仿宋" w:cs="仿宋"/>
          <w:bCs/>
          <w:sz w:val="32"/>
          <w:szCs w:val="32"/>
        </w:rPr>
        <w:t>万元，按支出性质分：基本支出</w:t>
      </w:r>
      <w:r>
        <w:rPr>
          <w:rFonts w:hint="eastAsia" w:ascii="Times New Roman" w:hAnsi="Times New Roman" w:eastAsia="仿宋_GB2312"/>
          <w:sz w:val="32"/>
          <w:szCs w:val="32"/>
        </w:rPr>
        <w:t>2922.53</w:t>
      </w:r>
      <w:r>
        <w:rPr>
          <w:rFonts w:hint="eastAsia" w:eastAsia="仿宋" w:cs="仿宋"/>
          <w:bCs/>
          <w:sz w:val="32"/>
          <w:szCs w:val="32"/>
        </w:rPr>
        <w:t>万元，项目支出</w:t>
      </w:r>
      <w:r>
        <w:rPr>
          <w:rFonts w:hint="eastAsia" w:ascii="仿宋" w:hAnsi="仿宋" w:eastAsia="仿宋"/>
          <w:sz w:val="32"/>
          <w:szCs w:val="32"/>
          <w:lang w:val="en-US" w:eastAsia="zh-CN"/>
        </w:rPr>
        <w:t>1394.62</w:t>
      </w:r>
      <w:r>
        <w:rPr>
          <w:rFonts w:hint="eastAsia" w:eastAsia="仿宋" w:cs="仿宋"/>
          <w:bCs/>
          <w:sz w:val="32"/>
          <w:szCs w:val="32"/>
        </w:rPr>
        <w:t>万元；按收入性质分：我</w:t>
      </w:r>
      <w:r>
        <w:rPr>
          <w:rFonts w:hint="eastAsia" w:eastAsia="仿宋" w:cs="仿宋"/>
          <w:bCs/>
          <w:sz w:val="32"/>
          <w:szCs w:val="32"/>
          <w:lang w:eastAsia="zh-CN"/>
        </w:rPr>
        <w:t>所</w:t>
      </w:r>
      <w:r>
        <w:rPr>
          <w:rFonts w:hint="eastAsia" w:eastAsia="仿宋" w:cs="仿宋"/>
          <w:bCs/>
          <w:sz w:val="32"/>
          <w:szCs w:val="32"/>
        </w:rPr>
        <w:t>部门整体支出中一般公共预算支出</w:t>
      </w:r>
      <w:r>
        <w:rPr>
          <w:rFonts w:hint="eastAsia" w:eastAsia="仿宋" w:cs="仿宋"/>
          <w:bCs/>
          <w:sz w:val="32"/>
          <w:szCs w:val="32"/>
          <w:lang w:val="en-US" w:eastAsia="zh-CN"/>
        </w:rPr>
        <w:t>4317.15</w:t>
      </w:r>
      <w:r>
        <w:rPr>
          <w:rFonts w:hint="eastAsia" w:eastAsia="仿宋" w:cs="仿宋"/>
          <w:bCs/>
          <w:sz w:val="32"/>
          <w:szCs w:val="32"/>
        </w:rPr>
        <w:t>万元，无政府性基金预算支出、国有资本经营预算支出和社会保险基金预算支出。</w:t>
      </w:r>
    </w:p>
    <w:p>
      <w:pPr>
        <w:spacing w:line="560" w:lineRule="exact"/>
        <w:ind w:firstLine="640" w:firstLineChars="200"/>
        <w:rPr>
          <w:rFonts w:eastAsia="仿宋" w:cs="仿宋"/>
          <w:bCs/>
          <w:sz w:val="32"/>
          <w:szCs w:val="32"/>
        </w:rPr>
      </w:pPr>
      <w:r>
        <w:rPr>
          <w:rFonts w:hint="eastAsia" w:eastAsia="仿宋" w:cs="仿宋"/>
          <w:bCs/>
          <w:sz w:val="32"/>
          <w:szCs w:val="32"/>
        </w:rPr>
        <w:t>通过加强预算收支的管理，不断建立健全内部管理制度，梳理内部管理流程，部门整体支出管理情况得到了提升，部门整体支出绩效情况如下：</w:t>
      </w:r>
    </w:p>
    <w:p>
      <w:pPr>
        <w:spacing w:line="560" w:lineRule="exact"/>
        <w:ind w:firstLine="643" w:firstLineChars="200"/>
        <w:rPr>
          <w:rFonts w:eastAsia="楷体_GB2312"/>
          <w:b/>
          <w:sz w:val="32"/>
          <w:szCs w:val="32"/>
        </w:rPr>
      </w:pPr>
      <w:r>
        <w:rPr>
          <w:rFonts w:hint="eastAsia" w:eastAsia="楷体_GB2312"/>
          <w:b/>
          <w:sz w:val="32"/>
          <w:szCs w:val="32"/>
        </w:rPr>
        <w:t>（一）经济性评价方面</w:t>
      </w:r>
    </w:p>
    <w:p>
      <w:pPr>
        <w:spacing w:line="560" w:lineRule="exact"/>
        <w:ind w:firstLine="640" w:firstLineChars="200"/>
        <w:rPr>
          <w:rFonts w:eastAsia="仿宋" w:cs="仿宋"/>
          <w:bCs/>
          <w:sz w:val="32"/>
          <w:szCs w:val="32"/>
        </w:rPr>
      </w:pPr>
      <w:r>
        <w:rPr>
          <w:rFonts w:hint="eastAsia" w:eastAsia="仿宋" w:cs="仿宋"/>
          <w:bCs/>
          <w:sz w:val="32"/>
          <w:szCs w:val="32"/>
        </w:rPr>
        <w:t>1、本年预算配置控制较好，财政供养人员控制在预算编制以内,三公经费控制得较好。</w:t>
      </w:r>
    </w:p>
    <w:p>
      <w:pPr>
        <w:spacing w:line="560" w:lineRule="exact"/>
        <w:ind w:firstLine="640" w:firstLineChars="200"/>
        <w:rPr>
          <w:rFonts w:eastAsia="仿宋" w:cs="仿宋"/>
          <w:bCs/>
          <w:sz w:val="32"/>
          <w:szCs w:val="32"/>
        </w:rPr>
      </w:pPr>
      <w:r>
        <w:rPr>
          <w:rFonts w:hint="eastAsia" w:eastAsia="仿宋" w:cs="仿宋"/>
          <w:bCs/>
          <w:sz w:val="32"/>
          <w:szCs w:val="32"/>
        </w:rPr>
        <w:t>2、预算执行方面，支出总额控制在预算总额以内，年中追加了专项预算和政策性工资绩效预算；我</w:t>
      </w:r>
      <w:r>
        <w:rPr>
          <w:rFonts w:hint="eastAsia" w:eastAsia="仿宋" w:cs="仿宋"/>
          <w:bCs/>
          <w:sz w:val="32"/>
          <w:szCs w:val="32"/>
          <w:lang w:eastAsia="zh-CN"/>
        </w:rPr>
        <w:t>所</w:t>
      </w:r>
      <w:r>
        <w:rPr>
          <w:rFonts w:hint="eastAsia" w:eastAsia="仿宋" w:cs="仿宋"/>
          <w:bCs/>
          <w:sz w:val="32"/>
          <w:szCs w:val="32"/>
        </w:rPr>
        <w:t>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pPr>
        <w:spacing w:line="560" w:lineRule="exact"/>
        <w:ind w:firstLine="640" w:firstLineChars="200"/>
        <w:rPr>
          <w:rFonts w:eastAsia="仿宋" w:cs="仿宋"/>
          <w:bCs/>
          <w:sz w:val="32"/>
          <w:szCs w:val="32"/>
        </w:rPr>
      </w:pPr>
      <w:r>
        <w:rPr>
          <w:rFonts w:hint="eastAsia" w:eastAsia="仿宋" w:cs="仿宋"/>
          <w:bCs/>
          <w:sz w:val="32"/>
          <w:szCs w:val="32"/>
        </w:rPr>
        <w:t>3、预算管理方面，制度执行总体较好，仍需进一步强化；资金使用管理需进一步加强。</w:t>
      </w:r>
    </w:p>
    <w:p>
      <w:pPr>
        <w:spacing w:line="560" w:lineRule="exact"/>
        <w:ind w:firstLine="640" w:firstLineChars="200"/>
        <w:rPr>
          <w:rFonts w:eastAsia="仿宋" w:cs="仿宋"/>
          <w:bCs/>
          <w:sz w:val="32"/>
          <w:szCs w:val="32"/>
        </w:rPr>
      </w:pPr>
      <w:r>
        <w:rPr>
          <w:rFonts w:hint="eastAsia" w:eastAsia="仿宋" w:cs="仿宋"/>
          <w:bCs/>
          <w:sz w:val="32"/>
          <w:szCs w:val="32"/>
        </w:rPr>
        <w:t>4、资产管理方面，建立了资产管理制度，做好了资产台账，加强了对资产的管理。实现了实物资产的“一物一卡一条码”，总体执行较好。</w:t>
      </w:r>
    </w:p>
    <w:p>
      <w:pPr>
        <w:spacing w:line="600" w:lineRule="exact"/>
        <w:ind w:firstLine="640" w:firstLineChars="200"/>
        <w:rPr>
          <w:rFonts w:hint="eastAsia" w:eastAsia="仿宋" w:cs="仿宋"/>
          <w:bCs/>
          <w:sz w:val="32"/>
          <w:szCs w:val="32"/>
          <w:lang w:eastAsia="zh-CN"/>
        </w:rPr>
      </w:pPr>
      <w:r>
        <w:rPr>
          <w:rFonts w:hint="eastAsia" w:eastAsia="仿宋" w:cs="仿宋"/>
          <w:bCs/>
          <w:sz w:val="32"/>
          <w:szCs w:val="32"/>
        </w:rPr>
        <w:t>5、社会效益指标方面，</w:t>
      </w:r>
      <w:r>
        <w:rPr>
          <w:rFonts w:hint="eastAsia" w:eastAsia="仿宋" w:cs="仿宋"/>
          <w:bCs/>
          <w:sz w:val="32"/>
          <w:szCs w:val="32"/>
          <w:lang w:eastAsia="zh-CN"/>
        </w:rPr>
        <w:t>我所做到应收尽收，使得社会吸毒人员得到全面收治，在所内得到充分的再教育，达到吸毒人员出所能更好的适应社会，从而降低社会不安全因素。</w:t>
      </w:r>
    </w:p>
    <w:p>
      <w:pPr>
        <w:spacing w:line="560" w:lineRule="exact"/>
        <w:ind w:firstLine="640" w:firstLineChars="200"/>
        <w:rPr>
          <w:rFonts w:eastAsia="仿宋" w:cs="仿宋"/>
          <w:bCs/>
          <w:sz w:val="32"/>
          <w:szCs w:val="32"/>
        </w:rPr>
      </w:pPr>
      <w:r>
        <w:rPr>
          <w:rFonts w:hint="eastAsia" w:eastAsia="仿宋" w:cs="仿宋"/>
          <w:bCs/>
          <w:sz w:val="32"/>
          <w:szCs w:val="32"/>
        </w:rPr>
        <w:t>根据部门整体支出绩效评价指标体系，我</w:t>
      </w:r>
      <w:r>
        <w:rPr>
          <w:rFonts w:hint="eastAsia" w:eastAsia="仿宋" w:cs="仿宋"/>
          <w:bCs/>
          <w:sz w:val="32"/>
          <w:szCs w:val="32"/>
          <w:lang w:eastAsia="zh-CN"/>
        </w:rPr>
        <w:t>所</w:t>
      </w:r>
      <w:r>
        <w:rPr>
          <w:rFonts w:hint="eastAsia" w:eastAsia="仿宋" w:cs="仿宋"/>
          <w:bCs/>
          <w:sz w:val="32"/>
          <w:szCs w:val="32"/>
        </w:rPr>
        <w:t>2022年度评价得分98分。</w:t>
      </w:r>
    </w:p>
    <w:p>
      <w:pPr>
        <w:spacing w:line="560" w:lineRule="exact"/>
        <w:ind w:firstLine="643" w:firstLineChars="200"/>
        <w:rPr>
          <w:rFonts w:eastAsia="楷体_GB2312"/>
          <w:b/>
          <w:sz w:val="32"/>
          <w:szCs w:val="32"/>
        </w:rPr>
      </w:pPr>
      <w:r>
        <w:rPr>
          <w:rFonts w:hint="eastAsia" w:eastAsia="楷体_GB2312"/>
          <w:b/>
          <w:sz w:val="32"/>
          <w:szCs w:val="32"/>
        </w:rPr>
        <w:t>（二）效率性评价和有效性评价</w:t>
      </w:r>
    </w:p>
    <w:p>
      <w:pPr>
        <w:spacing w:line="560" w:lineRule="exact"/>
        <w:ind w:firstLine="640" w:firstLineChars="200"/>
        <w:rPr>
          <w:rFonts w:eastAsia="仿宋" w:cs="仿宋"/>
          <w:bCs/>
          <w:sz w:val="32"/>
          <w:szCs w:val="32"/>
        </w:rPr>
      </w:pPr>
      <w:r>
        <w:rPr>
          <w:rFonts w:hint="eastAsia" w:eastAsia="仿宋" w:cs="仿宋"/>
          <w:bCs/>
          <w:sz w:val="32"/>
          <w:szCs w:val="32"/>
        </w:rPr>
        <w:t>社会效率和有效性评价较好。</w:t>
      </w:r>
    </w:p>
    <w:p>
      <w:pPr>
        <w:spacing w:line="560" w:lineRule="exact"/>
        <w:ind w:firstLine="643" w:firstLineChars="200"/>
        <w:rPr>
          <w:rFonts w:eastAsia="楷体_GB2312"/>
          <w:b/>
          <w:sz w:val="32"/>
          <w:szCs w:val="32"/>
        </w:rPr>
      </w:pPr>
      <w:r>
        <w:rPr>
          <w:rFonts w:hint="eastAsia" w:eastAsia="楷体_GB2312"/>
          <w:b/>
          <w:sz w:val="32"/>
          <w:szCs w:val="32"/>
        </w:rPr>
        <w:t>（三）社会公众满意度评价</w:t>
      </w:r>
    </w:p>
    <w:p>
      <w:pPr>
        <w:widowControl/>
        <w:spacing w:line="640" w:lineRule="exact"/>
        <w:ind w:firstLine="640" w:firstLineChars="200"/>
        <w:rPr>
          <w:rFonts w:ascii="Times New Roman" w:hAnsi="Times New Roman" w:eastAsia="仿宋_GB2312"/>
          <w:color w:val="000000"/>
          <w:sz w:val="32"/>
          <w:szCs w:val="32"/>
        </w:rPr>
      </w:pPr>
      <w:r>
        <w:rPr>
          <w:rFonts w:hint="eastAsia" w:eastAsia="仿宋" w:cs="仿宋"/>
          <w:bCs/>
          <w:sz w:val="32"/>
          <w:szCs w:val="32"/>
        </w:rPr>
        <w:t>受援人满意度达95%以上。</w:t>
      </w:r>
    </w:p>
    <w:p>
      <w:pPr>
        <w:pStyle w:val="8"/>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bookmarkStart w:id="0" w:name="_GoBack"/>
      <w:bookmarkEnd w:id="0"/>
    </w:p>
    <w:p>
      <w:pPr>
        <w:spacing w:line="560" w:lineRule="exact"/>
        <w:ind w:firstLine="640" w:firstLineChars="200"/>
        <w:rPr>
          <w:rFonts w:eastAsia="仿宋" w:cs="仿宋"/>
          <w:bCs/>
          <w:sz w:val="32"/>
          <w:szCs w:val="32"/>
        </w:rPr>
      </w:pPr>
      <w:r>
        <w:rPr>
          <w:rFonts w:hint="eastAsia" w:eastAsia="仿宋" w:cs="仿宋"/>
          <w:bCs/>
          <w:sz w:val="32"/>
          <w:szCs w:val="32"/>
        </w:rPr>
        <w:t>1、预算编制的计划性和执行管理上仍有待提高，制度的执行有待进一步强化，项目资金的使用有待进一步规范。</w:t>
      </w:r>
    </w:p>
    <w:p>
      <w:pPr>
        <w:spacing w:line="560" w:lineRule="exact"/>
        <w:ind w:firstLine="640" w:firstLineChars="200"/>
        <w:rPr>
          <w:rFonts w:eastAsia="仿宋" w:cs="仿宋"/>
          <w:bCs/>
          <w:szCs w:val="28"/>
        </w:rPr>
      </w:pPr>
      <w:r>
        <w:rPr>
          <w:rFonts w:hint="eastAsia" w:eastAsia="仿宋" w:cs="仿宋"/>
          <w:bCs/>
          <w:sz w:val="32"/>
          <w:szCs w:val="32"/>
        </w:rPr>
        <w:t>2、对绩效考评的结果利用的范围有限，缺乏长效机制。</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spacing w:line="560" w:lineRule="exact"/>
        <w:ind w:firstLine="640" w:firstLineChars="200"/>
        <w:rPr>
          <w:rFonts w:eastAsia="仿宋" w:cs="仿宋"/>
          <w:bCs/>
          <w:sz w:val="32"/>
          <w:szCs w:val="32"/>
        </w:rPr>
      </w:pPr>
      <w:r>
        <w:rPr>
          <w:rFonts w:hint="eastAsia" w:eastAsia="仿宋" w:cs="仿宋"/>
          <w:bCs/>
          <w:sz w:val="32"/>
          <w:szCs w:val="32"/>
        </w:rPr>
        <w:t>1、加强对财务人员和相关管理人员的业务培训，提高相关人员的业务能力和素质。</w:t>
      </w:r>
    </w:p>
    <w:p>
      <w:pPr>
        <w:spacing w:line="560" w:lineRule="exact"/>
        <w:ind w:firstLine="640" w:firstLineChars="200"/>
        <w:rPr>
          <w:rFonts w:eastAsia="仿宋" w:cs="仿宋"/>
          <w:bCs/>
          <w:sz w:val="32"/>
          <w:szCs w:val="32"/>
        </w:rPr>
      </w:pPr>
      <w:r>
        <w:rPr>
          <w:rFonts w:hint="eastAsia" w:eastAsia="仿宋" w:cs="仿宋"/>
          <w:bCs/>
          <w:sz w:val="32"/>
          <w:szCs w:val="32"/>
        </w:rPr>
        <w:t>2、健全内部管理和控制制度，提高绩效管理水平。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640" w:firstLineChars="200"/>
        <w:rPr>
          <w:rFonts w:eastAsia="仿宋" w:cs="仿宋"/>
          <w:bCs/>
          <w:sz w:val="32"/>
          <w:szCs w:val="32"/>
        </w:rPr>
      </w:pPr>
      <w:r>
        <w:rPr>
          <w:rFonts w:hint="eastAsia" w:eastAsia="仿宋" w:cs="仿宋"/>
          <w:bCs/>
          <w:sz w:val="32"/>
          <w:szCs w:val="32"/>
        </w:rPr>
        <w:t>3、坚持财务分析常态化。定期做好支出预算财务分析，及时对费用预算执行情况进行通报和预警，做好部门整体支出和项目支出预算绩效评价工作。</w:t>
      </w:r>
    </w:p>
    <w:p>
      <w:pPr>
        <w:spacing w:line="560" w:lineRule="exact"/>
        <w:ind w:firstLine="640" w:firstLineChars="200"/>
        <w:rPr>
          <w:rFonts w:eastAsia="仿宋" w:cs="仿宋"/>
          <w:bCs/>
          <w:sz w:val="32"/>
          <w:szCs w:val="32"/>
        </w:rPr>
      </w:pPr>
      <w:r>
        <w:rPr>
          <w:rFonts w:hint="eastAsia" w:eastAsia="仿宋" w:cs="仿宋"/>
          <w:bCs/>
          <w:sz w:val="32"/>
          <w:szCs w:val="32"/>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九、部门整体支出绩效自评结果拟应用和公开情况</w:t>
      </w:r>
    </w:p>
    <w:p>
      <w:pPr>
        <w:spacing w:line="560" w:lineRule="exact"/>
        <w:ind w:firstLine="640" w:firstLineChars="200"/>
        <w:rPr>
          <w:rFonts w:eastAsia="仿宋" w:cs="仿宋"/>
          <w:bCs/>
          <w:sz w:val="32"/>
          <w:szCs w:val="32"/>
        </w:rPr>
      </w:pPr>
      <w:r>
        <w:rPr>
          <w:rFonts w:hint="eastAsia" w:eastAsia="仿宋" w:cs="仿宋"/>
          <w:bCs/>
          <w:sz w:val="32"/>
          <w:szCs w:val="32"/>
        </w:rPr>
        <w:t>按要求在门户网站进行了公开。</w:t>
      </w:r>
    </w:p>
    <w:p>
      <w:pPr>
        <w:widowControl/>
        <w:spacing w:line="640" w:lineRule="exact"/>
        <w:ind w:firstLine="640" w:firstLineChars="200"/>
        <w:rPr>
          <w:rFonts w:ascii="Times New Roman" w:hAnsi="Times New Roman" w:eastAsia="仿宋_GB2312"/>
          <w:sz w:val="32"/>
          <w:szCs w:val="32"/>
        </w:rPr>
      </w:pPr>
    </w:p>
    <w:p>
      <w:pPr>
        <w:spacing w:line="20" w:lineRule="exact"/>
      </w:pPr>
    </w:p>
    <w:p>
      <w:pPr>
        <w:spacing w:afterLines="50" w:line="600" w:lineRule="exact"/>
        <w:rPr>
          <w:rFonts w:ascii="黑体" w:hAnsi="黑体" w:eastAsia="黑体" w:cs="黑体"/>
          <w:sz w:val="32"/>
          <w:szCs w:val="32"/>
        </w:rPr>
      </w:pPr>
    </w:p>
    <w:p>
      <w:pPr>
        <w:spacing w:afterLines="50" w:line="600" w:lineRule="exact"/>
        <w:rPr>
          <w:rFonts w:ascii="黑体" w:hAnsi="黑体" w:eastAsia="黑体" w:cs="黑体"/>
          <w:sz w:val="32"/>
          <w:szCs w:val="32"/>
        </w:rPr>
      </w:pPr>
    </w:p>
    <w:p>
      <w:pPr>
        <w:spacing w:afterLines="50" w:line="600" w:lineRule="exact"/>
        <w:rPr>
          <w:rFonts w:ascii="黑体" w:hAnsi="黑体" w:eastAsia="黑体" w:cs="黑体"/>
          <w:sz w:val="32"/>
          <w:szCs w:val="32"/>
        </w:rPr>
      </w:pPr>
    </w:p>
    <w:p>
      <w:pPr>
        <w:spacing w:afterLines="50" w:line="600" w:lineRule="exact"/>
        <w:rPr>
          <w:rFonts w:ascii="黑体" w:hAnsi="黑体" w:eastAsia="黑体" w:cs="黑体"/>
          <w:sz w:val="32"/>
          <w:szCs w:val="32"/>
        </w:rPr>
      </w:pPr>
      <w:r>
        <w:rPr>
          <w:rFonts w:hint="eastAsia" w:ascii="黑体" w:hAnsi="黑体" w:eastAsia="黑体" w:cs="黑体"/>
          <w:sz w:val="32"/>
          <w:szCs w:val="32"/>
        </w:rPr>
        <w:t>附件1</w:t>
      </w:r>
    </w:p>
    <w:p>
      <w:pPr>
        <w:spacing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2022年度部门整体支出绩效评价基础数据表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2022年实际在职人数</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136</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134</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2021年决算数</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2022年预算数</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16.11</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33.01</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32.09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13.46</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32.01</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32.01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17.98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17.98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13.46</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14.03</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14.03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2.65</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0.08</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397.3</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1394.62</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1394.62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bidi="ar-SA"/>
              </w:rPr>
            </w:pPr>
            <w:r>
              <w:rPr>
                <w:rFonts w:hint="eastAsia" w:ascii="仿宋_GB2312" w:hAnsi="仿宋_GB2312" w:eastAsia="仿宋_GB2312" w:cs="仿宋_GB2312"/>
                <w:sz w:val="20"/>
                <w:szCs w:val="20"/>
                <w:lang w:val="en-US" w:eastAsia="zh-CN"/>
              </w:rPr>
              <w:t>397.3</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1394.62</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1394.62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微软雅黑" w:hAnsi="微软雅黑" w:eastAsia="微软雅黑" w:cs="微软雅黑"/>
                <w:i w:val="0"/>
                <w:iCs w:val="0"/>
                <w:caps w:val="0"/>
                <w:color w:val="555555"/>
                <w:spacing w:val="0"/>
                <w:sz w:val="21"/>
                <w:szCs w:val="21"/>
                <w:shd w:val="clear" w:color="auto" w:fill="FFFFFF"/>
                <w:lang w:val="en-US" w:eastAsia="zh-CN"/>
              </w:rPr>
              <w:t>303.3</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268.36</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268.36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10.52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16.45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16.45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122.21</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79.66</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79.66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13.89</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9.2</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p>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（2022年完工项目）</w:t>
            </w: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p>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pPr>
        <w:widowControl/>
        <w:spacing w:line="400" w:lineRule="exact"/>
        <w:jc w:val="left"/>
        <w:rPr>
          <w:rFonts w:ascii="Times New Roman" w:hAnsi="Times New Roman" w:eastAsia="仿宋_GB2312"/>
          <w:sz w:val="22"/>
        </w:rPr>
      </w:pPr>
    </w:p>
    <w:p>
      <w:pPr>
        <w:widowControl/>
        <w:spacing w:line="400" w:lineRule="exact"/>
        <w:jc w:val="left"/>
        <w:rPr>
          <w:rFonts w:ascii="黑体" w:hAnsi="黑体" w:eastAsia="黑体" w:cs="黑体"/>
          <w:sz w:val="32"/>
          <w:szCs w:val="32"/>
        </w:rPr>
      </w:pPr>
      <w:r>
        <w:rPr>
          <w:rFonts w:ascii="Times New Roman" w:hAnsi="Times New Roman" w:eastAsia="仿宋_GB2312"/>
          <w:sz w:val="22"/>
        </w:rPr>
        <w:t>填表人：        填报日期：          联系电话：            单位负责人签字：</w:t>
      </w:r>
      <w:r>
        <w:rPr>
          <w:rFonts w:ascii="Times New Roman" w:hAnsi="Times New Roman" w:eastAsia="仿宋_GB2312"/>
          <w:sz w:val="22"/>
        </w:rPr>
        <w:br w:type="page"/>
      </w:r>
      <w:r>
        <w:rPr>
          <w:rFonts w:hint="eastAsia" w:ascii="黑体" w:hAnsi="黑体" w:eastAsia="黑体" w:cs="黑体"/>
          <w:sz w:val="32"/>
          <w:szCs w:val="32"/>
        </w:rPr>
        <w:t>附件2</w:t>
      </w:r>
    </w:p>
    <w:p>
      <w:pPr>
        <w:widowControl/>
        <w:spacing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3"/>
        <w:gridCol w:w="1267"/>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岳阳市</w:t>
            </w:r>
            <w:r>
              <w:rPr>
                <w:rFonts w:hint="eastAsia" w:ascii="仿宋_GB2312" w:hAnsi="仿宋_GB2312" w:eastAsia="仿宋_GB2312" w:cs="仿宋_GB2312"/>
                <w:color w:val="000000"/>
                <w:sz w:val="20"/>
                <w:szCs w:val="20"/>
                <w:lang w:eastAsia="zh-CN"/>
              </w:rPr>
              <w:t>强制隔离戒毒所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7"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2620.8</w:t>
            </w:r>
          </w:p>
        </w:tc>
        <w:tc>
          <w:tcPr>
            <w:tcW w:w="131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6679.32</w:t>
            </w:r>
          </w:p>
        </w:tc>
        <w:tc>
          <w:tcPr>
            <w:tcW w:w="1267" w:type="dxa"/>
            <w:tcBorders>
              <w:top w:val="nil"/>
              <w:left w:val="nil"/>
              <w:bottom w:val="single" w:color="auto" w:sz="4" w:space="0"/>
              <w:right w:val="single" w:color="auto" w:sz="4" w:space="0"/>
            </w:tcBorders>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4509.66</w:t>
            </w:r>
          </w:p>
        </w:tc>
        <w:tc>
          <w:tcPr>
            <w:tcW w:w="716" w:type="dxa"/>
            <w:tcBorders>
              <w:top w:val="nil"/>
              <w:left w:val="nil"/>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9</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67.51</w:t>
            </w:r>
            <w:r>
              <w:rPr>
                <w:rFonts w:hint="eastAsia" w:ascii="仿宋_GB2312" w:hAnsi="仿宋_GB2312" w:eastAsia="仿宋_GB2312" w:cs="仿宋_GB2312"/>
                <w:sz w:val="20"/>
                <w:szCs w:val="20"/>
              </w:rPr>
              <w:t>%</w:t>
            </w:r>
          </w:p>
        </w:tc>
        <w:tc>
          <w:tcPr>
            <w:tcW w:w="1446" w:type="dxa"/>
            <w:tcBorders>
              <w:top w:val="nil"/>
              <w:left w:val="nil"/>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7"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2"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7"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4317.15</w:t>
            </w:r>
          </w:p>
        </w:tc>
        <w:tc>
          <w:tcPr>
            <w:tcW w:w="4302"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2922.53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7"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w:t>
            </w:r>
          </w:p>
        </w:tc>
        <w:tc>
          <w:tcPr>
            <w:tcW w:w="4302"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1394.62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7"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2"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7"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192.51</w:t>
            </w:r>
          </w:p>
        </w:tc>
        <w:tc>
          <w:tcPr>
            <w:tcW w:w="4302"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7"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7"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任务1：保障监管场所安全稳定。</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任务2：维护社会稳定，切实加强重点人员管控。</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任务3：戒毒教育宣传。</w:t>
            </w:r>
          </w:p>
        </w:tc>
        <w:tc>
          <w:tcPr>
            <w:tcW w:w="4302"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1、场所安全稳定，“零脱管、零漏管、零重大恶性犯罪”，市强制隔离戒毒所实现连续20年“六无”。</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3"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7"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80</w:t>
            </w:r>
            <w:r>
              <w:rPr>
                <w:rFonts w:hint="eastAsia" w:ascii="仿宋_GB2312" w:hAnsi="仿宋_GB2312" w:eastAsia="仿宋_GB2312" w:cs="仿宋_GB2312"/>
                <w:color w:val="000000"/>
                <w:sz w:val="20"/>
                <w:szCs w:val="20"/>
              </w:rPr>
              <w:t>分)</w:t>
            </w:r>
          </w:p>
        </w:tc>
        <w:tc>
          <w:tcPr>
            <w:tcW w:w="1034"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社区矫正对象无脱管漏管</w:t>
            </w:r>
          </w:p>
        </w:tc>
        <w:tc>
          <w:tcPr>
            <w:tcW w:w="131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脱管漏管0</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脱管漏管0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安置帮教对象无重新犯罪发生</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重新犯罪率控制在0%以下</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重新犯罪率控制在0%以下</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场所安全稳定无事故发生</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场所安全稳定无事故发生</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场所安全稳定无事故发生</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全年安全稳定</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全年安全稳定</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全年安全稳定</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各项支出不超过年初预算</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控制在预算之内</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市本级专项经费预算不足</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20</w:t>
            </w:r>
            <w:r>
              <w:rPr>
                <w:rFonts w:hint="eastAsia" w:ascii="仿宋_GB2312" w:hAnsi="仿宋_GB2312" w:eastAsia="仿宋_GB2312" w:cs="仿宋_GB2312"/>
                <w:color w:val="000000"/>
                <w:sz w:val="20"/>
                <w:szCs w:val="20"/>
              </w:rPr>
              <w:t>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可持续发展情况</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受援人、咨询人满意程度</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eastAsia="仿宋"/>
                <w:sz w:val="24"/>
              </w:rPr>
              <w:t>≥95%</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eastAsia="仿宋"/>
                <w:sz w:val="24"/>
              </w:rPr>
              <w:t>≥95%</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bl>
    <w:p>
      <w:pPr>
        <w:widowControl/>
        <w:spacing w:line="600" w:lineRule="exact"/>
        <w:jc w:val="left"/>
        <w:rPr>
          <w:rFonts w:ascii="Times New Roman" w:hAnsi="Times New Roman" w:eastAsia="黑体"/>
          <w:sz w:val="32"/>
          <w:szCs w:val="32"/>
        </w:rPr>
      </w:pPr>
      <w:r>
        <w:rPr>
          <w:rFonts w:ascii="Times New Roman" w:hAnsi="Times New Roman" w:eastAsia="仿宋_GB2312"/>
          <w:sz w:val="22"/>
          <w:szCs w:val="22"/>
        </w:rPr>
        <w:t xml:space="preserve">填表人：      填报日期：         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单位负责人签字： </w:t>
      </w:r>
      <w:r>
        <w:rPr>
          <w:rFonts w:ascii="Times New Roman" w:hAnsi="Times New Roman" w:eastAsia="仿宋_GB2312"/>
          <w:sz w:val="22"/>
          <w:szCs w:val="22"/>
        </w:rPr>
        <w:br w:type="page"/>
      </w: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5"/>
        <w:tblW w:w="9851" w:type="dxa"/>
        <w:jc w:val="center"/>
        <w:tblLayout w:type="autofit"/>
        <w:tblCellMar>
          <w:top w:w="0" w:type="dxa"/>
          <w:left w:w="108" w:type="dxa"/>
          <w:bottom w:w="0" w:type="dxa"/>
          <w:right w:w="108" w:type="dxa"/>
        </w:tblCellMar>
      </w:tblPr>
      <w:tblGrid>
        <w:gridCol w:w="1027"/>
        <w:gridCol w:w="1044"/>
        <w:gridCol w:w="1013"/>
        <w:gridCol w:w="1155"/>
        <w:gridCol w:w="1336"/>
        <w:gridCol w:w="1336"/>
        <w:gridCol w:w="792"/>
        <w:gridCol w:w="844"/>
        <w:gridCol w:w="1304"/>
      </w:tblGrid>
      <w:tr>
        <w:tblPrEx>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824"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强制隔离戒毒</w:t>
            </w:r>
            <w:r>
              <w:rPr>
                <w:rFonts w:hint="eastAsia" w:ascii="仿宋_GB2312" w:hAnsi="仿宋_GB2312" w:eastAsia="仿宋_GB2312" w:cs="仿宋_GB2312"/>
                <w:color w:val="000000"/>
                <w:sz w:val="20"/>
                <w:szCs w:val="20"/>
              </w:rPr>
              <w:t>业务工作经费</w:t>
            </w:r>
          </w:p>
        </w:tc>
      </w:tr>
      <w:tr>
        <w:tblPrEx>
          <w:tblCellMar>
            <w:top w:w="0" w:type="dxa"/>
            <w:left w:w="108" w:type="dxa"/>
            <w:bottom w:w="0" w:type="dxa"/>
            <w:right w:w="108" w:type="dxa"/>
          </w:tblCellMar>
        </w:tblPrEx>
        <w:trPr>
          <w:jc w:val="center"/>
        </w:trPr>
        <w:tc>
          <w:tcPr>
            <w:tcW w:w="1027"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48"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岳阳市司法局</w:t>
            </w:r>
          </w:p>
        </w:tc>
        <w:tc>
          <w:tcPr>
            <w:tcW w:w="1336"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940"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岳阳市</w:t>
            </w:r>
            <w:r>
              <w:rPr>
                <w:rFonts w:hint="eastAsia" w:ascii="仿宋_GB2312" w:hAnsi="仿宋_GB2312" w:eastAsia="仿宋_GB2312" w:cs="仿宋_GB2312"/>
                <w:color w:val="000000"/>
                <w:sz w:val="20"/>
                <w:szCs w:val="20"/>
                <w:lang w:eastAsia="zh-CN"/>
              </w:rPr>
              <w:t>强制隔离戒毒所</w:t>
            </w:r>
          </w:p>
        </w:tc>
      </w:tr>
      <w:tr>
        <w:tblPrEx>
          <w:tblCellMar>
            <w:top w:w="0" w:type="dxa"/>
            <w:left w:w="108" w:type="dxa"/>
            <w:bottom w:w="0" w:type="dxa"/>
            <w:right w:w="108" w:type="dxa"/>
          </w:tblCellMar>
        </w:tblPrEx>
        <w:trPr>
          <w:jc w:val="center"/>
        </w:trPr>
        <w:tc>
          <w:tcPr>
            <w:tcW w:w="1027"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57"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55"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36"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92"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4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0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57"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55" w:type="dxa"/>
            <w:tcBorders>
              <w:top w:val="nil"/>
              <w:left w:val="nil"/>
              <w:bottom w:val="single" w:color="auto" w:sz="4" w:space="0"/>
              <w:right w:val="single" w:color="auto" w:sz="4" w:space="0"/>
            </w:tcBorders>
            <w:vAlign w:val="center"/>
          </w:tcPr>
          <w:p>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394.62</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1394.62</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1394.62</w:t>
            </w:r>
          </w:p>
        </w:tc>
        <w:tc>
          <w:tcPr>
            <w:tcW w:w="79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4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30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57"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55"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394.62</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1394.62</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1394.62</w:t>
            </w:r>
          </w:p>
        </w:tc>
        <w:tc>
          <w:tcPr>
            <w:tcW w:w="79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4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30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57"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55"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0</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0</w:t>
            </w:r>
          </w:p>
        </w:tc>
        <w:tc>
          <w:tcPr>
            <w:tcW w:w="79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84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30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57"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55"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0</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0</w:t>
            </w:r>
          </w:p>
        </w:tc>
        <w:tc>
          <w:tcPr>
            <w:tcW w:w="79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84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30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27"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4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7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48"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任务1：保障监管场所安全稳定。</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任务2：维护社会稳定，切实加强重点人员管控。</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任务3：戒毒教育宣传。</w:t>
            </w:r>
          </w:p>
        </w:tc>
        <w:tc>
          <w:tcPr>
            <w:tcW w:w="4276"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1、场所安全稳定，“零脱管、零漏管、零重大恶性犯罪”，市强制隔离戒毒所实现连续20年“六无”。</w:t>
            </w:r>
          </w:p>
        </w:tc>
      </w:tr>
      <w:tr>
        <w:tblPrEx>
          <w:tblCellMar>
            <w:top w:w="0" w:type="dxa"/>
            <w:left w:w="108" w:type="dxa"/>
            <w:bottom w:w="0" w:type="dxa"/>
            <w:right w:w="108" w:type="dxa"/>
          </w:tblCellMar>
        </w:tblPrEx>
        <w:trPr>
          <w:jc w:val="center"/>
        </w:trPr>
        <w:tc>
          <w:tcPr>
            <w:tcW w:w="1027"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4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1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55"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33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9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4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04"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80</w:t>
            </w:r>
            <w:r>
              <w:rPr>
                <w:rFonts w:hint="eastAsia" w:ascii="仿宋_GB2312" w:hAnsi="仿宋_GB2312" w:eastAsia="仿宋_GB2312" w:cs="仿宋_GB2312"/>
                <w:color w:val="000000"/>
                <w:sz w:val="20"/>
                <w:szCs w:val="20"/>
              </w:rPr>
              <w:t>分)</w:t>
            </w:r>
          </w:p>
        </w:tc>
        <w:tc>
          <w:tcPr>
            <w:tcW w:w="1013"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55"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社区矫正对象无脱管漏管</w:t>
            </w:r>
          </w:p>
        </w:tc>
        <w:tc>
          <w:tcPr>
            <w:tcW w:w="133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脱管漏管0</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脱管漏管0</w:t>
            </w:r>
          </w:p>
        </w:tc>
        <w:tc>
          <w:tcPr>
            <w:tcW w:w="792"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4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30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13" w:type="dxa"/>
            <w:vMerge w:val="continue"/>
            <w:tcBorders>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安置帮教对象无重新犯罪发生</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重新犯罪率控制在0%以下</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重新犯罪率控制在0%以下</w:t>
            </w:r>
          </w:p>
        </w:tc>
        <w:tc>
          <w:tcPr>
            <w:tcW w:w="7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w:t>
            </w:r>
          </w:p>
        </w:tc>
        <w:tc>
          <w:tcPr>
            <w:tcW w:w="84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73" w:hRule="atLeast"/>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场所安全稳定无事故发生</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8"/>
                <w:szCs w:val="18"/>
              </w:rPr>
              <w:t>场所安全稳定无事故发生</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场所安全稳定无事故发生</w:t>
            </w:r>
          </w:p>
        </w:tc>
        <w:tc>
          <w:tcPr>
            <w:tcW w:w="7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0" w:hRule="atLeast"/>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20"/>
                <w:szCs w:val="20"/>
                <w:lang w:eastAsia="zh-CN"/>
              </w:rPr>
              <w:t>全年安全稳定</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lang w:eastAsia="zh-CN"/>
              </w:rPr>
              <w:t>全年安全稳定</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全年安全稳定</w:t>
            </w:r>
          </w:p>
        </w:tc>
        <w:tc>
          <w:tcPr>
            <w:tcW w:w="7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60" w:hRule="atLeast"/>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各项支出不超过年初预算</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8"/>
                <w:szCs w:val="18"/>
              </w:rPr>
              <w:t>控制在预算之内</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控制在预算之内</w:t>
            </w:r>
          </w:p>
        </w:tc>
        <w:tc>
          <w:tcPr>
            <w:tcW w:w="7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市本级专项经费预算不足</w:t>
            </w:r>
          </w:p>
        </w:tc>
      </w:tr>
      <w:tr>
        <w:tblPrEx>
          <w:tblCellMar>
            <w:top w:w="0" w:type="dxa"/>
            <w:left w:w="108" w:type="dxa"/>
            <w:bottom w:w="0" w:type="dxa"/>
            <w:right w:w="108" w:type="dxa"/>
          </w:tblCellMar>
        </w:tblPrEx>
        <w:trPr>
          <w:trHeight w:val="530" w:hRule="atLeast"/>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20</w:t>
            </w:r>
            <w:r>
              <w:rPr>
                <w:rFonts w:hint="eastAsia" w:ascii="仿宋_GB2312" w:hAnsi="仿宋_GB2312" w:eastAsia="仿宋_GB2312" w:cs="仿宋_GB2312"/>
                <w:color w:val="000000"/>
                <w:sz w:val="20"/>
                <w:szCs w:val="20"/>
              </w:rPr>
              <w:t>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可持续发展情况</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tc>
        <w:tc>
          <w:tcPr>
            <w:tcW w:w="7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8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0" w:hRule="atLeast"/>
          <w:jc w:val="center"/>
        </w:trPr>
        <w:tc>
          <w:tcPr>
            <w:tcW w:w="1027"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44"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受援人、咨询人满意程度</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eastAsia="仿宋"/>
                <w:sz w:val="24"/>
              </w:rPr>
              <w:t>≥95%</w:t>
            </w:r>
          </w:p>
        </w:tc>
        <w:tc>
          <w:tcPr>
            <w:tcW w:w="13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eastAsia="仿宋"/>
                <w:sz w:val="24"/>
              </w:rPr>
              <w:t>≥95%</w:t>
            </w:r>
          </w:p>
        </w:tc>
        <w:tc>
          <w:tcPr>
            <w:tcW w:w="7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6911"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9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8</w:t>
            </w:r>
          </w:p>
        </w:tc>
        <w:tc>
          <w:tcPr>
            <w:tcW w:w="130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r>
        <w:t xml:space="preserve"> </w:t>
      </w:r>
    </w:p>
    <w:p/>
    <w:sectPr>
      <w:footerReference r:id="rId3" w:type="default"/>
      <w:pgSz w:w="11906" w:h="16838"/>
      <w:pgMar w:top="1587" w:right="1587" w:bottom="1587" w:left="1587" w:header="851" w:footer="992" w:gutter="0"/>
      <w:cols w:space="720" w:num="1"/>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UgBuQBAADP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hvaBM6csHThl+/fLj9+XX5+Zcty&#10;9Twp1IdYUeFdoFIcXvkhVU/xSMFEfGjBpj9RYpQnfc9XfdWATKZD69V6XVJKUm52CKe4Px4g4hvl&#10;LUtGzYEuMOsqTu8ijqVzSerm/K02huKiMu6vAGGOEZW3YDqdmIwTJwuH/TDR2PvmTOzoXVDXzsMX&#10;znraipo7egScmbeORE8LNBswG/vZEE7SwZojZ6P5GsdFOwbQhy6vXhoxhpdHpLkznTTG2JtkSA7d&#10;cxZk2sm0SH/6uer+H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3pSAG5AEAAM8DAAAO&#10;AAAAAAAAAAEAIAAAAB4BAABkcnMvZTJvRG9jLnhtbFBLBQYAAAAABgAGAFkBAAB0BQAAAAA=&#10;">
              <v:fill on="f" focussize="0,0"/>
              <v:stroke on="f"/>
              <v:imagedata o:title=""/>
              <o:lock v:ext="edit" aspectratio="f"/>
              <v:textbox inset="0mm,0mm,0mm,0mm" style="mso-fit-shape-to-text:t;">
                <w:txbxContent>
                  <w:p>
                    <w:pPr>
                      <w:pStyle w:val="2"/>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9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WMwMTg5NDhjNzcyYWQ3NjM4NmU5YmE2ZjI5YWQifQ=="/>
  </w:docVars>
  <w:rsids>
    <w:rsidRoot w:val="CCFF8E41"/>
    <w:rsid w:val="00003C13"/>
    <w:rsid w:val="0001692A"/>
    <w:rsid w:val="00046F20"/>
    <w:rsid w:val="00126DCE"/>
    <w:rsid w:val="00134F66"/>
    <w:rsid w:val="001E6B09"/>
    <w:rsid w:val="00233F16"/>
    <w:rsid w:val="00253B3C"/>
    <w:rsid w:val="002A43D9"/>
    <w:rsid w:val="003416D3"/>
    <w:rsid w:val="00342E0C"/>
    <w:rsid w:val="00395F7B"/>
    <w:rsid w:val="004D181D"/>
    <w:rsid w:val="0054091B"/>
    <w:rsid w:val="00674D83"/>
    <w:rsid w:val="007B3BD3"/>
    <w:rsid w:val="00806AAF"/>
    <w:rsid w:val="00812F02"/>
    <w:rsid w:val="008C094B"/>
    <w:rsid w:val="00904D61"/>
    <w:rsid w:val="009E2E18"/>
    <w:rsid w:val="00A16CFB"/>
    <w:rsid w:val="00CB72EC"/>
    <w:rsid w:val="00D06385"/>
    <w:rsid w:val="00D4658A"/>
    <w:rsid w:val="00DA11EA"/>
    <w:rsid w:val="00ED72C7"/>
    <w:rsid w:val="00F141D8"/>
    <w:rsid w:val="00F64655"/>
    <w:rsid w:val="00F927F7"/>
    <w:rsid w:val="00FC717F"/>
    <w:rsid w:val="02D13AA8"/>
    <w:rsid w:val="06494230"/>
    <w:rsid w:val="0C0F0642"/>
    <w:rsid w:val="0C233266"/>
    <w:rsid w:val="15732C83"/>
    <w:rsid w:val="17F7788B"/>
    <w:rsid w:val="1A893CD4"/>
    <w:rsid w:val="21316710"/>
    <w:rsid w:val="21EB477C"/>
    <w:rsid w:val="240B09EE"/>
    <w:rsid w:val="27744E56"/>
    <w:rsid w:val="27AB5521"/>
    <w:rsid w:val="2A6227AB"/>
    <w:rsid w:val="2B1144D8"/>
    <w:rsid w:val="2C4B14B4"/>
    <w:rsid w:val="2EB80FBF"/>
    <w:rsid w:val="36502E7E"/>
    <w:rsid w:val="37FC7C58"/>
    <w:rsid w:val="3ABF0799"/>
    <w:rsid w:val="3F5F4FF7"/>
    <w:rsid w:val="451E5EEA"/>
    <w:rsid w:val="45C4420E"/>
    <w:rsid w:val="4B1936C2"/>
    <w:rsid w:val="4B50650D"/>
    <w:rsid w:val="4F916E36"/>
    <w:rsid w:val="59590A7F"/>
    <w:rsid w:val="5AF0176D"/>
    <w:rsid w:val="5FDF9D25"/>
    <w:rsid w:val="6AF827CC"/>
    <w:rsid w:val="6F7540DD"/>
    <w:rsid w:val="725F3101"/>
    <w:rsid w:val="78AE7934"/>
    <w:rsid w:val="7DDF84BA"/>
    <w:rsid w:val="7EA429DF"/>
    <w:rsid w:val="7F726DF2"/>
    <w:rsid w:val="7F9B7D6E"/>
    <w:rsid w:val="7FF65C39"/>
    <w:rsid w:val="B57639E9"/>
    <w:rsid w:val="B7DFD28A"/>
    <w:rsid w:val="CCFF8E41"/>
    <w:rsid w:val="F7FB0F6A"/>
    <w:rsid w:val="FB0FB09A"/>
    <w:rsid w:val="FB7F7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sz w:val="24"/>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页脚 Char"/>
    <w:basedOn w:val="6"/>
    <w:link w:val="2"/>
    <w:qFormat/>
    <w:uiPriority w:val="99"/>
    <w:rPr>
      <w:rFonts w:ascii="仿宋" w:hAnsi="仿宋"/>
      <w:sz w:val="18"/>
      <w:szCs w:val="24"/>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9E14C-8BF5-4B21-8AA7-005CE9219C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930</Words>
  <Characters>5306</Characters>
  <Lines>44</Lines>
  <Paragraphs>12</Paragraphs>
  <TotalTime>3</TotalTime>
  <ScaleCrop>false</ScaleCrop>
  <LinksUpToDate>false</LinksUpToDate>
  <CharactersWithSpaces>6224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2023-05-13T09:09:00Z</dcterms:created>
  <dc:creator>yyadmin</dc:creator>
  <cp:lastModifiedBy>？</cp:lastModifiedBy>
  <cp:lastPrinted>2023-05-15T07:58:00Z</cp:lastPrinted>
  <dcterms:modified xsi:type="dcterms:W3CDTF">2023-10-27T02:38:04Z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62469496D6574042A416E1B5EB6F4ADA_13</vt:lpwstr>
  </property>
</Properties>
</file>