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rPr>
          <w:rFonts w:hint="default"/>
          <w:sz w:val="2"/>
          <w:szCs w:val="24"/>
        </w:rPr>
      </w:pPr>
    </w:p>
    <w:tbl>
      <w:tblPr>
        <w:tblStyle w:val="5"/>
        <w:tblW w:w="15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b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岳阳市中医医院2025年度</w:t>
            </w:r>
          </w:p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单位预算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525" w:lineRule="exact"/>
              <w:ind w:left="20"/>
              <w:jc w:val="center"/>
              <w:rPr>
                <w:rFonts w:hint="eastAsia" w:ascii="Dialog" w:hAnsi="Dialog"/>
                <w:sz w:val="44"/>
                <w:szCs w:val="24"/>
              </w:rPr>
            </w:pPr>
            <w:r>
              <w:rPr>
                <w:rFonts w:hint="eastAsia" w:ascii="Dialog" w:hAnsi="Dialog"/>
                <w:sz w:val="44"/>
                <w:szCs w:val="24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2025年单位预算说明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2025年单位预算公开表格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color w:val="FF0000"/>
                <w:sz w:val="32"/>
                <w:szCs w:val="24"/>
              </w:rPr>
            </w:pPr>
            <w:r>
              <w:rPr>
                <w:rFonts w:hint="eastAsia" w:ascii="Dialog" w:hAnsi="Dialog"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2025年单位预算说明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岳阳市中医医院始建于1958年，是岳阳市唯一一家大型综合性三甲中医院、湖南省中医康复医院、湖南中医药大学附属岳阳医院。国家中医药传承创新重点中医医院。医院秉持“和勤精实”的院训、“以人为本，关爱健康、中西并重、阳光医疗”的院风、“兼容中西医精华，创造健康快乐”的宗旨、“尊重、合作、分享、创新”的团队精神的文化理念，以规范的管理、舒适的环境、一流的设备、精湛的技术，正向着省级区域中医诊疗中心、人民群众满意医院的目标奋力前行。职能职责为医疗服务、科研、教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医院设有32个临床科室和9个医技科室。建有国家住院及全科医师培训基地、博士后科研工作站、石学敏院士工作站、熊继柏国医大师工作站、励建安院士工作站。张氏正骨术为国家十三大中医骨伤流派之一，建有岳阳市炎性肠病、脾胃病重点实验室，国家级重点专科：肿瘤科、糖尿病科、针灸推拿科、治未病中心；省级重点专科：骨伤科、儿科、耳鼻喉科、肛肠科、康复科、脾胃病科；湖南省临床治疗技术示范基地：康复科、脾胃病科；十大诊疗中心：国家（华中地区）中医推拿诊疗中心、张氏正骨流派诊疗中心、康复诊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疗中心、肿瘤诊疗中心、糖尿病诊疗中心、肛肠诊疗中心、妇儿诊疗中心、卒中中心、创伤中心、胸痛中心。医院现有干部职工13</w:t>
            </w:r>
            <w:r>
              <w:rPr>
                <w:rFonts w:hint="eastAsia" w:ascii="宋体" w:hAnsi="宋体"/>
                <w:sz w:val="32"/>
                <w:szCs w:val="24"/>
                <w:highlight w:val="none"/>
                <w:lang w:val="en-US" w:eastAsia="zh-CN"/>
              </w:rPr>
              <w:t>33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人，其中高级职称</w:t>
            </w:r>
            <w:r>
              <w:rPr>
                <w:rFonts w:hint="eastAsia" w:ascii="宋体" w:hAnsi="宋体"/>
                <w:sz w:val="32"/>
                <w:szCs w:val="24"/>
                <w:highlight w:val="none"/>
                <w:lang w:val="en-US" w:eastAsia="zh-CN"/>
              </w:rPr>
              <w:t>311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人，博士、硕士研究生</w:t>
            </w:r>
            <w:r>
              <w:rPr>
                <w:rFonts w:hint="eastAsia" w:ascii="宋体" w:hAnsi="宋体"/>
                <w:sz w:val="32"/>
                <w:szCs w:val="24"/>
                <w:highlight w:val="none"/>
                <w:lang w:val="en-US" w:eastAsia="zh-CN"/>
              </w:rPr>
              <w:t>160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人，硕士生导师26人，全国优秀中医临床人才2人，省级名中医3人、市政府特殊津贴专家4人、岳阳市十大名医2人、岳阳名医和名中医15人，巴陵青年英才2人。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构建了一支专业、职称、年龄结构合理的人才队伍。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二、单位预算单位构成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本单位预算仅含本级预算。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三、单位收支总体情况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2025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包括一般公共预算、政府性基金、国有资本经营预算等财政拨款收入，以及经营收入、事业收入等单位资金。2025年度本单位收入预算351.72万元，其中，一般公共预算拨款351.72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2025年收入较去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108.82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万元，主要是因为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今年新增停车收入。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2025年本单位支出预算351.72万元，其中，210卫生健康支出351.72万元，支出较去年增加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108.82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万元，主要是因为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今年新增停车场支出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四、一般公共预算拨款支出预算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2025年一般公共预算拨款支出预算351.72万元，其中，210卫生健康支出351.72万元，占100%；具体安排情况如下：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一）基本支出：2025年基本支出年初预算数为0.00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二）项目支出：2025年项目支出年初预算数为351.72万元（数据来源见表20），是指单位为完成特定行政工作任务或事业发展目标而发生的支出，包括有关业务工作经费、运行维护经费、其他事业发展资金等。其中：2025定额补助专项支出96.30万元，主要用于人员经费方面,非税执收经费专项支出231.12万元，主要用于培养医学实习生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和停车收费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方面,日常工作经费专项支出24.30万元，主要用于宣传中医药特色专科方面。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五、政府性基金预算支出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2025年度本单位无政府性基金安排的支出，所以公开的附件15-17（政府性基金预算）为空。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六、其他重要事项的情况说明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本单位2025无机关运行经费安排的支出，所以公开的附件表12为空。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2025年“三公”经费预算数0.00万元（数据来源见表14），其中，公务接待费0.00万元，因公出国（境）费0.00万元，公务用车购置及运行费0.00万元（其中，公务用车购置费0.00万元，公务用车运行费0.00万元）。2025年三公经费预算较上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万元，主要原因是是我院没有财政拨款“三公”经费预算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2025年度本单位未计划安排会议、培训，未计划举办节庆、晚会、论坛、赛事活动。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本单位2025年政府采购预算总额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19025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万元，其中工程类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8350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万元，货物类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4431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万元，服务类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6244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截至上年底，本单位共有车辆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辆，其中领导干部用车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辆。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单位价值50万元以上通用设备</w:t>
            </w:r>
            <w:r>
              <w:rPr>
                <w:rFonts w:hint="eastAsia" w:ascii="宋体" w:hAnsi="宋体"/>
                <w:sz w:val="32"/>
                <w:szCs w:val="24"/>
                <w:highlight w:val="none"/>
                <w:lang w:val="en-US" w:eastAsia="zh-CN"/>
              </w:rPr>
              <w:t>54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highlight w:val="none"/>
                <w:lang w:val="en-US" w:eastAsia="zh-CN"/>
              </w:rPr>
              <w:t>49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 xml:space="preserve">台。 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 xml:space="preserve">  2025年拟报废处置单位价值50万元以上通用设备</w:t>
            </w:r>
            <w:r>
              <w:rPr>
                <w:rFonts w:hint="eastAsia" w:ascii="宋体" w:hAnsi="宋体"/>
                <w:sz w:val="32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台，报废处置单位价值100万元以上通用设备</w:t>
            </w:r>
            <w:r>
              <w:rPr>
                <w:rFonts w:hint="eastAsia" w:ascii="宋体" w:hAnsi="宋体"/>
                <w:sz w:val="32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台。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 xml:space="preserve">  2025年拟新增配备单位价值50万元以上通用设备</w:t>
            </w:r>
            <w:r>
              <w:rPr>
                <w:rFonts w:hint="eastAsia" w:ascii="宋体" w:hAnsi="宋体"/>
                <w:sz w:val="32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highlight w:val="none"/>
                <w:lang w:val="en-US" w:eastAsia="zh-CN"/>
              </w:rPr>
              <w:t>12</w:t>
            </w:r>
            <w:r>
              <w:rPr>
                <w:rFonts w:hint="eastAsia" w:ascii="宋体" w:hAnsi="宋体" w:eastAsia="宋体"/>
                <w:sz w:val="32"/>
                <w:szCs w:val="24"/>
                <w:highlight w:val="none"/>
              </w:rPr>
              <w:t>台。</w:t>
            </w:r>
          </w:p>
          <w:p>
            <w:pPr>
              <w:spacing w:beforeLines="0" w:afterLines="0" w:line="375" w:lineRule="exact"/>
              <w:ind w:left="20" w:firstLine="320" w:firstLineChars="10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2025年度本单位未计划处置或新增车辆。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  本单位所有支出实行绩效目标管理。纳入2025年单位整体支出绩效目标的金额为351.72万元，其中，基本支出0.00万元，项目支出351.72万元，详见文尾附表中单位预算公开表格的表21-22。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2025年单位预算公开表格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color w:val="FF0000"/>
                <w:sz w:val="32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</w:tbl>
    <w:p/>
    <w:sectPr>
      <w:pgSz w:w="18708" w:h="15840"/>
      <w:pgMar w:top="388" w:right="1080" w:bottom="388" w:left="10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C3C4407"/>
    <w:rsid w:val="5FCE2296"/>
    <w:rsid w:val="620956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99" w:semiHidden="0" w:name="Normal"/>
    <w:lsdException w:uiPriority="99" w:semiHidden="0" w:name="heading 1"/>
    <w:lsdException w:uiPriority="99" w:semiHidden="0" w:name="heading 2"/>
    <w:lsdException w:uiPriority="99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color w:val="000000"/>
      <w:sz w:val="24"/>
      <w:szCs w:val="24"/>
    </w:rPr>
  </w:style>
  <w:style w:type="paragraph" w:styleId="2">
    <w:name w:val="heading 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  <w:szCs w:val="24"/>
    </w:rPr>
  </w:style>
  <w:style w:type="paragraph" w:styleId="3">
    <w:name w:val="heading 2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  <w:szCs w:val="24"/>
    </w:rPr>
  </w:style>
  <w:style w:type="paragraph" w:styleId="4">
    <w:name w:val="heading 3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26"/>
      <w:szCs w:val="24"/>
    </w:rPr>
  </w:style>
  <w:style w:type="character" w:default="1" w:styleId="6">
    <w:name w:val="Default Paragraph Font"/>
    <w:semiHidden/>
    <w:unhideWhenUsed/>
    <w:uiPriority w:val="99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3063</Words>
  <Characters>3363</Characters>
  <TotalTime>25</TotalTime>
  <ScaleCrop>false</ScaleCrop>
  <LinksUpToDate>false</LinksUpToDate>
  <CharactersWithSpaces>3448</CharactersWithSpaces>
  <Application>WPS Office_12.8.2.16984_F1E327BC-269C-435d-A152-05C5408002CA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2025-04-08T02:05:00Z</dcterms:created>
  <dc:creator>Administrator</dc:creator>
  <cp:lastModifiedBy>Administrator</cp:lastModifiedBy>
  <dcterms:modified xsi:type="dcterms:W3CDTF">2025-04-08T03:16:36Z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2052-12.8.2.16984</vt:lpwstr>
  </property>
  <property fmtid="{D5CDD505-2E9C-101B-9397-08002B2CF9AE}" pid="3" name="ICV">
    <vt:lpwstr>1DC1309F879145E192DDC89EF2959409</vt:lpwstr>
  </property>
</Properties>
</file>