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713F7">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 xml:space="preserve">岳阳市固体废物处置服务中心  </w:t>
      </w:r>
      <w:r>
        <w:rPr>
          <w:rFonts w:hint="eastAsia" w:ascii="方正小标宋简体" w:hAnsi="方正小标宋简体" w:eastAsia="方正小标宋简体" w:cs="方正小标宋简体"/>
          <w:sz w:val="44"/>
          <w:szCs w:val="44"/>
          <w:highlight w:val="none"/>
        </w:rPr>
        <w:t>整体支出绩效自评报告</w:t>
      </w:r>
    </w:p>
    <w:p w14:paraId="2B92E779">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7023160A">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410B5492">
      <w:pPr>
        <w:keepNext w:val="0"/>
        <w:keepLines w:val="0"/>
        <w:pageBreakBefore w:val="0"/>
        <w:widowControl/>
        <w:kinsoku/>
        <w:wordWrap/>
        <w:overflowPunct/>
        <w:topLinePunct w:val="0"/>
        <w:autoSpaceDE/>
        <w:autoSpaceDN/>
        <w:bidi w:val="0"/>
        <w:adjustRightInd/>
        <w:snapToGrid/>
        <w:spacing w:line="640" w:lineRule="exact"/>
        <w:ind w:firstLine="321" w:firstLineChars="100"/>
        <w:jc w:val="both"/>
        <w:textAlignment w:val="auto"/>
        <w:rPr>
          <w:rFonts w:hint="eastAsia" w:ascii="Times New Roman" w:hAnsi="Times New Roman" w:eastAsia="楷体_GB2312" w:cs="Times New Roman"/>
          <w:b/>
          <w:kern w:val="0"/>
          <w:sz w:val="32"/>
          <w:szCs w:val="32"/>
          <w:highlight w:val="none"/>
          <w:lang w:val="en-US" w:eastAsia="zh-CN" w:bidi="ar-SA"/>
        </w:rPr>
      </w:pPr>
      <w:r>
        <w:rPr>
          <w:rFonts w:hint="eastAsia" w:ascii="楷体_GB2312" w:hAnsi="楷体_GB2312" w:eastAsia="楷体_GB2312" w:cs="楷体_GB2312"/>
          <w:b/>
          <w:bCs/>
          <w:kern w:val="0"/>
          <w:sz w:val="32"/>
          <w:szCs w:val="32"/>
        </w:rPr>
        <w:t>（</w:t>
      </w:r>
      <w:r>
        <w:rPr>
          <w:rFonts w:hint="eastAsia" w:ascii="Times New Roman" w:hAnsi="Times New Roman" w:eastAsia="楷体_GB2312" w:cs="Times New Roman"/>
          <w:b/>
          <w:kern w:val="0"/>
          <w:sz w:val="32"/>
          <w:szCs w:val="32"/>
          <w:highlight w:val="none"/>
          <w:lang w:val="en-US" w:eastAsia="zh-CN" w:bidi="ar-SA"/>
        </w:rPr>
        <w:t>一）职能职责</w:t>
      </w:r>
    </w:p>
    <w:tbl>
      <w:tblPr>
        <w:tblStyle w:val="8"/>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4565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E1AC70E">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1、负责</w:t>
            </w:r>
            <w:r>
              <w:rPr>
                <w:rFonts w:hint="eastAsia" w:ascii="Times New Roman" w:hAnsi="Times New Roman" w:eastAsia="仿宋_GB2312" w:cs="Times New Roman"/>
                <w:color w:val="000000"/>
                <w:sz w:val="32"/>
                <w:szCs w:val="32"/>
                <w:highlight w:val="none"/>
                <w:lang w:eastAsia="zh-CN"/>
              </w:rPr>
              <w:t>岳阳市静脉产业园区（以下简称园区）的发展规划、</w:t>
            </w:r>
          </w:p>
          <w:p w14:paraId="63A34C94">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控详规划和规划环评的编制和实施的行政辅助工作；</w:t>
            </w:r>
          </w:p>
          <w:p w14:paraId="0795E3D0">
            <w:pPr>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负</w:t>
            </w:r>
            <w:r>
              <w:rPr>
                <w:rFonts w:hint="eastAsia" w:ascii="Times New Roman" w:hAnsi="Times New Roman" w:eastAsia="仿宋_GB2312" w:cs="Times New Roman"/>
                <w:color w:val="000000"/>
                <w:sz w:val="32"/>
                <w:szCs w:val="32"/>
                <w:highlight w:val="none"/>
                <w:lang w:val="en-US" w:eastAsia="zh-CN"/>
              </w:rPr>
              <w:t>责</w:t>
            </w:r>
            <w:r>
              <w:rPr>
                <w:rFonts w:hint="eastAsia" w:ascii="Times New Roman" w:hAnsi="Times New Roman" w:eastAsia="仿宋_GB2312" w:cs="Times New Roman"/>
                <w:color w:val="000000"/>
                <w:sz w:val="32"/>
                <w:szCs w:val="32"/>
                <w:highlight w:val="none"/>
                <w:lang w:eastAsia="zh-CN"/>
              </w:rPr>
              <w:t>园区内企业日常运营监管的事务性工作，协助园区</w:t>
            </w:r>
          </w:p>
          <w:p w14:paraId="0F922669">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内企业做好各类扶持政策的申报工作；</w:t>
            </w:r>
          </w:p>
          <w:p w14:paraId="1EDD4FEC">
            <w:pPr>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负</w:t>
            </w:r>
            <w:r>
              <w:rPr>
                <w:rFonts w:hint="eastAsia" w:ascii="Times New Roman" w:hAnsi="Times New Roman" w:eastAsia="仿宋_GB2312" w:cs="Times New Roman"/>
                <w:color w:val="000000"/>
                <w:sz w:val="32"/>
                <w:szCs w:val="32"/>
                <w:highlight w:val="none"/>
                <w:lang w:val="en-US" w:eastAsia="zh-CN"/>
              </w:rPr>
              <w:t>责</w:t>
            </w:r>
            <w:r>
              <w:rPr>
                <w:rFonts w:hint="eastAsia" w:ascii="Times New Roman" w:hAnsi="Times New Roman" w:eastAsia="仿宋_GB2312" w:cs="Times New Roman"/>
                <w:color w:val="000000"/>
                <w:sz w:val="32"/>
                <w:szCs w:val="32"/>
                <w:highlight w:val="none"/>
                <w:lang w:eastAsia="zh-CN"/>
              </w:rPr>
              <w:t>园区内政府投资的基础设施建设和维护工作；</w:t>
            </w:r>
          </w:p>
          <w:p w14:paraId="7B61279F">
            <w:pPr>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负</w:t>
            </w:r>
            <w:r>
              <w:rPr>
                <w:rFonts w:hint="eastAsia" w:ascii="Times New Roman" w:hAnsi="Times New Roman" w:eastAsia="仿宋_GB2312" w:cs="Times New Roman"/>
                <w:color w:val="000000"/>
                <w:sz w:val="32"/>
                <w:szCs w:val="32"/>
                <w:highlight w:val="none"/>
                <w:lang w:val="en-US" w:eastAsia="zh-CN"/>
              </w:rPr>
              <w:t>责</w:t>
            </w:r>
            <w:r>
              <w:rPr>
                <w:rFonts w:hint="eastAsia" w:ascii="Times New Roman" w:hAnsi="Times New Roman" w:eastAsia="仿宋_GB2312" w:cs="Times New Roman"/>
                <w:color w:val="000000"/>
                <w:sz w:val="32"/>
                <w:szCs w:val="32"/>
                <w:highlight w:val="none"/>
                <w:lang w:eastAsia="zh-CN"/>
              </w:rPr>
              <w:t>市中心城区餐厨垃圾收集、运输处置统筹协调、监督、</w:t>
            </w:r>
          </w:p>
          <w:p w14:paraId="18A7671E">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考核等事务性工作；</w:t>
            </w:r>
          </w:p>
          <w:p w14:paraId="1D3F219B">
            <w:pPr>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负</w:t>
            </w:r>
            <w:r>
              <w:rPr>
                <w:rFonts w:hint="eastAsia" w:ascii="Times New Roman" w:hAnsi="Times New Roman" w:eastAsia="仿宋_GB2312" w:cs="Times New Roman"/>
                <w:color w:val="000000"/>
                <w:sz w:val="32"/>
                <w:szCs w:val="32"/>
                <w:highlight w:val="none"/>
                <w:lang w:val="en-US" w:eastAsia="zh-CN"/>
              </w:rPr>
              <w:t>责</w:t>
            </w:r>
            <w:r>
              <w:rPr>
                <w:rFonts w:hint="eastAsia" w:ascii="Times New Roman" w:hAnsi="Times New Roman" w:eastAsia="仿宋_GB2312" w:cs="Times New Roman"/>
                <w:color w:val="000000"/>
                <w:sz w:val="32"/>
                <w:szCs w:val="32"/>
                <w:highlight w:val="none"/>
                <w:lang w:eastAsia="zh-CN"/>
              </w:rPr>
              <w:t>罗家坳生活垃圾填埋场的日常管理；完成市城市管理</w:t>
            </w:r>
            <w:r>
              <w:rPr>
                <w:rFonts w:hint="eastAsia" w:ascii="Times New Roman" w:hAnsi="Times New Roman" w:eastAsia="仿宋_GB2312" w:cs="Times New Roman"/>
                <w:color w:val="000000"/>
                <w:sz w:val="32"/>
                <w:szCs w:val="32"/>
                <w:highlight w:val="none"/>
                <w:lang w:val="en-US" w:eastAsia="zh-CN"/>
              </w:rPr>
              <w:t xml:space="preserve">    </w:t>
            </w:r>
          </w:p>
          <w:p w14:paraId="65CDABE8">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和综合执法局交办的其他事项。</w:t>
            </w:r>
          </w:p>
        </w:tc>
      </w:tr>
      <w:tr w14:paraId="7994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AF98B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楷体_GB2312" w:cs="Times New Roman"/>
                <w:b/>
                <w:kern w:val="0"/>
                <w:sz w:val="32"/>
                <w:szCs w:val="32"/>
                <w:highlight w:val="none"/>
                <w:lang w:val="en-US" w:eastAsia="zh-CN" w:bidi="ar-SA"/>
              </w:rPr>
              <w:t>（二）机构设置</w:t>
            </w:r>
          </w:p>
        </w:tc>
      </w:tr>
      <w:tr w14:paraId="1C7B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5C6077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我单位</w:t>
            </w:r>
            <w:r>
              <w:rPr>
                <w:rFonts w:hint="eastAsia" w:ascii="Times New Roman" w:hAnsi="Times New Roman" w:eastAsia="仿宋_GB2312" w:cs="Times New Roman"/>
                <w:color w:val="000000"/>
                <w:sz w:val="32"/>
                <w:szCs w:val="32"/>
                <w:highlight w:val="none"/>
                <w:lang w:eastAsia="zh-CN"/>
              </w:rPr>
              <w:t>为市城市管理和综合执法局</w:t>
            </w:r>
            <w:r>
              <w:rPr>
                <w:rFonts w:hint="eastAsia" w:ascii="Times New Roman" w:hAnsi="Times New Roman" w:eastAsia="仿宋_GB2312" w:cs="Times New Roman"/>
                <w:color w:val="000000"/>
                <w:sz w:val="32"/>
                <w:szCs w:val="32"/>
                <w:highlight w:val="none"/>
                <w:lang w:val="en-US" w:eastAsia="zh-CN"/>
              </w:rPr>
              <w:t>直属</w:t>
            </w:r>
            <w:r>
              <w:rPr>
                <w:rFonts w:hint="eastAsia" w:ascii="Times New Roman" w:hAnsi="Times New Roman" w:eastAsia="仿宋_GB2312" w:cs="Times New Roman"/>
                <w:color w:val="000000"/>
                <w:sz w:val="32"/>
                <w:szCs w:val="32"/>
                <w:highlight w:val="none"/>
                <w:lang w:eastAsia="zh-CN"/>
              </w:rPr>
              <w:t>公益一类事业单位，</w:t>
            </w:r>
          </w:p>
          <w:p w14:paraId="29788774">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eastAsia="zh-CN"/>
              </w:rPr>
              <w:t>机构规格为正科级，</w:t>
            </w:r>
            <w:r>
              <w:rPr>
                <w:rFonts w:hint="eastAsia" w:eastAsia="仿宋_GB2312" w:cs="仿宋_GB2312"/>
                <w:kern w:val="0"/>
                <w:sz w:val="32"/>
                <w:szCs w:val="32"/>
                <w:lang w:val="en-US" w:eastAsia="zh-CN"/>
              </w:rPr>
              <w:t>编制人数21人，实有人数17人</w:t>
            </w:r>
            <w:r>
              <w:rPr>
                <w:rFonts w:hint="eastAsia" w:ascii="Times New Roman" w:hAnsi="Times New Roman" w:eastAsia="仿宋_GB2312" w:cs="Times New Roman"/>
                <w:color w:val="000000"/>
                <w:sz w:val="32"/>
                <w:szCs w:val="32"/>
                <w:highlight w:val="none"/>
                <w:lang w:eastAsia="zh-CN"/>
              </w:rPr>
              <w:t>。中心设</w:t>
            </w:r>
            <w:r>
              <w:rPr>
                <w:rFonts w:hint="eastAsia" w:ascii="Times New Roman" w:hAnsi="Times New Roman" w:eastAsia="仿宋_GB2312" w:cs="Times New Roman"/>
                <w:color w:val="000000"/>
                <w:sz w:val="32"/>
                <w:szCs w:val="32"/>
                <w:highlight w:val="none"/>
                <w:lang w:val="en-US" w:eastAsia="zh-CN"/>
              </w:rPr>
              <w:t>有3</w:t>
            </w:r>
          </w:p>
          <w:p w14:paraId="44088B3E">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个内设机构：综合部、园区服务部、固体废物服务部。  </w:t>
            </w:r>
          </w:p>
        </w:tc>
      </w:tr>
    </w:tbl>
    <w:p w14:paraId="37CCE2A9">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p>
    <w:p w14:paraId="31BF430A">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p>
    <w:p w14:paraId="5E23CED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4E3DBFFE">
      <w:pPr>
        <w:pStyle w:val="10"/>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color w:val="FF0000"/>
          <w:sz w:val="32"/>
          <w:szCs w:val="32"/>
          <w:lang w:eastAsia="zh-CN"/>
        </w:rPr>
      </w:pPr>
      <w:r>
        <w:rPr>
          <w:rFonts w:hint="default" w:ascii="Times New Roman" w:hAnsi="Times New Roman" w:eastAsia="楷体_GB2312" w:cs="Times New Roman"/>
          <w:b/>
          <w:sz w:val="32"/>
          <w:szCs w:val="32"/>
        </w:rPr>
        <w:t>（一）基本支出情况</w:t>
      </w:r>
    </w:p>
    <w:p w14:paraId="044CF8F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cs="仿宋_GB2312"/>
          <w:kern w:val="0"/>
          <w:sz w:val="32"/>
          <w:szCs w:val="32"/>
          <w:highlight w:val="none"/>
          <w:lang w:val="en-US" w:eastAsia="zh-CN"/>
        </w:rPr>
      </w:pPr>
      <w:r>
        <w:rPr>
          <w:rFonts w:hint="eastAsia" w:eastAsia="仿宋_GB2312" w:cs="仿宋_GB2312"/>
          <w:kern w:val="0"/>
          <w:sz w:val="32"/>
          <w:szCs w:val="32"/>
          <w:lang w:val="en-US" w:eastAsia="zh-CN"/>
        </w:rPr>
        <w:t>2024年度基本支出259.89万元，其中人员支出238.96万元，</w:t>
      </w:r>
      <w:r>
        <w:rPr>
          <w:rFonts w:hint="eastAsia" w:eastAsia="仿宋_GB2312" w:cs="仿宋_GB2312"/>
          <w:kern w:val="0"/>
          <w:sz w:val="32"/>
          <w:szCs w:val="32"/>
          <w:highlight w:val="none"/>
          <w:lang w:val="en-US" w:eastAsia="zh-CN"/>
        </w:rPr>
        <w:t>主要用于在职人员基本工资、津贴补贴等人员经费支出；公用经费支出20.93万元，主要用于办公费、邮电费、物业管理费、水电费、差旅费等保障单位机构正常运转、完成日常工作任务而发生的各项支出。</w:t>
      </w:r>
    </w:p>
    <w:p w14:paraId="5065C0E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cs="仿宋_GB2312"/>
          <w:kern w:val="0"/>
          <w:sz w:val="32"/>
          <w:szCs w:val="32"/>
          <w:highlight w:val="none"/>
        </w:rPr>
      </w:pPr>
      <w:r>
        <w:rPr>
          <w:rFonts w:hint="eastAsia" w:eastAsia="仿宋_GB2312" w:cs="仿宋_GB2312"/>
          <w:kern w:val="0"/>
          <w:sz w:val="32"/>
          <w:szCs w:val="32"/>
          <w:lang w:val="en-US" w:eastAsia="zh-CN"/>
        </w:rPr>
        <w:t>本年度公务接待费支出0万元，因公出国(境)费支出0元,</w:t>
      </w:r>
      <w:r>
        <w:rPr>
          <w:rFonts w:hint="eastAsia" w:eastAsia="仿宋_GB2312" w:cs="仿宋_GB2312"/>
          <w:kern w:val="0"/>
          <w:sz w:val="32"/>
          <w:szCs w:val="32"/>
          <w:highlight w:val="none"/>
          <w:lang w:val="en-US" w:eastAsia="zh-CN"/>
        </w:rPr>
        <w:t>公务车运</w:t>
      </w:r>
      <w:r>
        <w:rPr>
          <w:rFonts w:hint="eastAsia" w:eastAsia="仿宋_GB2312" w:cs="仿宋_GB2312"/>
          <w:kern w:val="0"/>
          <w:sz w:val="32"/>
          <w:szCs w:val="32"/>
          <w:lang w:val="en-US" w:eastAsia="zh-CN"/>
        </w:rPr>
        <w:t>行维护费支出0万元，“三公经费</w:t>
      </w:r>
      <w:r>
        <w:rPr>
          <w:rFonts w:hint="default" w:eastAsia="仿宋_GB2312" w:cs="仿宋_GB2312"/>
          <w:kern w:val="0"/>
          <w:sz w:val="32"/>
          <w:szCs w:val="32"/>
          <w:lang w:val="en-US" w:eastAsia="zh-CN"/>
        </w:rPr>
        <w:t>”</w:t>
      </w:r>
      <w:r>
        <w:rPr>
          <w:rFonts w:hint="eastAsia" w:eastAsia="仿宋_GB2312" w:cs="仿宋_GB2312"/>
          <w:kern w:val="0"/>
          <w:sz w:val="32"/>
          <w:szCs w:val="32"/>
          <w:lang w:val="en-US" w:eastAsia="zh-CN"/>
        </w:rPr>
        <w:t>支出总额为0万元</w:t>
      </w:r>
      <w:r>
        <w:rPr>
          <w:rFonts w:hint="eastAsia" w:eastAsia="仿宋_GB2312" w:cs="仿宋_GB2312"/>
          <w:kern w:val="0"/>
          <w:sz w:val="32"/>
          <w:szCs w:val="32"/>
          <w:highlight w:val="none"/>
          <w:lang w:val="en-US" w:eastAsia="zh-CN"/>
        </w:rPr>
        <w:t>，“三公经费”年初预算总金额为0万元，控制在预算金额之内。</w:t>
      </w:r>
    </w:p>
    <w:p w14:paraId="40A3D07D">
      <w:pPr>
        <w:pStyle w:val="10"/>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14:paraId="09160FE0">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1、项目资金收支情况分析</w:t>
      </w:r>
    </w:p>
    <w:p w14:paraId="17D4A0DA">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
        </w:rPr>
        <w:t>2024年年初市财政共安排专项资金</w:t>
      </w:r>
      <w:r>
        <w:rPr>
          <w:rFonts w:hint="default" w:ascii="仿宋_GB2312" w:hAnsi="仿宋_GB2312" w:eastAsia="仿宋_GB2312" w:cs="仿宋_GB2312"/>
          <w:color w:val="000000"/>
          <w:kern w:val="0"/>
          <w:sz w:val="32"/>
          <w:szCs w:val="32"/>
          <w:lang w:val="en" w:eastAsia="zh-CN" w:bidi="ar"/>
        </w:rPr>
        <w:t>41</w:t>
      </w:r>
      <w:r>
        <w:rPr>
          <w:rFonts w:hint="eastAsia" w:ascii="仿宋_GB2312" w:hAnsi="仿宋_GB2312" w:eastAsia="仿宋_GB2312" w:cs="仿宋_GB2312"/>
          <w:color w:val="000000"/>
          <w:kern w:val="0"/>
          <w:sz w:val="32"/>
          <w:szCs w:val="32"/>
          <w:lang w:val="en-US" w:eastAsia="zh-CN" w:bidi="ar"/>
        </w:rPr>
        <w:t>8万元，其中</w:t>
      </w:r>
      <w:r>
        <w:rPr>
          <w:rFonts w:hint="eastAsia" w:eastAsia="仿宋_GB2312" w:cs="仿宋_GB2312"/>
          <w:kern w:val="0"/>
          <w:sz w:val="32"/>
          <w:szCs w:val="32"/>
          <w:lang w:val="en-US" w:eastAsia="zh-CN"/>
        </w:rPr>
        <w:t>罗家坳无害化处理场渗滤液处理系统运营服务及配套设施费为代编预算</w:t>
      </w:r>
      <w:r>
        <w:rPr>
          <w:rFonts w:hint="eastAsia" w:eastAsia="仿宋_GB2312" w:cs="仿宋_GB2312"/>
          <w:color w:val="000000" w:themeColor="text1"/>
          <w:kern w:val="0"/>
          <w:sz w:val="32"/>
          <w:szCs w:val="32"/>
          <w:lang w:val="en-US" w:eastAsia="zh-CN"/>
          <w14:textFill>
            <w14:solidFill>
              <w14:schemeClr w14:val="tx1"/>
            </w14:solidFill>
          </w14:textFill>
        </w:rPr>
        <w:t>260</w:t>
      </w:r>
      <w:r>
        <w:rPr>
          <w:rFonts w:hint="eastAsia" w:eastAsia="仿宋_GB2312" w:cs="仿宋_GB2312"/>
          <w:kern w:val="0"/>
          <w:sz w:val="32"/>
          <w:szCs w:val="32"/>
          <w:lang w:val="en-US" w:eastAsia="zh-CN"/>
        </w:rPr>
        <w:t>万元、</w:t>
      </w:r>
      <w:r>
        <w:rPr>
          <w:rFonts w:hint="eastAsia" w:eastAsia="仿宋_GB2312" w:cs="仿宋_GB2312"/>
          <w:color w:val="000000" w:themeColor="text1"/>
          <w:kern w:val="0"/>
          <w:sz w:val="32"/>
          <w:szCs w:val="32"/>
          <w:lang w:val="en-US" w:eastAsia="zh-CN"/>
          <w14:textFill>
            <w14:solidFill>
              <w14:schemeClr w14:val="tx1"/>
            </w14:solidFill>
          </w14:textFill>
        </w:rPr>
        <w:t>静脉产业园区运维管理工作经费28万元、罗家坳飞灰填埋场运维管理工作经费60万元、</w:t>
      </w:r>
      <w:r>
        <w:rPr>
          <w:rFonts w:hint="eastAsia" w:eastAsia="仿宋_GB2312" w:cs="仿宋_GB2312"/>
          <w:kern w:val="0"/>
          <w:sz w:val="32"/>
          <w:szCs w:val="32"/>
          <w:u w:val="none"/>
          <w:lang w:val="en-US" w:eastAsia="zh-CN"/>
        </w:rPr>
        <w:t>罗家坳无害化处理场渗滤液处理系统设备维修70万元</w:t>
      </w:r>
      <w:r>
        <w:rPr>
          <w:rFonts w:hint="eastAsia" w:eastAsia="仿宋_GB2312" w:cs="仿宋_GB2312"/>
          <w:color w:val="000000" w:themeColor="text1"/>
          <w:kern w:val="0"/>
          <w:sz w:val="32"/>
          <w:szCs w:val="32"/>
          <w:u w:val="none"/>
          <w:lang w:val="en-US" w:eastAsia="zh-CN"/>
          <w14:textFill>
            <w14:solidFill>
              <w14:schemeClr w14:val="tx1"/>
            </w14:solidFill>
          </w14:textFill>
        </w:rPr>
        <w:t>，</w:t>
      </w:r>
      <w:r>
        <w:rPr>
          <w:rFonts w:hint="eastAsia" w:eastAsia="仿宋_GB2312" w:cs="仿宋_GB2312"/>
          <w:kern w:val="0"/>
          <w:sz w:val="32"/>
          <w:szCs w:val="32"/>
          <w:lang w:val="en-US" w:eastAsia="zh-CN"/>
        </w:rPr>
        <w:t>年中预算调整后项目预算总金额为395.28万元。</w:t>
      </w:r>
    </w:p>
    <w:p w14:paraId="2A6E65B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2、专项资金安排落实、总投入和实际使用等情况分析</w:t>
      </w:r>
    </w:p>
    <w:p w14:paraId="251F8F81">
      <w:pPr>
        <w:keepNext w:val="0"/>
        <w:keepLines w:val="0"/>
        <w:pageBreakBefore w:val="0"/>
        <w:widowControl/>
        <w:numPr>
          <w:ilvl w:val="0"/>
          <w:numId w:val="0"/>
        </w:numPr>
        <w:kinsoku/>
        <w:wordWrap/>
        <w:overflowPunct/>
        <w:topLinePunct w:val="0"/>
        <w:autoSpaceDE/>
        <w:autoSpaceDN/>
        <w:bidi w:val="0"/>
        <w:adjustRightInd/>
        <w:snapToGrid/>
        <w:spacing w:line="600" w:lineRule="exact"/>
        <w:ind w:left="319" w:leftChars="114" w:firstLine="320" w:firstLineChars="100"/>
        <w:jc w:val="left"/>
        <w:textAlignment w:val="auto"/>
        <w:rPr>
          <w:rFonts w:hint="eastAsia" w:eastAsia="仿宋_GB2312" w:cs="仿宋_GB2312"/>
          <w:color w:val="000000" w:themeColor="text1"/>
          <w:kern w:val="0"/>
          <w:sz w:val="32"/>
          <w:szCs w:val="32"/>
          <w:lang w:val="en-US" w:eastAsia="zh-CN"/>
          <w14:textFill>
            <w14:solidFill>
              <w14:schemeClr w14:val="tx1"/>
            </w14:solidFill>
          </w14:textFill>
        </w:rPr>
      </w:pPr>
      <w:r>
        <w:rPr>
          <w:rFonts w:hint="eastAsia" w:eastAsia="仿宋_GB2312" w:cs="仿宋_GB2312"/>
          <w:color w:val="000000" w:themeColor="text1"/>
          <w:kern w:val="0"/>
          <w:sz w:val="32"/>
          <w:szCs w:val="32"/>
          <w:lang w:val="en-US" w:eastAsia="zh-CN"/>
          <w14:textFill>
            <w14:solidFill>
              <w14:schemeClr w14:val="tx1"/>
            </w14:solidFill>
          </w14:textFill>
        </w:rPr>
        <w:t>2024年度项目支出381.96万元，其中本年度罗家坳无害化处理场渗滤液处理系统运营服务费及渗滤液调节池清淤支出262.28万元，静脉产业园区运维管理工作经费支出27.90万元，罗家坳飞灰填埋场运维管理工作经费支出91.78万元，</w:t>
      </w:r>
      <w:r>
        <w:rPr>
          <w:rFonts w:hint="eastAsia" w:ascii="仿宋_GB2312" w:hAnsi="仿宋_GB2312" w:eastAsia="仿宋_GB2312" w:cs="仿宋_GB2312"/>
          <w:color w:val="000000"/>
          <w:kern w:val="0"/>
          <w:sz w:val="32"/>
          <w:szCs w:val="32"/>
          <w:lang w:val="en-US" w:eastAsia="zh-CN" w:bidi="ar"/>
        </w:rPr>
        <w:t>量入为出，专款专用，杜绝挤占、截留，</w:t>
      </w:r>
      <w:r>
        <w:rPr>
          <w:rFonts w:hint="eastAsia" w:eastAsia="仿宋_GB2312" w:cs="仿宋_GB2312"/>
          <w:color w:val="000000" w:themeColor="text1"/>
          <w:kern w:val="0"/>
          <w:sz w:val="32"/>
          <w:szCs w:val="32"/>
          <w:lang w:val="en-US" w:eastAsia="zh-CN"/>
          <w14:textFill>
            <w14:solidFill>
              <w14:schemeClr w14:val="tx1"/>
            </w14:solidFill>
          </w14:textFill>
        </w:rPr>
        <w:t>严格控制支出规模，未出现超预算开支的情况。</w:t>
      </w:r>
    </w:p>
    <w:p w14:paraId="47291E10">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3、专项资金管理情况分析</w:t>
      </w:r>
    </w:p>
    <w:p w14:paraId="79CD244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楷体_GB2312" w:cs="Times New Roman"/>
          <w:b/>
          <w:sz w:val="32"/>
          <w:szCs w:val="32"/>
        </w:rPr>
      </w:pPr>
      <w:r>
        <w:rPr>
          <w:rFonts w:hint="eastAsia" w:eastAsia="仿宋_GB2312" w:cs="仿宋_GB2312"/>
          <w:kern w:val="0"/>
          <w:sz w:val="32"/>
          <w:szCs w:val="32"/>
          <w:lang w:val="en-US" w:eastAsia="zh-CN"/>
        </w:rPr>
        <w:t>我单位结合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专项</w:t>
      </w:r>
      <w:r>
        <w:rPr>
          <w:rFonts w:hint="eastAsia" w:ascii="仿宋_GB2312" w:hAnsi="仿宋_GB2312" w:eastAsia="仿宋_GB2312" w:cs="仿宋_GB2312"/>
          <w:color w:val="000000"/>
          <w:kern w:val="0"/>
          <w:sz w:val="32"/>
          <w:szCs w:val="32"/>
          <w:lang w:val="en-US" w:eastAsia="zh-CN" w:bidi="ar"/>
        </w:rPr>
        <w:t>资金实行综合预算，量入为出，专款专用，确保工作顺利开展。制定专项资金管理办法，规范专项资金使用；严格政府采购程序，做到按章办事，规范操作。</w:t>
      </w:r>
    </w:p>
    <w:p w14:paraId="158A55A6">
      <w:pPr>
        <w:pStyle w:val="10"/>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14:paraId="119BDEFD">
      <w:pPr>
        <w:pStyle w:val="10"/>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14:paraId="5D6CE19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、部门整体支出绩效情况</w:t>
      </w:r>
    </w:p>
    <w:p w14:paraId="6342DB26">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14:paraId="56BAB9EA">
      <w:pPr>
        <w:ind w:firstLine="640" w:firstLineChars="200"/>
        <w:rPr>
          <w:rFonts w:hint="eastAsia"/>
          <w:lang w:val="en-US" w:eastAsia="zh-CN"/>
        </w:rPr>
      </w:pPr>
      <w:r>
        <w:rPr>
          <w:rFonts w:hint="eastAsia" w:ascii="仿宋_GB2312" w:hAnsi="仿宋_GB2312" w:eastAsia="仿宋_GB2312" w:cs="仿宋_GB2312"/>
          <w:sz w:val="32"/>
          <w:szCs w:val="32"/>
          <w:lang w:val="en-US" w:eastAsia="zh-CN"/>
        </w:rPr>
        <w:t>2024年，我中心在市委、市政府及城管局党组的坚强领导下，坚持走生态优先、绿色发展之路，为贯彻落实“守护好一江碧水”的生态发展理念，加强园区环境安全监管，多措并举抓实全力落实我市垃圾分类末端处置环节各项工作，确保我市生活垃圾得到安全、高效处置。</w:t>
      </w:r>
    </w:p>
    <w:p w14:paraId="3CAD59A4">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bCs/>
          <w:color w:val="000000"/>
          <w:kern w:val="0"/>
          <w:sz w:val="32"/>
          <w:szCs w:val="32"/>
          <w:highlight w:val="none"/>
          <w:lang w:val="en-US" w:eastAsia="zh-CN" w:bidi="ar-SA"/>
        </w:rPr>
        <w:t>（</w:t>
      </w:r>
      <w:r>
        <w:rPr>
          <w:rFonts w:hint="eastAsia" w:eastAsia="仿宋" w:cs="仿宋"/>
          <w:b/>
          <w:bCs/>
          <w:color w:val="000000"/>
          <w:kern w:val="0"/>
          <w:sz w:val="32"/>
          <w:szCs w:val="32"/>
          <w:highlight w:val="none"/>
          <w:lang w:val="en-US" w:eastAsia="zh-CN" w:bidi="ar-SA"/>
        </w:rPr>
        <w:t>二</w:t>
      </w:r>
      <w:r>
        <w:rPr>
          <w:rFonts w:hint="eastAsia" w:ascii="仿宋" w:hAnsi="仿宋" w:eastAsia="仿宋" w:cs="仿宋"/>
          <w:b/>
          <w:bCs/>
          <w:color w:val="000000"/>
          <w:kern w:val="0"/>
          <w:sz w:val="32"/>
          <w:szCs w:val="32"/>
          <w:highlight w:val="none"/>
          <w:lang w:val="en-US" w:eastAsia="zh-CN" w:bidi="ar-SA"/>
        </w:rPr>
        <w:t>）单位预算</w:t>
      </w:r>
      <w:r>
        <w:rPr>
          <w:rFonts w:hint="eastAsia" w:eastAsia="仿宋" w:cs="仿宋"/>
          <w:b/>
          <w:bCs/>
          <w:color w:val="000000"/>
          <w:kern w:val="0"/>
          <w:sz w:val="32"/>
          <w:szCs w:val="32"/>
          <w:highlight w:val="none"/>
          <w:lang w:val="en-US" w:eastAsia="zh-CN" w:bidi="ar-SA"/>
        </w:rPr>
        <w:t>、支出及绩效</w:t>
      </w:r>
      <w:r>
        <w:rPr>
          <w:rFonts w:hint="eastAsia" w:ascii="仿宋" w:hAnsi="仿宋" w:eastAsia="仿宋" w:cs="仿宋"/>
          <w:b/>
          <w:bCs/>
          <w:color w:val="000000"/>
          <w:kern w:val="0"/>
          <w:sz w:val="32"/>
          <w:szCs w:val="32"/>
          <w:highlight w:val="none"/>
          <w:lang w:val="en-US" w:eastAsia="zh-CN" w:bidi="ar-SA"/>
        </w:rPr>
        <w:t>管理情况</w:t>
      </w:r>
    </w:p>
    <w:p w14:paraId="43ECCF6C">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kern w:val="0"/>
          <w:sz w:val="32"/>
          <w:szCs w:val="32"/>
          <w:lang w:val="en-US" w:eastAsia="zh-CN"/>
        </w:rPr>
        <w:t>1、加强资金</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，我单位从预算编制环节入手，编制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做到资金预算有目标，确保了财政资金支出效益。2024年组织开展了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工作和经费支出进行绩效自评工作，做到了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14:paraId="397361F0">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 xml:space="preserve"> 2、资金使用合规，资金支付按照《预算法》《政府会计制度》和我单位《财务管理制度》执行，无截留、挪用资金等情况。预决算信息内容均在部门网站公示，公开信息基础数据信息和会计信息资料准确、真实、完整。</w:t>
      </w:r>
    </w:p>
    <w:p w14:paraId="5BC9C578">
      <w:pPr>
        <w:pStyle w:val="3"/>
        <w:bidi w:val="0"/>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我单位采购项目严格按《岳阳市预算单位政府集中采购目录及标准指引(2022版)》（岳财发〔2022〕2号）和《湖南省财政厅关于印发&lt;湖南省政府采购电子卖场管理办法&gt;的通知》（湘财购〔2019〕27号）等相关制度程序办理，2024年度</w:t>
      </w:r>
      <w:r>
        <w:rPr>
          <w:rFonts w:hint="eastAsia" w:ascii="Times New Roman" w:hAnsi="Times New Roman" w:eastAsia="仿宋_GB2312" w:cs="Times New Roman"/>
          <w:color w:val="000000"/>
          <w:kern w:val="0"/>
          <w:sz w:val="32"/>
          <w:szCs w:val="32"/>
          <w:highlight w:val="none"/>
          <w:lang w:val="en-US" w:eastAsia="zh-CN" w:bidi="ar-SA"/>
        </w:rPr>
        <w:t>我单位政府采购目录以内及政府采购限额以上项目采购总额为354.03</w:t>
      </w:r>
      <w:r>
        <w:rPr>
          <w:rFonts w:hint="eastAsia" w:ascii="Times New Roman" w:hAnsi="Times New Roman" w:eastAsia="仿宋_GB2312" w:cs="Times New Roman"/>
          <w:color w:val="000000"/>
          <w:kern w:val="0"/>
          <w:sz w:val="32"/>
          <w:szCs w:val="32"/>
          <w:lang w:val="en-US" w:eastAsia="zh-CN" w:bidi="ar-SA"/>
        </w:rPr>
        <w:t>万元。</w:t>
      </w:r>
    </w:p>
    <w:p w14:paraId="0B96FDCF">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48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rPr>
        <w:t xml:space="preserve"> </w:t>
      </w:r>
      <w:r>
        <w:rPr>
          <w:rFonts w:hint="default" w:ascii="Times New Roman" w:hAnsi="Times New Roman" w:eastAsia="仿宋_GB2312" w:cs="Times New Roman"/>
          <w:b/>
          <w:bCs/>
          <w:color w:val="000000"/>
          <w:kern w:val="0"/>
          <w:sz w:val="32"/>
          <w:szCs w:val="32"/>
          <w:lang w:val="en-US" w:eastAsia="zh-CN" w:bidi="ar-SA"/>
        </w:rPr>
        <w:t>（</w:t>
      </w:r>
      <w:r>
        <w:rPr>
          <w:rFonts w:hint="eastAsia" w:ascii="Times New Roman" w:hAnsi="Times New Roman" w:eastAsia="仿宋_GB2312" w:cs="Times New Roman"/>
          <w:b/>
          <w:bCs/>
          <w:color w:val="000000"/>
          <w:kern w:val="0"/>
          <w:sz w:val="32"/>
          <w:szCs w:val="32"/>
          <w:lang w:val="en-US" w:eastAsia="zh-CN" w:bidi="ar-SA"/>
        </w:rPr>
        <w:t>三</w:t>
      </w:r>
      <w:r>
        <w:rPr>
          <w:rFonts w:hint="default" w:ascii="Times New Roman" w:hAnsi="Times New Roman" w:eastAsia="仿宋_GB2312" w:cs="Times New Roman"/>
          <w:b/>
          <w:bCs/>
          <w:color w:val="000000"/>
          <w:kern w:val="0"/>
          <w:sz w:val="32"/>
          <w:szCs w:val="32"/>
          <w:lang w:val="en-US" w:eastAsia="zh-CN" w:bidi="ar-SA"/>
        </w:rPr>
        <w:t>）固定资产和无形资产管理情况</w:t>
      </w:r>
    </w:p>
    <w:p w14:paraId="6151CFFE">
      <w:pPr>
        <w:pStyle w:val="6"/>
        <w:keepNext w:val="0"/>
        <w:keepLines w:val="0"/>
        <w:pageBreakBefore w:val="0"/>
        <w:wordWrap/>
        <w:overflowPunct/>
        <w:topLinePunct w:val="0"/>
        <w:bidi w:val="0"/>
        <w:spacing w:line="600" w:lineRule="exact"/>
        <w:ind w:left="0" w:leftChars="0" w:firstLine="640" w:firstLineChars="0"/>
        <w:jc w:val="left"/>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1、2024年初，固定资产和无形资产账面原值为3.24万元，本年度购置增加0.67万元，罗家坳收购资产入账1028.75万元，年末账面原值为1032.66万元。</w:t>
      </w:r>
    </w:p>
    <w:p w14:paraId="2B4628CB">
      <w:pPr>
        <w:pStyle w:val="6"/>
        <w:keepNext w:val="0"/>
        <w:keepLines w:val="0"/>
        <w:pageBreakBefore w:val="0"/>
        <w:wordWrap/>
        <w:overflowPunct/>
        <w:topLinePunct w:val="0"/>
        <w:bidi w:val="0"/>
        <w:spacing w:line="600" w:lineRule="exact"/>
        <w:ind w:left="0" w:leftChars="0" w:firstLine="640" w:firstLineChars="0"/>
        <w:jc w:val="left"/>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color w:val="000000"/>
          <w:kern w:val="0"/>
          <w:sz w:val="32"/>
          <w:szCs w:val="32"/>
          <w:lang w:val="en-US" w:eastAsia="zh-CN" w:bidi="ar-SA"/>
        </w:rPr>
        <w:t>2、2024年</w:t>
      </w:r>
      <w:r>
        <w:rPr>
          <w:rFonts w:hint="eastAsia" w:ascii="仿宋_GB2312" w:hAnsi="仿宋_GB2312" w:eastAsia="仿宋_GB2312" w:cs="仿宋_GB2312"/>
          <w:bCs/>
          <w:sz w:val="32"/>
          <w:szCs w:val="32"/>
          <w:highlight w:val="none"/>
          <w:lang w:val="en-US" w:eastAsia="zh-CN"/>
        </w:rPr>
        <w:t>开展“三资”清查和资产盘点，并根据本单位实际情况，修订了资产管理制度，加强实物管理。按照厉行节约、物尽其用的原则，资产管理采取统一建帐、统一核算管理，对每件固定资产使用明确保管职责，闲置的资产，由单位办公室统一调整，合理流动，发挥其效益。</w:t>
      </w:r>
    </w:p>
    <w:p w14:paraId="1793477A">
      <w:pPr>
        <w:pStyle w:val="6"/>
        <w:keepNext w:val="0"/>
        <w:keepLines w:val="0"/>
        <w:pageBreakBefore w:val="0"/>
        <w:wordWrap/>
        <w:overflowPunct/>
        <w:topLinePunct w:val="0"/>
        <w:bidi w:val="0"/>
        <w:spacing w:line="600" w:lineRule="exact"/>
        <w:ind w:left="0" w:leftChars="0" w:firstLine="640" w:firstLineChars="0"/>
        <w:jc w:val="left"/>
        <w:rPr>
          <w:rFonts w:hint="eastAsia" w:ascii="仿宋_GB2312" w:hAnsi="仿宋_GB2312" w:eastAsia="仿宋_GB2312" w:cs="仿宋_GB2312"/>
          <w:bCs/>
          <w:sz w:val="32"/>
          <w:szCs w:val="32"/>
          <w:highlight w:val="none"/>
          <w:lang w:val="en-US" w:eastAsia="zh-CN"/>
        </w:rPr>
      </w:pPr>
      <w:r>
        <w:rPr>
          <w:rFonts w:hint="eastAsia" w:ascii="Times New Roman" w:hAnsi="Times New Roman" w:eastAsia="仿宋_GB2312" w:cs="Times New Roman"/>
          <w:color w:val="000000"/>
          <w:kern w:val="0"/>
          <w:sz w:val="32"/>
          <w:szCs w:val="32"/>
          <w:lang w:val="en-US" w:eastAsia="zh-CN" w:bidi="ar-SA"/>
        </w:rPr>
        <w:t>3</w:t>
      </w:r>
      <w:r>
        <w:rPr>
          <w:rFonts w:hint="default" w:ascii="Times New Roman" w:hAnsi="Times New Roman" w:eastAsia="仿宋_GB2312" w:cs="Times New Roman"/>
          <w:color w:val="000000"/>
          <w:kern w:val="0"/>
          <w:sz w:val="32"/>
          <w:szCs w:val="32"/>
          <w:lang w:val="en-US" w:eastAsia="zh-CN" w:bidi="ar-SA"/>
        </w:rPr>
        <w:t>、根据《岳阳市市直行政事业单位通用资产配置标准》（岳财发〔2018〕12号）落实了固定资产从购置、使用、清查，到处置、交接的规范化管理，明确了职责，保障了国有资产安全，提高了国有资产的使用效率。</w:t>
      </w:r>
    </w:p>
    <w:p w14:paraId="09549459">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321" w:firstLineChars="1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bidi="ar-SA"/>
        </w:rPr>
        <w:t>（四）</w:t>
      </w:r>
      <w:r>
        <w:rPr>
          <w:rFonts w:hint="eastAsia" w:ascii="仿宋_GB2312" w:hAnsi="仿宋_GB2312" w:eastAsia="仿宋_GB2312" w:cs="仿宋_GB2312"/>
          <w:b/>
          <w:bCs/>
          <w:color w:val="auto"/>
          <w:kern w:val="0"/>
          <w:sz w:val="32"/>
          <w:szCs w:val="32"/>
          <w:lang w:val="en-US" w:eastAsia="zh-CN"/>
        </w:rPr>
        <w:t>取得的效益情况：</w:t>
      </w:r>
    </w:p>
    <w:p w14:paraId="08DB77FA">
      <w:pPr>
        <w:pStyle w:val="5"/>
        <w:ind w:firstLine="640" w:firstLineChars="200"/>
        <w:rPr>
          <w:rFonts w:hint="eastAsia" w:ascii="楷体" w:hAnsi="楷体" w:eastAsia="楷体" w:cs="楷体"/>
          <w:strike w:val="0"/>
          <w:dstrike w:val="0"/>
          <w:color w:val="000000"/>
          <w:sz w:val="32"/>
          <w:szCs w:val="32"/>
          <w:lang w:val="en-US" w:eastAsia="zh-CN"/>
        </w:rPr>
      </w:pPr>
      <w:r>
        <w:rPr>
          <w:rFonts w:hint="eastAsia" w:ascii="楷体" w:hAnsi="楷体" w:eastAsia="楷体" w:cs="楷体"/>
          <w:strike w:val="0"/>
          <w:dstrike w:val="0"/>
          <w:color w:val="000000"/>
          <w:sz w:val="32"/>
          <w:szCs w:val="32"/>
          <w:lang w:val="en-US" w:eastAsia="zh-CN"/>
        </w:rPr>
        <w:t>一、静脉产业园区各项目企业运营管理情况</w:t>
      </w:r>
    </w:p>
    <w:p w14:paraId="5EA78EA1">
      <w:pPr>
        <w:pStyle w:val="5"/>
        <w:ind w:left="0" w:leftChars="0" w:firstLine="643" w:firstLineChars="200"/>
        <w:rPr>
          <w:rFonts w:hint="eastAsia" w:ascii="仿宋_GB2312" w:hAnsi="仿宋_GB2312" w:eastAsia="仿宋_GB2312" w:cs="仿宋_GB2312"/>
          <w:strike w:val="0"/>
          <w:dstrike w:val="0"/>
          <w:color w:val="000000"/>
          <w:sz w:val="32"/>
          <w:szCs w:val="32"/>
          <w:u w:val="none"/>
          <w:lang w:val="en-US" w:eastAsia="zh-CN"/>
        </w:rPr>
      </w:pPr>
      <w:r>
        <w:rPr>
          <w:rFonts w:hint="eastAsia" w:ascii="仿宋_GB2312" w:hAnsi="仿宋_GB2312" w:eastAsia="仿宋_GB2312" w:cs="仿宋_GB2312"/>
          <w:b/>
          <w:bCs/>
          <w:kern w:val="2"/>
          <w:sz w:val="32"/>
          <w:szCs w:val="32"/>
          <w:lang w:val="en-US" w:eastAsia="zh-CN" w:bidi="ar-SA"/>
        </w:rPr>
        <w:t>1.城市生活垃圾焚烧发电项目一期稳步运营，二期建设有序推进。</w:t>
      </w:r>
      <w:r>
        <w:rPr>
          <w:rFonts w:hint="eastAsia" w:ascii="楷体" w:hAnsi="楷体" w:eastAsia="楷体" w:cs="楷体"/>
          <w:b w:val="0"/>
          <w:bCs w:val="0"/>
          <w:kern w:val="2"/>
          <w:sz w:val="32"/>
          <w:szCs w:val="32"/>
          <w:lang w:val="en-US" w:eastAsia="zh-CN" w:bidi="ar-SA"/>
        </w:rPr>
        <w:t>该</w:t>
      </w:r>
      <w:r>
        <w:rPr>
          <w:rFonts w:hint="eastAsia" w:ascii="仿宋_GB2312" w:hAnsi="仿宋_GB2312" w:eastAsia="仿宋_GB2312" w:cs="Times New Roman"/>
          <w:sz w:val="32"/>
          <w:lang w:val="en-US" w:eastAsia="zh-CN"/>
        </w:rPr>
        <w:t>项目</w:t>
      </w:r>
      <w:r>
        <w:rPr>
          <w:rFonts w:hint="eastAsia" w:ascii="仿宋_GB2312" w:hAnsi="仿宋_GB2312" w:eastAsia="仿宋_GB2312" w:cs="仿宋_GB2312"/>
          <w:sz w:val="32"/>
          <w:szCs w:val="32"/>
          <w:lang w:val="en-US" w:eastAsia="zh-CN"/>
        </w:rPr>
        <w:t>占地117亩，设计处理规模为2000吨/天，</w:t>
      </w:r>
      <w:r>
        <w:rPr>
          <w:rFonts w:hint="eastAsia" w:ascii="仿宋_GB2312" w:hAnsi="仿宋_GB2312" w:eastAsia="仿宋_GB2312" w:cs="Times New Roman"/>
          <w:sz w:val="32"/>
          <w:lang w:val="en-US" w:eastAsia="zh-CN"/>
        </w:rPr>
        <w:t>分两期建设（一期1200吨/天，二期800吨/天）</w:t>
      </w:r>
      <w:r>
        <w:rPr>
          <w:rFonts w:hint="eastAsia" w:ascii="仿宋_GB2312" w:hAnsi="仿宋_GB2312" w:eastAsia="仿宋_GB2312" w:cs="仿宋_GB2312"/>
          <w:sz w:val="32"/>
          <w:szCs w:val="32"/>
          <w:lang w:val="en-US" w:eastAsia="zh-CN"/>
        </w:rPr>
        <w:t>总投资概算9.97亿元（其中：一期投资6.29亿元，二期投资3.68亿元），经营模式为BOT，</w:t>
      </w:r>
      <w:r>
        <w:rPr>
          <w:rFonts w:hint="eastAsia" w:ascii="仿宋_GB2312" w:hAnsi="仿宋_GB2312" w:eastAsia="仿宋_GB2312" w:cs="Times New Roman"/>
          <w:sz w:val="32"/>
        </w:rPr>
        <w:t>特许经营期为30年</w:t>
      </w:r>
      <w:r>
        <w:rPr>
          <w:rFonts w:hint="eastAsia" w:ascii="仿宋_GB2312" w:hAnsi="仿宋_GB2312" w:eastAsia="仿宋_GB2312" w:cs="Times New Roman"/>
          <w:sz w:val="32"/>
          <w:lang w:eastAsia="zh-CN"/>
        </w:rPr>
        <w:t>。</w:t>
      </w:r>
      <w:r>
        <w:rPr>
          <w:rFonts w:hint="eastAsia" w:ascii="仿宋_GB2312" w:hAnsi="仿宋_GB2312" w:eastAsia="仿宋_GB2312" w:cs="Times New Roman"/>
          <w:sz w:val="32"/>
          <w:lang w:val="en-US" w:eastAsia="zh-CN"/>
        </w:rPr>
        <w:t>负责中心城区六区、临湘市、岳阳县北部、华容县等统筹范围内生活垃圾焚烧处置工作。项目一期自2019年10月投产，连续5年安全、平稳运营</w:t>
      </w:r>
      <w:r>
        <w:rPr>
          <w:rFonts w:hint="eastAsia" w:ascii="仿宋_GB2312" w:hAnsi="仿宋_GB2312" w:eastAsia="仿宋_GB2312" w:cs="仿宋_GB2312"/>
          <w:w w:val="100"/>
          <w:kern w:val="2"/>
          <w:sz w:val="32"/>
          <w:szCs w:val="32"/>
          <w:lang w:val="en-US" w:eastAsia="zh-CN" w:bidi="ar-SA"/>
        </w:rPr>
        <w:t>。</w:t>
      </w:r>
      <w:r>
        <w:rPr>
          <w:rFonts w:hint="eastAsia" w:ascii="仿宋_GB2312" w:hAnsi="仿宋_GB2312" w:eastAsia="仿宋_GB2312" w:cs="Times New Roman"/>
          <w:sz w:val="32"/>
          <w:lang w:val="en-US" w:eastAsia="zh-CN"/>
        </w:rPr>
        <w:t>根据</w:t>
      </w:r>
      <w:r>
        <w:rPr>
          <w:rFonts w:hint="eastAsia" w:ascii="仿宋_GB2312" w:hAnsi="仿宋_GB2312" w:eastAsia="仿宋_GB2312" w:cs="仿宋_GB2312"/>
          <w:sz w:val="32"/>
          <w:szCs w:val="32"/>
        </w:rPr>
        <w:t>湖南省生活垃圾焚烧发电项目布局规划（2022-2030年）</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w w:val="100"/>
          <w:kern w:val="2"/>
          <w:sz w:val="32"/>
          <w:szCs w:val="32"/>
          <w:lang w:val="en-US" w:eastAsia="zh-CN" w:bidi="ar-SA"/>
        </w:rPr>
        <w:t>《岳阳市生活垃圾焚烧发电区域统筹实施方案》的目标要求和总体布局</w:t>
      </w:r>
      <w:r>
        <w:rPr>
          <w:rFonts w:hint="eastAsia" w:ascii="仿宋_GB2312" w:hAnsi="仿宋_GB2312" w:eastAsia="仿宋_GB2312" w:cs="仿宋_GB2312"/>
          <w:strike w:val="0"/>
          <w:dstrike w:val="0"/>
          <w:sz w:val="32"/>
          <w:szCs w:val="32"/>
          <w:lang w:val="en-US" w:eastAsia="zh-CN"/>
        </w:rPr>
        <w:t>，在市委、市政府的全力支持与推动下，启动该项目二期建设，并于2024年10月投产运营，两期年</w:t>
      </w:r>
      <w:r>
        <w:rPr>
          <w:rFonts w:hint="eastAsia" w:ascii="仿宋_GB2312" w:hAnsi="仿宋_GB2312" w:eastAsia="仿宋_GB2312" w:cs="仿宋_GB2312"/>
          <w:strike w:val="0"/>
          <w:dstrike w:val="0"/>
          <w:color w:val="auto"/>
          <w:sz w:val="32"/>
          <w:szCs w:val="32"/>
          <w:lang w:val="en-US" w:eastAsia="zh-CN"/>
        </w:rPr>
        <w:t>焚烧生活垃圾近54.66万吨（其中：</w:t>
      </w:r>
      <w:r>
        <w:rPr>
          <w:rFonts w:hint="eastAsia" w:ascii="仿宋_GB2312" w:hAnsi="仿宋_GB2312" w:eastAsia="仿宋_GB2312" w:cs="仿宋_GB2312"/>
          <w:strike w:val="0"/>
          <w:dstrike w:val="0"/>
          <w:color w:val="auto"/>
          <w:sz w:val="32"/>
          <w:szCs w:val="32"/>
          <w:u w:val="none"/>
          <w:lang w:val="en-US" w:eastAsia="zh-CN"/>
        </w:rPr>
        <w:t>中心城区约43万吨，统筹范围内 11.66万吨），</w:t>
      </w:r>
      <w:r>
        <w:rPr>
          <w:rFonts w:hint="eastAsia" w:ascii="仿宋_GB2312" w:hAnsi="仿宋_GB2312" w:eastAsia="仿宋_GB2312" w:cs="仿宋_GB2312"/>
          <w:strike w:val="0"/>
          <w:dstrike w:val="0"/>
          <w:color w:val="auto"/>
          <w:sz w:val="32"/>
          <w:szCs w:val="32"/>
          <w:lang w:val="en-US" w:eastAsia="zh-CN"/>
        </w:rPr>
        <w:t>日焚烧垃圾近1500吨</w:t>
      </w:r>
      <w:r>
        <w:rPr>
          <w:rFonts w:hint="eastAsia" w:ascii="仿宋_GB2312" w:hAnsi="仿宋_GB2312" w:eastAsia="仿宋_GB2312" w:cs="仿宋_GB2312"/>
          <w:strike w:val="0"/>
          <w:dstrike w:val="0"/>
          <w:color w:val="000000"/>
          <w:sz w:val="32"/>
          <w:szCs w:val="32"/>
          <w:u w:val="none"/>
          <w:lang w:val="en-US" w:eastAsia="zh-CN"/>
        </w:rPr>
        <w:t>。</w:t>
      </w:r>
    </w:p>
    <w:p w14:paraId="7C9A5404">
      <w:pPr>
        <w:pStyle w:val="5"/>
        <w:ind w:left="0" w:leftChars="0" w:firstLine="643" w:firstLineChars="200"/>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kern w:val="2"/>
          <w:sz w:val="32"/>
          <w:szCs w:val="32"/>
          <w:lang w:val="en-US" w:eastAsia="zh-CN" w:bidi="ar-SA"/>
        </w:rPr>
        <w:t>2.厨余垃圾资源化利用和无害化处置项目收运处置稳步提升。</w:t>
      </w:r>
      <w:r>
        <w:rPr>
          <w:rFonts w:hint="eastAsia" w:ascii="仿宋_GB2312" w:hAnsi="仿宋_GB2312" w:eastAsia="仿宋_GB2312" w:cs="仿宋_GB2312"/>
          <w:strike w:val="0"/>
          <w:dstrike w:val="0"/>
          <w:sz w:val="32"/>
          <w:szCs w:val="32"/>
          <w:lang w:val="en-US" w:eastAsia="zh-CN"/>
        </w:rPr>
        <w:t>在市、区两级部门单位的大力支持与配合下，该项目垃圾收运量稳步提升，自2月以来每日收运量达到140吨左右，累计收运处置餐厨垃圾约3.77万吨，市财政拨付厨余垃圾处置补贴费1227万元，全年已签约3666家，共规划25条收运线路，投入各类专业收运车辆21辆收运，收运工作总覆盖范围达到80%以上。</w:t>
      </w:r>
    </w:p>
    <w:p w14:paraId="542DA96C">
      <w:pPr>
        <w:pageBreakBefore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trike w:val="0"/>
          <w:dstrike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3.全市医疗垃圾得到有效收集和安全处置。</w:t>
      </w:r>
      <w:r>
        <w:rPr>
          <w:rFonts w:hint="eastAsia" w:ascii="仿宋_GB2312" w:hAnsi="仿宋_GB2312" w:eastAsia="仿宋_GB2312" w:cs="仿宋_GB2312"/>
          <w:strike w:val="0"/>
          <w:dstrike w:val="0"/>
          <w:kern w:val="2"/>
          <w:sz w:val="32"/>
          <w:szCs w:val="32"/>
          <w:lang w:val="en-US" w:eastAsia="zh-CN" w:bidi="ar-SA"/>
        </w:rPr>
        <w:t>医疗废物集中处置项目作为当前我市唯一一家医疗垃圾处置项目，</w:t>
      </w:r>
      <w:r>
        <w:rPr>
          <w:rFonts w:hint="eastAsia" w:ascii="仿宋_GB2312" w:hAnsi="仿宋_GB2312" w:eastAsia="仿宋_GB2312" w:cs="仿宋_GB2312"/>
          <w:sz w:val="32"/>
          <w:szCs w:val="32"/>
          <w:lang w:val="en-US" w:eastAsia="zh-CN"/>
        </w:rPr>
        <w:t>负责全市范围内各类医院、社区卫生服务站、小型医疗诊所等医疗机构固体医疗废物的收集、运输与处置工作</w:t>
      </w:r>
      <w:r>
        <w:rPr>
          <w:rFonts w:hint="eastAsia" w:ascii="仿宋_GB2312" w:hAnsi="仿宋_GB2312" w:eastAsia="仿宋_GB2312" w:cs="仿宋_GB2312"/>
          <w:strike w:val="0"/>
          <w:dstrike w:val="0"/>
          <w:kern w:val="2"/>
          <w:sz w:val="32"/>
          <w:szCs w:val="32"/>
          <w:lang w:val="en-US" w:eastAsia="zh-CN" w:bidi="ar-SA"/>
        </w:rPr>
        <w:t>，</w:t>
      </w:r>
      <w:r>
        <w:rPr>
          <w:rFonts w:hint="eastAsia" w:ascii="仿宋_GB2312" w:hAnsi="仿宋_GB2312" w:eastAsia="仿宋_GB2312" w:cs="仿宋_GB2312"/>
          <w:sz w:val="32"/>
          <w:szCs w:val="32"/>
          <w:lang w:val="en-US" w:eastAsia="zh-CN"/>
        </w:rPr>
        <w:t>年处理全市</w:t>
      </w:r>
      <w:r>
        <w:rPr>
          <w:rFonts w:hint="eastAsia" w:ascii="仿宋_GB2312" w:hAnsi="仿宋_GB2312" w:eastAsia="仿宋_GB2312" w:cs="仿宋_GB2312"/>
          <w:color w:val="000000"/>
          <w:spacing w:val="6"/>
          <w:sz w:val="32"/>
          <w:szCs w:val="32"/>
          <w:lang w:val="en-US" w:eastAsia="zh-CN"/>
        </w:rPr>
        <w:t>医疗废物3300余吨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trike w:val="0"/>
          <w:dstrike w:val="0"/>
          <w:kern w:val="2"/>
          <w:sz w:val="32"/>
          <w:szCs w:val="32"/>
          <w:lang w:val="en-US" w:eastAsia="zh-CN" w:bidi="ar-SA"/>
        </w:rPr>
        <w:t>解决我市医疗垃圾外运处置的历史，为我市防疫工作起到了积极作用</w:t>
      </w:r>
      <w:r>
        <w:rPr>
          <w:rFonts w:hint="eastAsia" w:ascii="仿宋_GB2312" w:hAnsi="仿宋_GB2312" w:eastAsia="仿宋_GB2312" w:cs="仿宋_GB2312"/>
          <w:color w:val="000000"/>
          <w:spacing w:val="6"/>
          <w:sz w:val="32"/>
          <w:szCs w:val="32"/>
          <w:lang w:val="en-US" w:eastAsia="zh-CN"/>
        </w:rPr>
        <w:t>。</w:t>
      </w:r>
    </w:p>
    <w:p w14:paraId="02F28074">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4.</w:t>
      </w:r>
      <w:r>
        <w:rPr>
          <w:rFonts w:hint="eastAsia" w:ascii="仿宋_GB2312" w:hAnsi="仿宋_GB2312" w:eastAsia="仿宋_GB2312" w:cs="仿宋_GB2312"/>
          <w:b/>
          <w:bCs/>
          <w:color w:val="000000"/>
          <w:spacing w:val="6"/>
          <w:sz w:val="32"/>
          <w:szCs w:val="32"/>
          <w:lang w:val="en-US" w:eastAsia="zh-CN"/>
        </w:rPr>
        <w:t>处理炉渣处置项目：</w:t>
      </w:r>
      <w:r>
        <w:rPr>
          <w:rFonts w:hint="eastAsia" w:ascii="仿宋_GB2312" w:hAnsi="仿宋_GB2312" w:eastAsia="仿宋_GB2312" w:cs="仿宋_GB2312"/>
          <w:b w:val="0"/>
          <w:bCs w:val="0"/>
          <w:color w:val="000000"/>
          <w:spacing w:val="6"/>
          <w:sz w:val="32"/>
          <w:szCs w:val="32"/>
          <w:lang w:val="en-US" w:eastAsia="zh-CN"/>
        </w:rPr>
        <w:t>该</w:t>
      </w:r>
      <w:r>
        <w:rPr>
          <w:rFonts w:hint="eastAsia" w:ascii="仿宋_GB2312" w:hAnsi="仿宋_GB2312" w:eastAsia="仿宋_GB2312" w:cs="仿宋_GB2312"/>
          <w:color w:val="000000"/>
          <w:spacing w:val="6"/>
          <w:sz w:val="32"/>
          <w:szCs w:val="32"/>
          <w:lang w:val="en-US" w:eastAsia="zh-CN"/>
        </w:rPr>
        <w:t>作为发电项目配套建设，对炉渣通过分拣、筛选、水洗等工艺进行金属筛选、环保砖制作、生产环保沙等资源综合利用，年处置炉渣10.88万余吨，解决了垃圾焚烧后炉渣去向问题，变废为宝。</w:t>
      </w:r>
    </w:p>
    <w:p w14:paraId="61786C91">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楷体_GB2312" w:hAnsi="楷体_GB2312" w:eastAsia="楷体_GB2312" w:cs="楷体_GB2312"/>
          <w:b/>
          <w:bCs/>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园区企业的平稳运营，使我市中心城区固废垃圾得到资源化、无害化处置，基本实现原生垃圾零填埋，呈现出经济效益、社会效益、生态效益三丰收的良好局面，为我市垃圾分类工作打下坚实基础。</w:t>
      </w:r>
    </w:p>
    <w:p w14:paraId="17E080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楷体" w:hAnsi="楷体" w:eastAsia="楷体" w:cs="楷体"/>
          <w:b/>
          <w:bCs/>
          <w:strike w:val="0"/>
          <w:dstrike w:val="0"/>
          <w:sz w:val="32"/>
          <w:szCs w:val="32"/>
          <w:lang w:val="en-US" w:eastAsia="zh-CN"/>
        </w:rPr>
        <w:t>二、</w:t>
      </w:r>
      <w:r>
        <w:rPr>
          <w:rFonts w:hint="eastAsia" w:ascii="楷体_GB2312" w:hAnsi="楷体_GB2312" w:eastAsia="楷体_GB2312" w:cs="楷体_GB2312"/>
          <w:b/>
          <w:bCs/>
          <w:spacing w:val="6"/>
          <w:sz w:val="32"/>
          <w:szCs w:val="32"/>
          <w:lang w:val="en-US" w:eastAsia="zh-CN"/>
        </w:rPr>
        <w:t>解决生态环境问题，守牢园区环保底线。</w:t>
      </w:r>
    </w:p>
    <w:p w14:paraId="54F3BD58">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该场整改销号后，该场一直备受省、市各部门高度关注，紧盯环境问题整改情况。我中心加强对场内及周边各类水质检测与环境监测，对渗滤液处理车间设备进行维修更换，对飞灰填埋区实施沉降观测定期开展场区安全环境排查整治，加固压实飞灰并及时覆盖，强化填埋场边坡防护，加强大风、暴雨等恶劣天气场区防护措施，及时疏通排水截洪沟渠等系列管理工作，确保该场全年运行安全。截止目前填埋区共埋飞灰约5.8万吨，剩余库容约39.62万m³。</w:t>
      </w:r>
    </w:p>
    <w:p w14:paraId="32405D7E">
      <w:pPr>
        <w:pageBreakBefore w:val="0"/>
        <w:kinsoku/>
        <w:wordWrap/>
        <w:overflowPunct/>
        <w:topLinePunct w:val="0"/>
        <w:autoSpaceDE/>
        <w:autoSpaceDN/>
        <w:bidi w:val="0"/>
        <w:adjustRightInd/>
        <w:snapToGrid/>
        <w:spacing w:line="600" w:lineRule="exact"/>
        <w:ind w:leftChars="0" w:firstLine="667" w:firstLineChars="200"/>
        <w:jc w:val="both"/>
        <w:textAlignment w:val="auto"/>
        <w:rPr>
          <w:rFonts w:hint="default" w:ascii="仿宋_GB2312" w:hAnsi="仿宋_GB2312" w:eastAsia="仿宋_GB2312" w:cs="仿宋_GB2312"/>
          <w:strike w:val="0"/>
          <w:dstrike w:val="0"/>
          <w:color w:val="FF0000"/>
          <w:sz w:val="32"/>
          <w:szCs w:val="32"/>
          <w:lang w:val="en-US" w:eastAsia="zh-CN"/>
        </w:rPr>
      </w:pPr>
      <w:r>
        <w:rPr>
          <w:rFonts w:hint="eastAsia" w:ascii="楷体_GB2312" w:hAnsi="楷体_GB2312" w:eastAsia="楷体_GB2312" w:cs="楷体_GB2312"/>
          <w:b/>
          <w:bCs/>
          <w:spacing w:val="6"/>
          <w:sz w:val="32"/>
          <w:szCs w:val="32"/>
          <w:lang w:val="en-US" w:eastAsia="zh-CN"/>
        </w:rPr>
        <w:t>三、完善配套建设，助力企业发展。</w:t>
      </w:r>
      <w:r>
        <w:rPr>
          <w:rFonts w:hint="eastAsia" w:ascii="仿宋_GB2312" w:hAnsi="仿宋_GB2312" w:eastAsia="仿宋_GB2312" w:cs="仿宋_GB2312"/>
          <w:strike w:val="0"/>
          <w:dstrike w:val="0"/>
          <w:color w:val="000000"/>
          <w:sz w:val="32"/>
          <w:szCs w:val="32"/>
          <w:lang w:val="en-US" w:eastAsia="zh-CN"/>
        </w:rPr>
        <w:t>岳阳市静脉产业园雨水管网建设工程项目属于园区内部道路配套基础设施建设工程，被列为2023年市城建计划。同时被列入国家生态环保部长江入河排污口整改清单，市生态环境局要求年内完成静脉产业园“一口一策”入河口排污整改任务。于2024年6月18日正式启动施工，10月初全面完工。该项目的投入使用，使园区</w:t>
      </w:r>
      <w:r>
        <w:rPr>
          <w:rFonts w:hint="eastAsia" w:ascii="仿宋_GB2312" w:hAnsi="仿宋_GB2312" w:eastAsia="仿宋_GB2312" w:cs="仿宋_GB2312"/>
          <w:color w:val="000000"/>
          <w:spacing w:val="6"/>
          <w:sz w:val="32"/>
          <w:szCs w:val="32"/>
          <w:lang w:val="en-US" w:eastAsia="zh-CN"/>
        </w:rPr>
        <w:t>已建成道路雨水管道全部联通并网，规范园区雨水排口，规范管理。</w:t>
      </w:r>
    </w:p>
    <w:p w14:paraId="547B4225">
      <w:pPr>
        <w:keepNext w:val="0"/>
        <w:keepLines w:val="0"/>
        <w:pageBreakBefore w:val="0"/>
        <w:widowControl w:val="0"/>
        <w:kinsoku/>
        <w:wordWrap/>
        <w:overflowPunct/>
        <w:topLinePunct w:val="0"/>
        <w:autoSpaceDE/>
        <w:autoSpaceDN/>
        <w:bidi w:val="0"/>
        <w:adjustRightInd/>
        <w:snapToGrid/>
        <w:spacing w:line="600" w:lineRule="exact"/>
        <w:ind w:firstLine="667"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楷体_GB2312" w:hAnsi="楷体_GB2312" w:eastAsia="楷体_GB2312" w:cs="楷体_GB2312"/>
          <w:b/>
          <w:bCs/>
          <w:spacing w:val="6"/>
          <w:sz w:val="32"/>
          <w:szCs w:val="32"/>
          <w:lang w:val="en-US" w:eastAsia="zh-CN"/>
        </w:rPr>
        <w:t>四、解决“营商”难点，改善园地关系。</w:t>
      </w:r>
      <w:r>
        <w:rPr>
          <w:rFonts w:hint="eastAsia" w:ascii="仿宋_GB2312" w:hAnsi="仿宋_GB2312" w:eastAsia="仿宋_GB2312" w:cs="仿宋_GB2312"/>
          <w:color w:val="000000"/>
          <w:spacing w:val="6"/>
          <w:sz w:val="32"/>
          <w:szCs w:val="32"/>
          <w:lang w:val="en-US" w:eastAsia="zh-CN"/>
        </w:rPr>
        <w:t>自园区建设项目实施起，当地居民的房屋征拆、土地耕种、气味扰民、环保风险等系列问题严重影响和阻碍企业的正常发展，中心主动作为积极协调相关部门单位，妥善解决居民房屋征收、拆迁问题，为企业保驾护航。同时作为垃圾分类宣教基地，我中心多次配合学校、机关单位及社会各界来园区直观了解，通过现场的全面细心讲解，既传达了各项垃圾分类的重要指示精神，也一改人们对生活垃圾分类的误解和偏见。</w:t>
      </w:r>
    </w:p>
    <w:p w14:paraId="18FA8FE6">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321" w:firstLineChars="100"/>
        <w:jc w:val="left"/>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（五）资金管理情况</w:t>
      </w:r>
    </w:p>
    <w:p w14:paraId="564DF5B6">
      <w:pPr>
        <w:keepNext w:val="0"/>
        <w:keepLines w:val="0"/>
        <w:pageBreakBefore w:val="0"/>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方正仿宋_GB2312" w:hAnsi="方正仿宋_GB2312" w:eastAsia="方正仿宋_GB2312" w:cs="方正仿宋_GB2312"/>
          <w:color w:val="auto"/>
          <w:kern w:val="0"/>
          <w:sz w:val="32"/>
          <w:szCs w:val="32"/>
          <w:lang w:val="en-US" w:eastAsia="zh-CN" w:bidi="ar-SA"/>
        </w:rPr>
        <w:t>我单位</w:t>
      </w:r>
      <w:r>
        <w:rPr>
          <w:rFonts w:hint="eastAsia" w:ascii="仿宋_GB2312" w:hAnsi="仿宋_GB2312" w:eastAsia="仿宋_GB2312" w:cs="仿宋_GB2312"/>
          <w:bCs/>
          <w:sz w:val="32"/>
          <w:szCs w:val="32"/>
          <w:lang w:val="en-US" w:eastAsia="zh-CN"/>
        </w:rPr>
        <w:t>专项</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val="en-US" w:eastAsia="zh-CN"/>
        </w:rPr>
        <w:t>管理按资金</w:t>
      </w:r>
      <w:r>
        <w:rPr>
          <w:rFonts w:hint="eastAsia" w:ascii="仿宋_GB2312" w:hAnsi="仿宋_GB2312" w:eastAsia="仿宋_GB2312" w:cs="仿宋_GB2312"/>
          <w:bCs/>
          <w:sz w:val="32"/>
          <w:szCs w:val="32"/>
        </w:rPr>
        <w:t>用途专款专用，</w:t>
      </w:r>
      <w:r>
        <w:rPr>
          <w:rFonts w:hint="eastAsia" w:ascii="仿宋_GB2312" w:hAnsi="仿宋_GB2312" w:eastAsia="仿宋_GB2312" w:cs="仿宋_GB2312"/>
          <w:bCs/>
          <w:sz w:val="32"/>
          <w:szCs w:val="32"/>
          <w:lang w:val="en-US" w:eastAsia="zh-CN"/>
        </w:rPr>
        <w:t>各专项间独立核算，严禁混用。</w:t>
      </w:r>
      <w:r>
        <w:rPr>
          <w:rFonts w:hint="eastAsia" w:ascii="仿宋_GB2312" w:hAnsi="仿宋_GB2312" w:eastAsia="仿宋_GB2312" w:cs="仿宋_GB2312"/>
          <w:bCs/>
          <w:sz w:val="32"/>
          <w:szCs w:val="32"/>
        </w:rPr>
        <w:t>严格按照</w:t>
      </w:r>
      <w:r>
        <w:rPr>
          <w:rFonts w:hint="eastAsia" w:ascii="仿宋_GB2312" w:hAnsi="仿宋_GB2312" w:eastAsia="仿宋_GB2312" w:cs="仿宋_GB2312"/>
          <w:bCs/>
          <w:sz w:val="32"/>
          <w:szCs w:val="32"/>
          <w:lang w:val="en-US" w:eastAsia="zh-CN"/>
        </w:rPr>
        <w:t>专项</w:t>
      </w:r>
      <w:r>
        <w:rPr>
          <w:rFonts w:hint="eastAsia" w:ascii="仿宋_GB2312" w:hAnsi="仿宋_GB2312" w:eastAsia="仿宋_GB2312" w:cs="仿宋_GB2312"/>
          <w:bCs/>
          <w:sz w:val="32"/>
          <w:szCs w:val="32"/>
        </w:rPr>
        <w:t>资金批准计划使用，不擅自调项、扩项、缩项，无拆借、挪用和挤占，对每笔专项资金的支付严格执行财务制度，落实专项资金审核程序。对专项资金的使用流程进行监督，定</w:t>
      </w:r>
      <w:r>
        <w:rPr>
          <w:rFonts w:hint="eastAsia" w:ascii="仿宋_GB2312" w:hAnsi="仿宋_GB2312" w:eastAsia="仿宋_GB2312" w:cs="仿宋_GB2312"/>
          <w:bCs/>
          <w:sz w:val="32"/>
          <w:szCs w:val="32"/>
          <w:lang w:val="en-US" w:eastAsia="zh-CN"/>
        </w:rPr>
        <w:t>期</w:t>
      </w:r>
      <w:r>
        <w:rPr>
          <w:rFonts w:hint="eastAsia" w:ascii="仿宋_GB2312" w:hAnsi="仿宋_GB2312" w:eastAsia="仿宋_GB2312" w:cs="仿宋_GB2312"/>
          <w:bCs/>
          <w:sz w:val="32"/>
          <w:szCs w:val="32"/>
        </w:rPr>
        <w:t>查看财务报表检查专项资金使用情况。</w:t>
      </w:r>
    </w:p>
    <w:p w14:paraId="49FD592C">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321" w:firstLineChars="100"/>
        <w:jc w:val="left"/>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（六）、运行成本和管理效率</w:t>
      </w:r>
    </w:p>
    <w:p w14:paraId="4B1318E5">
      <w:pPr>
        <w:pStyle w:val="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方正仿宋_GB2312" w:hAnsi="方正仿宋_GB2312" w:eastAsia="方正仿宋_GB2312" w:cs="方正仿宋_GB2312"/>
          <w:color w:val="auto"/>
          <w:kern w:val="0"/>
          <w:sz w:val="32"/>
          <w:szCs w:val="32"/>
          <w:lang w:val="en-US" w:eastAsia="zh-CN" w:bidi="ar-SA"/>
        </w:rPr>
        <w:t>我单位</w:t>
      </w:r>
      <w:r>
        <w:rPr>
          <w:rFonts w:hint="eastAsia" w:ascii="仿宋_GB2312" w:hAnsi="仿宋_GB2312" w:eastAsia="仿宋_GB2312" w:cs="仿宋_GB2312"/>
          <w:sz w:val="32"/>
          <w:szCs w:val="32"/>
          <w:lang w:val="en-US" w:eastAsia="zh-CN"/>
        </w:rPr>
        <w:t>全年预算金额为671.55万元。</w:t>
      </w:r>
      <w:r>
        <w:rPr>
          <w:rFonts w:hint="eastAsia" w:ascii="方正仿宋_GB2312" w:hAnsi="方正仿宋_GB2312" w:eastAsia="方正仿宋_GB2312" w:cs="方正仿宋_GB2312"/>
          <w:color w:val="auto"/>
          <w:kern w:val="0"/>
          <w:sz w:val="32"/>
          <w:szCs w:val="32"/>
          <w:lang w:val="en-US" w:eastAsia="zh-CN" w:bidi="ar-SA"/>
        </w:rPr>
        <w:t>预算支出总额为641.95万元，其中一般公共预算支出总额为641.85万元（基本支出259.89万元，项目支出381.96万元），其他资金支出总额0.1万元（其中项目支出0.04万元）。预算成本控制较好，整体支出绩效良好，达到既定目标要求。</w:t>
      </w:r>
    </w:p>
    <w:p w14:paraId="13B36AD0">
      <w:pPr>
        <w:pStyle w:val="10"/>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、存在的问题及原因分析</w:t>
      </w:r>
    </w:p>
    <w:p w14:paraId="3FD1F521">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黑体" w:hAnsi="黑体" w:eastAsia="仿宋_GB2312" w:cs="黑体"/>
          <w:sz w:val="32"/>
          <w:szCs w:val="32"/>
          <w:highlight w:val="none"/>
          <w:lang w:eastAsia="zh-CN"/>
        </w:rPr>
      </w:pPr>
      <w:r>
        <w:rPr>
          <w:rFonts w:hint="eastAsia" w:ascii="Times New Roman" w:hAnsi="Times New Roman" w:eastAsia="仿宋_GB2312" w:cs="Times New Roman"/>
          <w:kern w:val="0"/>
          <w:sz w:val="32"/>
          <w:szCs w:val="32"/>
          <w:lang w:val="en-US" w:eastAsia="zh-CN" w:bidi="ar-SA"/>
        </w:rPr>
        <w:t>1、</w:t>
      </w:r>
      <w:r>
        <w:rPr>
          <w:rFonts w:hint="eastAsia" w:ascii="仿宋_GB2312" w:hAnsi="仿宋_GB2312" w:eastAsia="仿宋_GB2312" w:cs="仿宋_GB2312"/>
          <w:sz w:val="32"/>
          <w:szCs w:val="32"/>
          <w:lang w:val="en-US" w:eastAsia="zh-CN"/>
        </w:rPr>
        <w:t>干部队伍力量有待加强。</w:t>
      </w:r>
      <w:r>
        <w:rPr>
          <w:rFonts w:hint="eastAsia" w:ascii="仿宋_GB2312" w:hAnsi="仿宋_GB2312" w:eastAsia="仿宋_GB2312" w:cs="仿宋_GB2312"/>
          <w:sz w:val="32"/>
          <w:szCs w:val="32"/>
        </w:rPr>
        <w:t>现有队伍力量</w:t>
      </w:r>
      <w:r>
        <w:rPr>
          <w:rFonts w:hint="eastAsia" w:ascii="仿宋_GB2312" w:hAnsi="仿宋_GB2312" w:eastAsia="仿宋_GB2312" w:cs="仿宋_GB2312"/>
          <w:sz w:val="32"/>
          <w:szCs w:val="32"/>
          <w:lang w:val="en-US" w:eastAsia="zh-CN"/>
        </w:rPr>
        <w:t>不足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一人多岗，</w:t>
      </w:r>
      <w:r>
        <w:rPr>
          <w:rFonts w:hint="eastAsia" w:ascii="仿宋_GB2312" w:hAnsi="仿宋_GB2312" w:eastAsia="仿宋_GB2312" w:cs="仿宋_GB2312"/>
          <w:sz w:val="32"/>
          <w:szCs w:val="32"/>
          <w:lang w:eastAsia="zh-CN"/>
        </w:rPr>
        <w:t>难以集中精力深耕某一领域，导致专业知识与技能碎片化，难以形成系统性专业能力。</w:t>
      </w:r>
    </w:p>
    <w:p w14:paraId="6252DD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eastAsia="zh-CN"/>
        </w:rPr>
      </w:pPr>
      <w:r>
        <w:rPr>
          <w:rFonts w:hint="eastAsia"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sz w:val="32"/>
          <w:szCs w:val="32"/>
          <w:lang w:val="en-US" w:eastAsia="zh-CN"/>
        </w:rPr>
        <w:t>预算绩效目标编制不够规范，</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关联细化程度有待进一步提升，</w:t>
      </w:r>
      <w:r>
        <w:rPr>
          <w:rFonts w:hint="eastAsia" w:ascii="仿宋_GB2312" w:hAnsi="仿宋_GB2312" w:eastAsia="仿宋_GB2312" w:cs="仿宋_GB2312"/>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会计、财务管理等专业，绩效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持续更新知识体系</w:t>
      </w:r>
      <w:r>
        <w:rPr>
          <w:rFonts w:hint="eastAsia" w:ascii="仿宋_GB2312" w:hAnsi="仿宋_GB2312" w:eastAsia="仿宋_GB2312" w:cs="仿宋_GB2312"/>
          <w:sz w:val="32"/>
          <w:szCs w:val="32"/>
          <w:lang w:val="en-US" w:eastAsia="zh-CN"/>
        </w:rPr>
        <w:t>。</w:t>
      </w:r>
    </w:p>
    <w:p w14:paraId="189A097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、下一步改进措施</w:t>
      </w:r>
    </w:p>
    <w:p w14:paraId="02066B33">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1、加强干部队伍建设，</w:t>
      </w:r>
      <w:r>
        <w:rPr>
          <w:rFonts w:hint="eastAsia" w:ascii="仿宋_GB2312" w:hAnsi="仿宋_GB2312" w:eastAsia="仿宋_GB2312" w:cs="仿宋_GB2312"/>
          <w:b w:val="0"/>
          <w:bCs w:val="0"/>
          <w:sz w:val="32"/>
          <w:szCs w:val="32"/>
          <w:lang w:val="en-US" w:eastAsia="zh-CN"/>
        </w:rPr>
        <w:t>多渠道引进专业人才，优化岗位设置，同时，加强职工专业技术培训，提高专业技能。</w:t>
      </w:r>
    </w:p>
    <w:p w14:paraId="48F1B08E">
      <w:pPr>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加强预算绩效管理相关业务知识培训，进一步增强预算意识和绩效意识。深入一线调查研究，了解具体业务情况，优化细化预算绩效目标的编制，深化预算绩效目标与业务工作的融合，增强预算的约束性，进一步提升单位预算支出绩效。</w:t>
      </w:r>
    </w:p>
    <w:p w14:paraId="42E13CA1">
      <w:pPr>
        <w:keepNext w:val="0"/>
        <w:keepLines w:val="0"/>
        <w:pageBreakBefore w:val="0"/>
        <w:widowControl/>
        <w:kinsoku/>
        <w:wordWrap/>
        <w:overflowPunct/>
        <w:topLinePunct w:val="0"/>
        <w:autoSpaceDE/>
        <w:autoSpaceDN/>
        <w:bidi w:val="0"/>
        <w:adjustRightInd/>
        <w:snapToGrid/>
        <w:spacing w:line="640" w:lineRule="exact"/>
        <w:ind w:firstLine="320" w:firstLineChars="1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、部门整体支出绩效自评结果拟应用和公开情况</w:t>
      </w:r>
    </w:p>
    <w:p w14:paraId="06AEAF7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39CC76BA">
      <w:pPr>
        <w:pStyle w:val="6"/>
        <w:keepNext w:val="0"/>
        <w:keepLines w:val="0"/>
        <w:pageBreakBefore w:val="0"/>
        <w:wordWrap/>
        <w:overflowPunct/>
        <w:topLinePunct w:val="0"/>
        <w:bidi w:val="0"/>
        <w:spacing w:line="560" w:lineRule="exact"/>
        <w:ind w:left="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sz w:val="32"/>
          <w:szCs w:val="32"/>
          <w:lang w:val="en-US" w:eastAsia="zh-CN"/>
        </w:rPr>
        <w:t>我单位</w:t>
      </w:r>
      <w:r>
        <w:rPr>
          <w:rFonts w:hint="eastAsia" w:ascii="仿宋_GB2312" w:hAnsi="仿宋_GB2312" w:eastAsia="仿宋_GB2312" w:cs="仿宋_GB2312"/>
          <w:b w:val="0"/>
          <w:bCs w:val="0"/>
          <w:sz w:val="32"/>
          <w:szCs w:val="32"/>
        </w:rPr>
        <w:t>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p>
    <w:p w14:paraId="55AB3AD7">
      <w:pPr>
        <w:rPr>
          <w:rFonts w:hint="eastAsia" w:ascii="仿宋_GB2312" w:hAnsi="仿宋_GB2312" w:eastAsia="仿宋_GB2312" w:cs="仿宋_GB2312"/>
          <w:kern w:val="0"/>
          <w:sz w:val="32"/>
          <w:szCs w:val="32"/>
        </w:rPr>
      </w:pPr>
    </w:p>
    <w:p w14:paraId="79ABA28E">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xml:space="preserve">年度部门整体支出绩效评价基础数据表 </w:t>
      </w:r>
    </w:p>
    <w:p w14:paraId="5CA40CC5">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年度部门整体支出绩效自评表</w:t>
      </w:r>
    </w:p>
    <w:p w14:paraId="2020148A">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14:paraId="7C3CDEFC">
      <w:pPr>
        <w:pStyle w:val="5"/>
        <w:keepNext w:val="0"/>
        <w:keepLines w:val="0"/>
        <w:pageBreakBefore w:val="0"/>
        <w:wordWrap w:val="0"/>
        <w:overflowPunct/>
        <w:topLinePunct w:val="0"/>
        <w:bidi w:val="0"/>
        <w:spacing w:line="600" w:lineRule="exact"/>
        <w:ind w:firstLine="3200" w:firstLineChars="10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岳阳市</w:t>
      </w:r>
      <w:r>
        <w:rPr>
          <w:rFonts w:hint="eastAsia" w:ascii="仿宋_GB2312" w:hAnsi="仿宋_GB2312" w:eastAsia="仿宋_GB2312" w:cs="仿宋_GB2312"/>
          <w:sz w:val="32"/>
          <w:szCs w:val="32"/>
          <w:lang w:val="en-US" w:eastAsia="zh-CN"/>
        </w:rPr>
        <w:t>固体废物处置服务</w:t>
      </w:r>
      <w:r>
        <w:rPr>
          <w:rFonts w:hint="eastAsia" w:ascii="仿宋_GB2312" w:hAnsi="仿宋_GB2312" w:eastAsia="仿宋_GB2312" w:cs="仿宋_GB2312"/>
          <w:sz w:val="32"/>
          <w:szCs w:val="32"/>
          <w:lang w:val="en" w:eastAsia="zh-CN"/>
        </w:rPr>
        <w:t>中心</w:t>
      </w:r>
      <w:r>
        <w:rPr>
          <w:rFonts w:hint="eastAsia" w:ascii="仿宋_GB2312" w:hAnsi="仿宋_GB2312" w:eastAsia="仿宋_GB2312" w:cs="仿宋_GB2312"/>
          <w:sz w:val="32"/>
          <w:szCs w:val="32"/>
          <w:lang w:val="en-US" w:eastAsia="zh-CN"/>
        </w:rPr>
        <w:t xml:space="preserve">    </w:t>
      </w:r>
    </w:p>
    <w:p w14:paraId="36A305EF">
      <w:pPr>
        <w:keepNext w:val="0"/>
        <w:keepLines w:val="0"/>
        <w:pageBreakBefore w:val="0"/>
        <w:wordWrap w:val="0"/>
        <w:overflowPunct/>
        <w:topLinePunct w:val="0"/>
        <w:bidi w:val="0"/>
        <w:spacing w:after="120" w:afterLines="50" w:line="600" w:lineRule="exact"/>
        <w:jc w:val="right"/>
        <w:rPr>
          <w:rFonts w:hint="default"/>
          <w:sz w:val="32"/>
          <w:szCs w:val="32"/>
          <w:lang w:val="en-US"/>
        </w:rPr>
      </w:pPr>
      <w:r>
        <w:rPr>
          <w:rFonts w:hint="eastAsia" w:ascii="仿宋_GB2312" w:hAnsi="仿宋_GB2312" w:eastAsia="仿宋_GB2312" w:cs="仿宋_GB2312"/>
          <w:sz w:val="32"/>
          <w:szCs w:val="32"/>
          <w:highlight w:val="none"/>
          <w:lang w:val="en-US" w:eastAsia="zh-CN"/>
        </w:rPr>
        <w:t xml:space="preserve">2025年6月23日       </w:t>
      </w:r>
    </w:p>
    <w:p w14:paraId="6CF13009"/>
    <w:p w14:paraId="564C5C0B">
      <w:pPr>
        <w:pStyle w:val="2"/>
      </w:pPr>
    </w:p>
    <w:p w14:paraId="6B79BEC8"/>
    <w:p w14:paraId="1C1BE22D">
      <w:pPr>
        <w:pStyle w:val="2"/>
      </w:pPr>
    </w:p>
    <w:p w14:paraId="42BD49C9">
      <w:pPr>
        <w:pStyle w:val="2"/>
      </w:pPr>
    </w:p>
    <w:p w14:paraId="4A20FF1A"/>
    <w:p w14:paraId="36E53EBE">
      <w:pPr>
        <w:pStyle w:val="2"/>
      </w:pPr>
    </w:p>
    <w:p w14:paraId="220FFAFA"/>
    <w:p w14:paraId="2BFF0582">
      <w:pPr>
        <w:pStyle w:val="2"/>
        <w:sectPr>
          <w:pgSz w:w="11906" w:h="16838"/>
          <w:pgMar w:top="1440" w:right="1800" w:bottom="1440" w:left="1803" w:header="851" w:footer="992" w:gutter="0"/>
          <w:cols w:space="425" w:num="1"/>
          <w:docGrid w:type="lines" w:linePitch="312" w:charSpace="0"/>
        </w:sectPr>
      </w:pPr>
    </w:p>
    <w:p w14:paraId="1CAA6CFD">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lang w:eastAsia="zh-CN"/>
        </w:rPr>
      </w:pPr>
      <w:r>
        <w:rPr>
          <w:rFonts w:hint="eastAsia" w:ascii="仿宋_GB2312" w:hAnsi="仿宋_GB2312" w:eastAsia="仿宋_GB2312" w:cs="仿宋_GB2312"/>
          <w:b/>
          <w:bCs/>
          <w:spacing w:val="0"/>
          <w:sz w:val="32"/>
          <w:szCs w:val="32"/>
          <w:highlight w:val="none"/>
          <w:lang w:val="en-US" w:eastAsia="zh-CN"/>
        </w:rPr>
        <w:t xml:space="preserve">附件1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14:paraId="192D9DF7">
      <w:pPr>
        <w:spacing w:after="120" w:afterLines="50" w:line="600" w:lineRule="exact"/>
        <w:ind w:firstLine="720" w:firstLineChars="200"/>
        <w:jc w:val="both"/>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8"/>
        <w:tblW w:w="9458" w:type="dxa"/>
        <w:jc w:val="center"/>
        <w:tblLayout w:type="fixed"/>
        <w:tblCellMar>
          <w:top w:w="0" w:type="dxa"/>
          <w:left w:w="108" w:type="dxa"/>
          <w:bottom w:w="0" w:type="dxa"/>
          <w:right w:w="108" w:type="dxa"/>
        </w:tblCellMar>
      </w:tblPr>
      <w:tblGrid>
        <w:gridCol w:w="3067"/>
        <w:gridCol w:w="1373"/>
        <w:gridCol w:w="832"/>
        <w:gridCol w:w="911"/>
        <w:gridCol w:w="1196"/>
        <w:gridCol w:w="1094"/>
        <w:gridCol w:w="985"/>
      </w:tblGrid>
      <w:tr w14:paraId="0077A2CD">
        <w:tblPrEx>
          <w:tblCellMar>
            <w:top w:w="0" w:type="dxa"/>
            <w:left w:w="108" w:type="dxa"/>
            <w:bottom w:w="0" w:type="dxa"/>
            <w:right w:w="108" w:type="dxa"/>
          </w:tblCellMar>
        </w:tblPrEx>
        <w:trPr>
          <w:trHeight w:val="513" w:hRule="atLeast"/>
          <w:jc w:val="center"/>
        </w:trPr>
        <w:tc>
          <w:tcPr>
            <w:tcW w:w="3067" w:type="dxa"/>
            <w:vMerge w:val="restart"/>
            <w:tcBorders>
              <w:top w:val="single" w:color="auto" w:sz="4" w:space="0"/>
              <w:left w:val="single" w:color="auto" w:sz="4" w:space="0"/>
              <w:bottom w:val="single" w:color="auto" w:sz="4" w:space="0"/>
              <w:right w:val="single" w:color="auto" w:sz="4" w:space="0"/>
            </w:tcBorders>
            <w:noWrap w:val="0"/>
            <w:vAlign w:val="center"/>
          </w:tcPr>
          <w:p w14:paraId="7953B98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205" w:type="dxa"/>
            <w:gridSpan w:val="2"/>
            <w:tcBorders>
              <w:top w:val="single" w:color="auto" w:sz="4" w:space="0"/>
              <w:left w:val="nil"/>
              <w:bottom w:val="single" w:color="auto" w:sz="4" w:space="0"/>
              <w:right w:val="single" w:color="auto" w:sz="4" w:space="0"/>
            </w:tcBorders>
            <w:noWrap w:val="0"/>
            <w:vAlign w:val="center"/>
          </w:tcPr>
          <w:p w14:paraId="05552F7E">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107" w:type="dxa"/>
            <w:gridSpan w:val="2"/>
            <w:tcBorders>
              <w:top w:val="single" w:color="auto" w:sz="4" w:space="0"/>
              <w:left w:val="nil"/>
              <w:bottom w:val="single" w:color="auto" w:sz="4" w:space="0"/>
              <w:right w:val="single" w:color="auto" w:sz="4" w:space="0"/>
            </w:tcBorders>
            <w:noWrap w:val="0"/>
            <w:vAlign w:val="center"/>
          </w:tcPr>
          <w:p w14:paraId="1A2D3D15">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79" w:type="dxa"/>
            <w:gridSpan w:val="2"/>
            <w:tcBorders>
              <w:top w:val="single" w:color="auto" w:sz="4" w:space="0"/>
              <w:left w:val="nil"/>
              <w:bottom w:val="single" w:color="auto" w:sz="4" w:space="0"/>
              <w:right w:val="single" w:color="auto" w:sz="4" w:space="0"/>
            </w:tcBorders>
            <w:noWrap w:val="0"/>
            <w:vAlign w:val="center"/>
          </w:tcPr>
          <w:p w14:paraId="682E127D">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673F0EAA">
        <w:tblPrEx>
          <w:tblCellMar>
            <w:top w:w="0" w:type="dxa"/>
            <w:left w:w="108" w:type="dxa"/>
            <w:bottom w:w="0" w:type="dxa"/>
            <w:right w:w="108" w:type="dxa"/>
          </w:tblCellMar>
        </w:tblPrEx>
        <w:trPr>
          <w:trHeight w:val="394" w:hRule="atLeast"/>
          <w:jc w:val="center"/>
        </w:trPr>
        <w:tc>
          <w:tcPr>
            <w:tcW w:w="3067" w:type="dxa"/>
            <w:vMerge w:val="continue"/>
            <w:tcBorders>
              <w:top w:val="single" w:color="auto" w:sz="4" w:space="0"/>
              <w:left w:val="single" w:color="auto" w:sz="4" w:space="0"/>
              <w:bottom w:val="single" w:color="auto" w:sz="4" w:space="0"/>
              <w:right w:val="single" w:color="auto" w:sz="4" w:space="0"/>
            </w:tcBorders>
            <w:noWrap w:val="0"/>
            <w:vAlign w:val="center"/>
          </w:tcPr>
          <w:p w14:paraId="2CD8569C">
            <w:pPr>
              <w:widowControl/>
              <w:spacing w:line="360" w:lineRule="exact"/>
              <w:jc w:val="left"/>
              <w:rPr>
                <w:rFonts w:hint="eastAsia" w:ascii="仿宋_GB2312" w:hAnsi="仿宋_GB2312" w:eastAsia="仿宋_GB2312" w:cs="仿宋_GB2312"/>
                <w:sz w:val="20"/>
                <w:szCs w:val="20"/>
                <w:highlight w:val="none"/>
              </w:rPr>
            </w:pPr>
          </w:p>
        </w:tc>
        <w:tc>
          <w:tcPr>
            <w:tcW w:w="2205" w:type="dxa"/>
            <w:gridSpan w:val="2"/>
            <w:tcBorders>
              <w:top w:val="single" w:color="auto" w:sz="4" w:space="0"/>
              <w:left w:val="nil"/>
              <w:bottom w:val="single" w:color="auto" w:sz="4" w:space="0"/>
              <w:right w:val="single" w:color="auto" w:sz="4" w:space="0"/>
            </w:tcBorders>
            <w:noWrap w:val="0"/>
            <w:vAlign w:val="center"/>
          </w:tcPr>
          <w:p w14:paraId="7C5B63D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w:t>
            </w:r>
          </w:p>
        </w:tc>
        <w:tc>
          <w:tcPr>
            <w:tcW w:w="2107" w:type="dxa"/>
            <w:gridSpan w:val="2"/>
            <w:tcBorders>
              <w:top w:val="single" w:color="auto" w:sz="4" w:space="0"/>
              <w:left w:val="nil"/>
              <w:bottom w:val="single" w:color="auto" w:sz="4" w:space="0"/>
              <w:right w:val="single" w:color="auto" w:sz="4" w:space="0"/>
            </w:tcBorders>
            <w:noWrap w:val="0"/>
            <w:vAlign w:val="center"/>
          </w:tcPr>
          <w:p w14:paraId="2169A099">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17</w:t>
            </w:r>
          </w:p>
        </w:tc>
        <w:tc>
          <w:tcPr>
            <w:tcW w:w="2079" w:type="dxa"/>
            <w:gridSpan w:val="2"/>
            <w:tcBorders>
              <w:top w:val="single" w:color="auto" w:sz="4" w:space="0"/>
              <w:left w:val="nil"/>
              <w:bottom w:val="single" w:color="auto" w:sz="4" w:space="0"/>
              <w:right w:val="single" w:color="auto" w:sz="4" w:space="0"/>
            </w:tcBorders>
            <w:noWrap w:val="0"/>
            <w:vAlign w:val="center"/>
          </w:tcPr>
          <w:p w14:paraId="1852F75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80.95%</w:t>
            </w:r>
            <w:r>
              <w:rPr>
                <w:rFonts w:hint="eastAsia" w:ascii="仿宋_GB2312" w:hAnsi="仿宋_GB2312" w:eastAsia="仿宋_GB2312" w:cs="仿宋_GB2312"/>
                <w:sz w:val="20"/>
                <w:szCs w:val="20"/>
                <w:highlight w:val="none"/>
              </w:rPr>
              <w:t>　</w:t>
            </w:r>
          </w:p>
        </w:tc>
      </w:tr>
      <w:tr w14:paraId="33BD8C7B">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40DFAA6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205" w:type="dxa"/>
            <w:gridSpan w:val="2"/>
            <w:tcBorders>
              <w:top w:val="single" w:color="auto" w:sz="4" w:space="0"/>
              <w:left w:val="nil"/>
              <w:bottom w:val="single" w:color="auto" w:sz="4" w:space="0"/>
              <w:right w:val="single" w:color="000000" w:sz="4" w:space="0"/>
            </w:tcBorders>
            <w:noWrap w:val="0"/>
            <w:vAlign w:val="center"/>
          </w:tcPr>
          <w:p w14:paraId="39D7D88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107" w:type="dxa"/>
            <w:gridSpan w:val="2"/>
            <w:tcBorders>
              <w:top w:val="single" w:color="auto" w:sz="4" w:space="0"/>
              <w:left w:val="nil"/>
              <w:bottom w:val="single" w:color="auto" w:sz="4" w:space="0"/>
              <w:right w:val="single" w:color="000000" w:sz="4" w:space="0"/>
            </w:tcBorders>
            <w:noWrap w:val="0"/>
            <w:vAlign w:val="center"/>
          </w:tcPr>
          <w:p w14:paraId="0D208F07">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79" w:type="dxa"/>
            <w:gridSpan w:val="2"/>
            <w:tcBorders>
              <w:top w:val="single" w:color="auto" w:sz="4" w:space="0"/>
              <w:left w:val="nil"/>
              <w:bottom w:val="single" w:color="auto" w:sz="4" w:space="0"/>
              <w:right w:val="single" w:color="000000" w:sz="4" w:space="0"/>
            </w:tcBorders>
            <w:noWrap w:val="0"/>
            <w:vAlign w:val="center"/>
          </w:tcPr>
          <w:p w14:paraId="1776382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1A221CA0">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310DCFD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4FC3839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107" w:type="dxa"/>
            <w:gridSpan w:val="2"/>
            <w:tcBorders>
              <w:top w:val="single" w:color="auto" w:sz="4" w:space="0"/>
              <w:left w:val="nil"/>
              <w:bottom w:val="single" w:color="auto" w:sz="4" w:space="0"/>
              <w:right w:val="single" w:color="000000" w:sz="4" w:space="0"/>
            </w:tcBorders>
            <w:noWrap w:val="0"/>
            <w:vAlign w:val="center"/>
          </w:tcPr>
          <w:p w14:paraId="697A866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79" w:type="dxa"/>
            <w:gridSpan w:val="2"/>
            <w:tcBorders>
              <w:top w:val="single" w:color="auto" w:sz="4" w:space="0"/>
              <w:left w:val="nil"/>
              <w:bottom w:val="single" w:color="auto" w:sz="4" w:space="0"/>
              <w:right w:val="single" w:color="000000" w:sz="4" w:space="0"/>
            </w:tcBorders>
            <w:noWrap w:val="0"/>
            <w:vAlign w:val="center"/>
          </w:tcPr>
          <w:p w14:paraId="3A8BC36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775B20B8">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3E5DB50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0389CCBC">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107" w:type="dxa"/>
            <w:gridSpan w:val="2"/>
            <w:tcBorders>
              <w:top w:val="single" w:color="auto" w:sz="4" w:space="0"/>
              <w:left w:val="nil"/>
              <w:bottom w:val="single" w:color="auto" w:sz="4" w:space="0"/>
              <w:right w:val="single" w:color="000000" w:sz="4" w:space="0"/>
            </w:tcBorders>
            <w:noWrap w:val="0"/>
            <w:vAlign w:val="center"/>
          </w:tcPr>
          <w:p w14:paraId="26B812D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79" w:type="dxa"/>
            <w:gridSpan w:val="2"/>
            <w:tcBorders>
              <w:top w:val="single" w:color="auto" w:sz="4" w:space="0"/>
              <w:left w:val="nil"/>
              <w:bottom w:val="single" w:color="auto" w:sz="4" w:space="0"/>
              <w:right w:val="single" w:color="000000" w:sz="4" w:space="0"/>
            </w:tcBorders>
            <w:noWrap w:val="0"/>
            <w:vAlign w:val="center"/>
          </w:tcPr>
          <w:p w14:paraId="68D6B88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6C8D9FCA">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3DEE596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205" w:type="dxa"/>
            <w:gridSpan w:val="2"/>
            <w:tcBorders>
              <w:top w:val="single" w:color="auto" w:sz="4" w:space="0"/>
              <w:left w:val="nil"/>
              <w:bottom w:val="single" w:color="auto" w:sz="4" w:space="0"/>
              <w:right w:val="single" w:color="000000" w:sz="4" w:space="0"/>
            </w:tcBorders>
            <w:noWrap w:val="0"/>
            <w:vAlign w:val="center"/>
          </w:tcPr>
          <w:p w14:paraId="27355A4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107" w:type="dxa"/>
            <w:gridSpan w:val="2"/>
            <w:tcBorders>
              <w:top w:val="single" w:color="auto" w:sz="4" w:space="0"/>
              <w:left w:val="nil"/>
              <w:bottom w:val="single" w:color="auto" w:sz="4" w:space="0"/>
              <w:right w:val="single" w:color="000000" w:sz="4" w:space="0"/>
            </w:tcBorders>
            <w:noWrap w:val="0"/>
            <w:vAlign w:val="center"/>
          </w:tcPr>
          <w:p w14:paraId="31A79E9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79" w:type="dxa"/>
            <w:gridSpan w:val="2"/>
            <w:tcBorders>
              <w:top w:val="single" w:color="auto" w:sz="4" w:space="0"/>
              <w:left w:val="nil"/>
              <w:bottom w:val="single" w:color="auto" w:sz="4" w:space="0"/>
              <w:right w:val="single" w:color="000000" w:sz="4" w:space="0"/>
            </w:tcBorders>
            <w:noWrap w:val="0"/>
            <w:vAlign w:val="center"/>
          </w:tcPr>
          <w:p w14:paraId="165AE40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5079BD40">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6C7A227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205" w:type="dxa"/>
            <w:gridSpan w:val="2"/>
            <w:tcBorders>
              <w:top w:val="single" w:color="auto" w:sz="4" w:space="0"/>
              <w:left w:val="nil"/>
              <w:bottom w:val="single" w:color="auto" w:sz="4" w:space="0"/>
              <w:right w:val="single" w:color="000000" w:sz="4" w:space="0"/>
            </w:tcBorders>
            <w:noWrap w:val="0"/>
            <w:vAlign w:val="center"/>
          </w:tcPr>
          <w:p w14:paraId="089136B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107" w:type="dxa"/>
            <w:gridSpan w:val="2"/>
            <w:tcBorders>
              <w:top w:val="single" w:color="auto" w:sz="4" w:space="0"/>
              <w:left w:val="nil"/>
              <w:bottom w:val="single" w:color="auto" w:sz="4" w:space="0"/>
              <w:right w:val="single" w:color="000000" w:sz="4" w:space="0"/>
            </w:tcBorders>
            <w:noWrap w:val="0"/>
            <w:vAlign w:val="center"/>
          </w:tcPr>
          <w:p w14:paraId="270CE715">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79" w:type="dxa"/>
            <w:gridSpan w:val="2"/>
            <w:tcBorders>
              <w:top w:val="single" w:color="auto" w:sz="4" w:space="0"/>
              <w:left w:val="nil"/>
              <w:bottom w:val="single" w:color="auto" w:sz="4" w:space="0"/>
              <w:right w:val="single" w:color="000000" w:sz="4" w:space="0"/>
            </w:tcBorders>
            <w:noWrap w:val="0"/>
            <w:vAlign w:val="center"/>
          </w:tcPr>
          <w:p w14:paraId="79B178E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08330BB1">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0B8D7D5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0035390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107" w:type="dxa"/>
            <w:gridSpan w:val="2"/>
            <w:tcBorders>
              <w:top w:val="single" w:color="auto" w:sz="4" w:space="0"/>
              <w:left w:val="nil"/>
              <w:bottom w:val="single" w:color="auto" w:sz="4" w:space="0"/>
              <w:right w:val="single" w:color="000000" w:sz="4" w:space="0"/>
            </w:tcBorders>
            <w:noWrap w:val="0"/>
            <w:vAlign w:val="center"/>
          </w:tcPr>
          <w:p w14:paraId="199BEDE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79" w:type="dxa"/>
            <w:gridSpan w:val="2"/>
            <w:tcBorders>
              <w:top w:val="single" w:color="auto" w:sz="4" w:space="0"/>
              <w:left w:val="nil"/>
              <w:bottom w:val="single" w:color="auto" w:sz="4" w:space="0"/>
              <w:right w:val="single" w:color="000000" w:sz="4" w:space="0"/>
            </w:tcBorders>
            <w:noWrap w:val="0"/>
            <w:vAlign w:val="center"/>
          </w:tcPr>
          <w:p w14:paraId="3699455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260FE8CD">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77C0493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205" w:type="dxa"/>
            <w:gridSpan w:val="2"/>
            <w:tcBorders>
              <w:top w:val="single" w:color="auto" w:sz="4" w:space="0"/>
              <w:left w:val="nil"/>
              <w:bottom w:val="single" w:color="auto" w:sz="4" w:space="0"/>
              <w:right w:val="single" w:color="000000" w:sz="4" w:space="0"/>
            </w:tcBorders>
            <w:noWrap w:val="0"/>
            <w:vAlign w:val="center"/>
          </w:tcPr>
          <w:p w14:paraId="0B99EA0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107" w:type="dxa"/>
            <w:gridSpan w:val="2"/>
            <w:tcBorders>
              <w:top w:val="single" w:color="auto" w:sz="4" w:space="0"/>
              <w:left w:val="nil"/>
              <w:bottom w:val="single" w:color="auto" w:sz="4" w:space="0"/>
              <w:right w:val="single" w:color="000000" w:sz="4" w:space="0"/>
            </w:tcBorders>
            <w:noWrap w:val="0"/>
            <w:vAlign w:val="center"/>
          </w:tcPr>
          <w:p w14:paraId="371B915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79" w:type="dxa"/>
            <w:gridSpan w:val="2"/>
            <w:tcBorders>
              <w:top w:val="single" w:color="auto" w:sz="4" w:space="0"/>
              <w:left w:val="nil"/>
              <w:bottom w:val="single" w:color="auto" w:sz="4" w:space="0"/>
              <w:right w:val="single" w:color="000000" w:sz="4" w:space="0"/>
            </w:tcBorders>
            <w:noWrap w:val="0"/>
            <w:vAlign w:val="center"/>
          </w:tcPr>
          <w:p w14:paraId="7601634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3677634A">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34F9574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205" w:type="dxa"/>
            <w:gridSpan w:val="2"/>
            <w:tcBorders>
              <w:top w:val="single" w:color="auto" w:sz="4" w:space="0"/>
              <w:left w:val="nil"/>
              <w:bottom w:val="single" w:color="auto" w:sz="4" w:space="0"/>
              <w:right w:val="single" w:color="000000" w:sz="4" w:space="0"/>
            </w:tcBorders>
            <w:noWrap w:val="0"/>
            <w:vAlign w:val="center"/>
          </w:tcPr>
          <w:p w14:paraId="5766B10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249.32</w:t>
            </w:r>
          </w:p>
        </w:tc>
        <w:tc>
          <w:tcPr>
            <w:tcW w:w="2107" w:type="dxa"/>
            <w:gridSpan w:val="2"/>
            <w:tcBorders>
              <w:top w:val="single" w:color="auto" w:sz="4" w:space="0"/>
              <w:left w:val="nil"/>
              <w:bottom w:val="single" w:color="auto" w:sz="4" w:space="0"/>
              <w:right w:val="single" w:color="000000" w:sz="4" w:space="0"/>
            </w:tcBorders>
            <w:noWrap w:val="0"/>
            <w:vAlign w:val="center"/>
          </w:tcPr>
          <w:p w14:paraId="2CB91DD5">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395.32</w:t>
            </w:r>
          </w:p>
        </w:tc>
        <w:tc>
          <w:tcPr>
            <w:tcW w:w="2079" w:type="dxa"/>
            <w:gridSpan w:val="2"/>
            <w:tcBorders>
              <w:top w:val="single" w:color="auto" w:sz="4" w:space="0"/>
              <w:left w:val="nil"/>
              <w:bottom w:val="single" w:color="auto" w:sz="4" w:space="0"/>
              <w:right w:val="single" w:color="000000" w:sz="4" w:space="0"/>
            </w:tcBorders>
            <w:noWrap w:val="0"/>
            <w:vAlign w:val="center"/>
          </w:tcPr>
          <w:p w14:paraId="20FEAA5B">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382.00</w:t>
            </w:r>
          </w:p>
        </w:tc>
      </w:tr>
      <w:tr w14:paraId="273B9632">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427EBD9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0FD6939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107" w:type="dxa"/>
            <w:gridSpan w:val="2"/>
            <w:tcBorders>
              <w:top w:val="single" w:color="auto" w:sz="4" w:space="0"/>
              <w:left w:val="nil"/>
              <w:bottom w:val="single" w:color="auto" w:sz="4" w:space="0"/>
              <w:right w:val="single" w:color="000000" w:sz="4" w:space="0"/>
            </w:tcBorders>
            <w:noWrap w:val="0"/>
            <w:vAlign w:val="center"/>
          </w:tcPr>
          <w:p w14:paraId="4F3BC3B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79" w:type="dxa"/>
            <w:gridSpan w:val="2"/>
            <w:tcBorders>
              <w:top w:val="single" w:color="auto" w:sz="4" w:space="0"/>
              <w:left w:val="nil"/>
              <w:bottom w:val="single" w:color="auto" w:sz="4" w:space="0"/>
              <w:right w:val="single" w:color="000000" w:sz="4" w:space="0"/>
            </w:tcBorders>
            <w:noWrap w:val="0"/>
            <w:vAlign w:val="center"/>
          </w:tcPr>
          <w:p w14:paraId="3C7D9EE7">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7701397B">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73669B5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619654AB">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107" w:type="dxa"/>
            <w:gridSpan w:val="2"/>
            <w:tcBorders>
              <w:top w:val="single" w:color="auto" w:sz="4" w:space="0"/>
              <w:left w:val="nil"/>
              <w:bottom w:val="single" w:color="auto" w:sz="4" w:space="0"/>
              <w:right w:val="single" w:color="000000" w:sz="4" w:space="0"/>
            </w:tcBorders>
            <w:noWrap w:val="0"/>
            <w:vAlign w:val="center"/>
          </w:tcPr>
          <w:p w14:paraId="2B4D1B5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79" w:type="dxa"/>
            <w:gridSpan w:val="2"/>
            <w:tcBorders>
              <w:top w:val="single" w:color="auto" w:sz="4" w:space="0"/>
              <w:left w:val="nil"/>
              <w:bottom w:val="single" w:color="auto" w:sz="4" w:space="0"/>
              <w:right w:val="single" w:color="000000" w:sz="4" w:space="0"/>
            </w:tcBorders>
            <w:noWrap w:val="0"/>
            <w:vAlign w:val="center"/>
          </w:tcPr>
          <w:p w14:paraId="2597C1F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3B273F7E">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649D7EE6">
            <w:pPr>
              <w:widowControl/>
              <w:spacing w:line="360" w:lineRule="exact"/>
              <w:ind w:firstLine="400" w:firstLineChars="200"/>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3、本级专项资金</w:t>
            </w:r>
          </w:p>
        </w:tc>
        <w:tc>
          <w:tcPr>
            <w:tcW w:w="2205" w:type="dxa"/>
            <w:gridSpan w:val="2"/>
            <w:tcBorders>
              <w:top w:val="single" w:color="auto" w:sz="4" w:space="0"/>
              <w:left w:val="nil"/>
              <w:bottom w:val="single" w:color="auto" w:sz="4" w:space="0"/>
              <w:right w:val="single" w:color="000000" w:sz="4" w:space="0"/>
            </w:tcBorders>
            <w:noWrap w:val="0"/>
            <w:vAlign w:val="center"/>
          </w:tcPr>
          <w:p w14:paraId="787C6E8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249.32</w:t>
            </w:r>
          </w:p>
        </w:tc>
        <w:tc>
          <w:tcPr>
            <w:tcW w:w="2107" w:type="dxa"/>
            <w:gridSpan w:val="2"/>
            <w:tcBorders>
              <w:top w:val="single" w:color="auto" w:sz="4" w:space="0"/>
              <w:left w:val="nil"/>
              <w:bottom w:val="single" w:color="auto" w:sz="4" w:space="0"/>
              <w:right w:val="single" w:color="000000" w:sz="4" w:space="0"/>
            </w:tcBorders>
            <w:noWrap w:val="0"/>
            <w:vAlign w:val="center"/>
          </w:tcPr>
          <w:p w14:paraId="40C5E81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395.32</w:t>
            </w:r>
          </w:p>
        </w:tc>
        <w:tc>
          <w:tcPr>
            <w:tcW w:w="2079" w:type="dxa"/>
            <w:gridSpan w:val="2"/>
            <w:tcBorders>
              <w:top w:val="single" w:color="auto" w:sz="4" w:space="0"/>
              <w:left w:val="nil"/>
              <w:bottom w:val="single" w:color="auto" w:sz="4" w:space="0"/>
              <w:right w:val="single" w:color="000000" w:sz="4" w:space="0"/>
            </w:tcBorders>
            <w:noWrap w:val="0"/>
            <w:vAlign w:val="center"/>
          </w:tcPr>
          <w:p w14:paraId="3FEAE11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382.00</w:t>
            </w:r>
          </w:p>
        </w:tc>
      </w:tr>
      <w:tr w14:paraId="5A5D3F6C">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1F4450A5">
            <w:pPr>
              <w:widowControl/>
              <w:spacing w:line="360" w:lineRule="exact"/>
              <w:jc w:val="left"/>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（1）静脉产业园区管理经费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22D4C1C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26.95</w:t>
            </w:r>
            <w:r>
              <w:rPr>
                <w:rFonts w:hint="eastAsia" w:ascii="仿宋_GB2312" w:hAnsi="仿宋_GB2312" w:eastAsia="仿宋_GB2312" w:cs="仿宋_GB2312"/>
                <w:sz w:val="20"/>
                <w:szCs w:val="20"/>
                <w:highlight w:val="none"/>
              </w:rPr>
              <w:t>　</w:t>
            </w:r>
          </w:p>
        </w:tc>
        <w:tc>
          <w:tcPr>
            <w:tcW w:w="2107" w:type="dxa"/>
            <w:gridSpan w:val="2"/>
            <w:tcBorders>
              <w:top w:val="single" w:color="auto" w:sz="4" w:space="0"/>
              <w:left w:val="nil"/>
              <w:bottom w:val="single" w:color="auto" w:sz="4" w:space="0"/>
              <w:right w:val="single" w:color="000000" w:sz="4" w:space="0"/>
            </w:tcBorders>
            <w:noWrap w:val="0"/>
            <w:vAlign w:val="center"/>
          </w:tcPr>
          <w:p w14:paraId="58736C5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28</w:t>
            </w:r>
          </w:p>
        </w:tc>
        <w:tc>
          <w:tcPr>
            <w:tcW w:w="2079" w:type="dxa"/>
            <w:gridSpan w:val="2"/>
            <w:tcBorders>
              <w:top w:val="single" w:color="auto" w:sz="4" w:space="0"/>
              <w:left w:val="nil"/>
              <w:bottom w:val="single" w:color="auto" w:sz="4" w:space="0"/>
              <w:right w:val="single" w:color="000000" w:sz="4" w:space="0"/>
            </w:tcBorders>
            <w:noWrap w:val="0"/>
            <w:vAlign w:val="center"/>
          </w:tcPr>
          <w:p w14:paraId="63C5050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27.9</w:t>
            </w:r>
          </w:p>
        </w:tc>
      </w:tr>
      <w:tr w14:paraId="02419C43">
        <w:tblPrEx>
          <w:tblCellMar>
            <w:top w:w="0" w:type="dxa"/>
            <w:left w:w="108" w:type="dxa"/>
            <w:bottom w:w="0" w:type="dxa"/>
            <w:right w:w="108" w:type="dxa"/>
          </w:tblCellMar>
        </w:tblPrEx>
        <w:trPr>
          <w:trHeight w:val="57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4B7A86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（2）罗家坳无害化处理场渗滤液处理系统运营费</w:t>
            </w:r>
          </w:p>
        </w:tc>
        <w:tc>
          <w:tcPr>
            <w:tcW w:w="2205" w:type="dxa"/>
            <w:gridSpan w:val="2"/>
            <w:tcBorders>
              <w:top w:val="single" w:color="auto" w:sz="4" w:space="0"/>
              <w:left w:val="nil"/>
              <w:bottom w:val="single" w:color="auto" w:sz="4" w:space="0"/>
              <w:right w:val="single" w:color="000000" w:sz="4" w:space="0"/>
            </w:tcBorders>
            <w:noWrap w:val="0"/>
            <w:vAlign w:val="center"/>
          </w:tcPr>
          <w:p w14:paraId="6017EA6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162.37</w:t>
            </w:r>
          </w:p>
        </w:tc>
        <w:tc>
          <w:tcPr>
            <w:tcW w:w="2107" w:type="dxa"/>
            <w:gridSpan w:val="2"/>
            <w:tcBorders>
              <w:top w:val="single" w:color="auto" w:sz="4" w:space="0"/>
              <w:left w:val="nil"/>
              <w:bottom w:val="single" w:color="auto" w:sz="4" w:space="0"/>
              <w:right w:val="single" w:color="000000" w:sz="4" w:space="0"/>
            </w:tcBorders>
            <w:noWrap w:val="0"/>
            <w:vAlign w:val="center"/>
          </w:tcPr>
          <w:p w14:paraId="702CB9C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262.28</w:t>
            </w:r>
          </w:p>
        </w:tc>
        <w:tc>
          <w:tcPr>
            <w:tcW w:w="2079" w:type="dxa"/>
            <w:gridSpan w:val="2"/>
            <w:tcBorders>
              <w:top w:val="single" w:color="auto" w:sz="4" w:space="0"/>
              <w:left w:val="nil"/>
              <w:bottom w:val="single" w:color="auto" w:sz="4" w:space="0"/>
              <w:right w:val="single" w:color="000000" w:sz="4" w:space="0"/>
            </w:tcBorders>
            <w:noWrap w:val="0"/>
            <w:vAlign w:val="center"/>
          </w:tcPr>
          <w:p w14:paraId="5C107E7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262.28</w:t>
            </w:r>
          </w:p>
        </w:tc>
      </w:tr>
      <w:tr w14:paraId="3A802BBF">
        <w:tblPrEx>
          <w:tblCellMar>
            <w:top w:w="0" w:type="dxa"/>
            <w:left w:w="108" w:type="dxa"/>
            <w:bottom w:w="0" w:type="dxa"/>
            <w:right w:w="108" w:type="dxa"/>
          </w:tblCellMar>
        </w:tblPrEx>
        <w:trPr>
          <w:trHeight w:val="509" w:hRule="atLeast"/>
          <w:jc w:val="center"/>
        </w:trPr>
        <w:tc>
          <w:tcPr>
            <w:tcW w:w="3067" w:type="dxa"/>
            <w:tcBorders>
              <w:top w:val="nil"/>
              <w:left w:val="single" w:color="auto" w:sz="4" w:space="0"/>
              <w:bottom w:val="single" w:color="auto" w:sz="4" w:space="0"/>
              <w:right w:val="single" w:color="auto" w:sz="4" w:space="0"/>
            </w:tcBorders>
            <w:noWrap w:val="0"/>
            <w:vAlign w:val="center"/>
          </w:tcPr>
          <w:p w14:paraId="24A09A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（3）罗家坳生活垃圾填埋场运维经费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6D182E5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w:t>
            </w:r>
          </w:p>
        </w:tc>
        <w:tc>
          <w:tcPr>
            <w:tcW w:w="2107" w:type="dxa"/>
            <w:gridSpan w:val="2"/>
            <w:tcBorders>
              <w:top w:val="single" w:color="auto" w:sz="4" w:space="0"/>
              <w:left w:val="nil"/>
              <w:bottom w:val="single" w:color="auto" w:sz="4" w:space="0"/>
              <w:right w:val="single" w:color="000000" w:sz="4" w:space="0"/>
            </w:tcBorders>
            <w:noWrap w:val="0"/>
            <w:vAlign w:val="center"/>
          </w:tcPr>
          <w:p w14:paraId="38318B0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105.04</w:t>
            </w:r>
          </w:p>
        </w:tc>
        <w:tc>
          <w:tcPr>
            <w:tcW w:w="2079" w:type="dxa"/>
            <w:gridSpan w:val="2"/>
            <w:tcBorders>
              <w:top w:val="single" w:color="auto" w:sz="4" w:space="0"/>
              <w:left w:val="nil"/>
              <w:bottom w:val="single" w:color="auto" w:sz="4" w:space="0"/>
              <w:right w:val="single" w:color="000000" w:sz="4" w:space="0"/>
            </w:tcBorders>
            <w:noWrap w:val="0"/>
            <w:vAlign w:val="center"/>
          </w:tcPr>
          <w:p w14:paraId="3E96E4F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91.82</w:t>
            </w:r>
          </w:p>
        </w:tc>
      </w:tr>
      <w:tr w14:paraId="22935F17">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1E1B577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61ADBD8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29.79</w:t>
            </w:r>
            <w:r>
              <w:rPr>
                <w:rFonts w:hint="eastAsia" w:ascii="仿宋_GB2312" w:hAnsi="仿宋_GB2312" w:eastAsia="仿宋_GB2312" w:cs="仿宋_GB2312"/>
                <w:sz w:val="20"/>
                <w:szCs w:val="20"/>
                <w:highlight w:val="none"/>
              </w:rPr>
              <w:t>　</w:t>
            </w:r>
          </w:p>
        </w:tc>
        <w:tc>
          <w:tcPr>
            <w:tcW w:w="2107" w:type="dxa"/>
            <w:gridSpan w:val="2"/>
            <w:tcBorders>
              <w:top w:val="single" w:color="auto" w:sz="4" w:space="0"/>
              <w:left w:val="nil"/>
              <w:bottom w:val="single" w:color="auto" w:sz="4" w:space="0"/>
              <w:right w:val="single" w:color="000000" w:sz="4" w:space="0"/>
            </w:tcBorders>
            <w:noWrap w:val="0"/>
            <w:vAlign w:val="center"/>
          </w:tcPr>
          <w:p w14:paraId="683CDBEE">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20.93</w:t>
            </w:r>
          </w:p>
        </w:tc>
        <w:tc>
          <w:tcPr>
            <w:tcW w:w="2079" w:type="dxa"/>
            <w:gridSpan w:val="2"/>
            <w:tcBorders>
              <w:top w:val="single" w:color="auto" w:sz="4" w:space="0"/>
              <w:left w:val="nil"/>
              <w:bottom w:val="single" w:color="auto" w:sz="4" w:space="0"/>
              <w:right w:val="single" w:color="000000" w:sz="4" w:space="0"/>
            </w:tcBorders>
            <w:noWrap w:val="0"/>
            <w:vAlign w:val="center"/>
          </w:tcPr>
          <w:p w14:paraId="44EE0DEB">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20.93</w:t>
            </w:r>
          </w:p>
        </w:tc>
      </w:tr>
      <w:tr w14:paraId="15C4773D">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0BD99A30">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2205" w:type="dxa"/>
            <w:gridSpan w:val="2"/>
            <w:tcBorders>
              <w:top w:val="single" w:color="auto" w:sz="4" w:space="0"/>
              <w:left w:val="nil"/>
              <w:bottom w:val="single" w:color="auto" w:sz="4" w:space="0"/>
              <w:right w:val="single" w:color="000000" w:sz="4" w:space="0"/>
            </w:tcBorders>
            <w:noWrap w:val="0"/>
            <w:vAlign w:val="center"/>
          </w:tcPr>
          <w:p w14:paraId="67C4EADB">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3.34</w:t>
            </w:r>
            <w:r>
              <w:rPr>
                <w:rFonts w:hint="eastAsia" w:ascii="仿宋_GB2312" w:hAnsi="仿宋_GB2312" w:eastAsia="仿宋_GB2312" w:cs="仿宋_GB2312"/>
                <w:color w:val="auto"/>
                <w:sz w:val="20"/>
                <w:szCs w:val="20"/>
                <w:highlight w:val="none"/>
              </w:rPr>
              <w:t>　</w:t>
            </w:r>
          </w:p>
        </w:tc>
        <w:tc>
          <w:tcPr>
            <w:tcW w:w="2107" w:type="dxa"/>
            <w:gridSpan w:val="2"/>
            <w:tcBorders>
              <w:top w:val="single" w:color="auto" w:sz="4" w:space="0"/>
              <w:left w:val="nil"/>
              <w:bottom w:val="single" w:color="auto" w:sz="4" w:space="0"/>
              <w:right w:val="single" w:color="000000" w:sz="4" w:space="0"/>
            </w:tcBorders>
            <w:noWrap w:val="0"/>
            <w:vAlign w:val="center"/>
          </w:tcPr>
          <w:p w14:paraId="439A5A6F">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4.23</w:t>
            </w:r>
          </w:p>
        </w:tc>
        <w:tc>
          <w:tcPr>
            <w:tcW w:w="2079" w:type="dxa"/>
            <w:gridSpan w:val="2"/>
            <w:tcBorders>
              <w:top w:val="single" w:color="auto" w:sz="4" w:space="0"/>
              <w:left w:val="nil"/>
              <w:bottom w:val="single" w:color="auto" w:sz="4" w:space="0"/>
              <w:right w:val="single" w:color="000000" w:sz="4" w:space="0"/>
            </w:tcBorders>
            <w:noWrap w:val="0"/>
            <w:vAlign w:val="center"/>
          </w:tcPr>
          <w:p w14:paraId="1473F899">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4.23</w:t>
            </w:r>
          </w:p>
        </w:tc>
      </w:tr>
      <w:tr w14:paraId="69D48F7E">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0119315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205" w:type="dxa"/>
            <w:gridSpan w:val="2"/>
            <w:tcBorders>
              <w:top w:val="single" w:color="auto" w:sz="4" w:space="0"/>
              <w:left w:val="nil"/>
              <w:bottom w:val="single" w:color="auto" w:sz="4" w:space="0"/>
              <w:right w:val="single" w:color="000000" w:sz="4" w:space="0"/>
            </w:tcBorders>
            <w:noWrap w:val="0"/>
            <w:vAlign w:val="center"/>
          </w:tcPr>
          <w:p w14:paraId="48EA24D0">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highlight w:val="none"/>
                <w:lang w:val="en-US" w:eastAsia="zh-CN"/>
              </w:rPr>
              <w:t>1.08</w:t>
            </w:r>
            <w:r>
              <w:rPr>
                <w:rFonts w:hint="eastAsia" w:ascii="仿宋_GB2312" w:hAnsi="仿宋_GB2312" w:eastAsia="仿宋_GB2312" w:cs="仿宋_GB2312"/>
                <w:color w:val="auto"/>
                <w:sz w:val="20"/>
                <w:szCs w:val="20"/>
                <w:highlight w:val="none"/>
              </w:rPr>
              <w:t>　</w:t>
            </w:r>
          </w:p>
        </w:tc>
        <w:tc>
          <w:tcPr>
            <w:tcW w:w="2107" w:type="dxa"/>
            <w:gridSpan w:val="2"/>
            <w:tcBorders>
              <w:top w:val="single" w:color="auto" w:sz="4" w:space="0"/>
              <w:left w:val="nil"/>
              <w:bottom w:val="single" w:color="auto" w:sz="4" w:space="0"/>
              <w:right w:val="single" w:color="000000" w:sz="4" w:space="0"/>
            </w:tcBorders>
            <w:noWrap w:val="0"/>
            <w:vAlign w:val="center"/>
          </w:tcPr>
          <w:p w14:paraId="22E1327A">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3.17</w:t>
            </w:r>
          </w:p>
        </w:tc>
        <w:tc>
          <w:tcPr>
            <w:tcW w:w="2079" w:type="dxa"/>
            <w:gridSpan w:val="2"/>
            <w:tcBorders>
              <w:top w:val="single" w:color="auto" w:sz="4" w:space="0"/>
              <w:left w:val="nil"/>
              <w:bottom w:val="single" w:color="auto" w:sz="4" w:space="0"/>
              <w:right w:val="single" w:color="000000" w:sz="4" w:space="0"/>
            </w:tcBorders>
            <w:noWrap w:val="0"/>
            <w:vAlign w:val="center"/>
          </w:tcPr>
          <w:p w14:paraId="424BA7B1">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3.17</w:t>
            </w:r>
          </w:p>
        </w:tc>
      </w:tr>
      <w:tr w14:paraId="527AAC77">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71FFECF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205" w:type="dxa"/>
            <w:gridSpan w:val="2"/>
            <w:tcBorders>
              <w:top w:val="single" w:color="auto" w:sz="4" w:space="0"/>
              <w:left w:val="nil"/>
              <w:bottom w:val="single" w:color="auto" w:sz="4" w:space="0"/>
              <w:right w:val="single" w:color="000000" w:sz="4" w:space="0"/>
            </w:tcBorders>
            <w:noWrap w:val="0"/>
            <w:vAlign w:val="center"/>
          </w:tcPr>
          <w:p w14:paraId="657028BA">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c>
          <w:tcPr>
            <w:tcW w:w="2107" w:type="dxa"/>
            <w:gridSpan w:val="2"/>
            <w:tcBorders>
              <w:top w:val="single" w:color="auto" w:sz="4" w:space="0"/>
              <w:left w:val="nil"/>
              <w:bottom w:val="single" w:color="auto" w:sz="4" w:space="0"/>
              <w:right w:val="single" w:color="000000" w:sz="4" w:space="0"/>
            </w:tcBorders>
            <w:noWrap w:val="0"/>
            <w:vAlign w:val="center"/>
          </w:tcPr>
          <w:p w14:paraId="563573C1">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w:t>
            </w:r>
          </w:p>
        </w:tc>
        <w:tc>
          <w:tcPr>
            <w:tcW w:w="2079" w:type="dxa"/>
            <w:gridSpan w:val="2"/>
            <w:tcBorders>
              <w:top w:val="single" w:color="auto" w:sz="4" w:space="0"/>
              <w:left w:val="nil"/>
              <w:bottom w:val="single" w:color="auto" w:sz="4" w:space="0"/>
              <w:right w:val="single" w:color="000000" w:sz="4" w:space="0"/>
            </w:tcBorders>
            <w:noWrap w:val="0"/>
            <w:vAlign w:val="center"/>
          </w:tcPr>
          <w:p w14:paraId="2FF3E8CC">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w:t>
            </w:r>
          </w:p>
        </w:tc>
      </w:tr>
      <w:tr w14:paraId="61C036DA">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06D0BEC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205" w:type="dxa"/>
            <w:gridSpan w:val="2"/>
            <w:tcBorders>
              <w:top w:val="single" w:color="auto" w:sz="4" w:space="0"/>
              <w:left w:val="nil"/>
              <w:bottom w:val="single" w:color="auto" w:sz="4" w:space="0"/>
              <w:right w:val="single" w:color="000000" w:sz="4" w:space="0"/>
            </w:tcBorders>
            <w:noWrap w:val="0"/>
            <w:vAlign w:val="center"/>
          </w:tcPr>
          <w:p w14:paraId="1802CEA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107" w:type="dxa"/>
            <w:gridSpan w:val="2"/>
            <w:tcBorders>
              <w:top w:val="single" w:color="auto" w:sz="4" w:space="0"/>
              <w:left w:val="nil"/>
              <w:bottom w:val="single" w:color="auto" w:sz="4" w:space="0"/>
              <w:right w:val="single" w:color="000000" w:sz="4" w:space="0"/>
            </w:tcBorders>
            <w:noWrap w:val="0"/>
            <w:vAlign w:val="center"/>
          </w:tcPr>
          <w:p w14:paraId="34DFA58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1301.29</w:t>
            </w:r>
          </w:p>
        </w:tc>
        <w:tc>
          <w:tcPr>
            <w:tcW w:w="2079" w:type="dxa"/>
            <w:gridSpan w:val="2"/>
            <w:tcBorders>
              <w:top w:val="single" w:color="auto" w:sz="4" w:space="0"/>
              <w:left w:val="nil"/>
              <w:bottom w:val="single" w:color="auto" w:sz="4" w:space="0"/>
              <w:right w:val="single" w:color="000000" w:sz="4" w:space="0"/>
            </w:tcBorders>
            <w:noWrap w:val="0"/>
            <w:vAlign w:val="center"/>
          </w:tcPr>
          <w:p w14:paraId="79F549A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354.03</w:t>
            </w:r>
          </w:p>
        </w:tc>
      </w:tr>
      <w:tr w14:paraId="79355EBD">
        <w:tblPrEx>
          <w:tblCellMar>
            <w:top w:w="0" w:type="dxa"/>
            <w:left w:w="108" w:type="dxa"/>
            <w:bottom w:w="0" w:type="dxa"/>
            <w:right w:w="108" w:type="dxa"/>
          </w:tblCellMar>
        </w:tblPrEx>
        <w:trPr>
          <w:trHeight w:val="394" w:hRule="atLeast"/>
          <w:jc w:val="center"/>
        </w:trPr>
        <w:tc>
          <w:tcPr>
            <w:tcW w:w="3067" w:type="dxa"/>
            <w:tcBorders>
              <w:top w:val="nil"/>
              <w:left w:val="single" w:color="auto" w:sz="4" w:space="0"/>
              <w:bottom w:val="single" w:color="auto" w:sz="4" w:space="0"/>
              <w:right w:val="single" w:color="auto" w:sz="4" w:space="0"/>
            </w:tcBorders>
            <w:noWrap w:val="0"/>
            <w:vAlign w:val="center"/>
          </w:tcPr>
          <w:p w14:paraId="337ECFA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205" w:type="dxa"/>
            <w:gridSpan w:val="2"/>
            <w:tcBorders>
              <w:top w:val="single" w:color="auto" w:sz="4" w:space="0"/>
              <w:left w:val="nil"/>
              <w:bottom w:val="single" w:color="auto" w:sz="4" w:space="0"/>
              <w:right w:val="single" w:color="000000" w:sz="4" w:space="0"/>
            </w:tcBorders>
            <w:noWrap w:val="0"/>
            <w:vAlign w:val="center"/>
          </w:tcPr>
          <w:p w14:paraId="1748C80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107" w:type="dxa"/>
            <w:gridSpan w:val="2"/>
            <w:tcBorders>
              <w:top w:val="single" w:color="auto" w:sz="4" w:space="0"/>
              <w:left w:val="nil"/>
              <w:bottom w:val="single" w:color="auto" w:sz="4" w:space="0"/>
              <w:right w:val="single" w:color="000000" w:sz="4" w:space="0"/>
            </w:tcBorders>
            <w:noWrap w:val="0"/>
            <w:vAlign w:val="center"/>
          </w:tcPr>
          <w:p w14:paraId="3EF032F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276.37</w:t>
            </w:r>
          </w:p>
        </w:tc>
        <w:tc>
          <w:tcPr>
            <w:tcW w:w="2079" w:type="dxa"/>
            <w:gridSpan w:val="2"/>
            <w:tcBorders>
              <w:top w:val="single" w:color="auto" w:sz="4" w:space="0"/>
              <w:left w:val="nil"/>
              <w:bottom w:val="single" w:color="auto" w:sz="4" w:space="0"/>
              <w:right w:val="single" w:color="000000" w:sz="4" w:space="0"/>
            </w:tcBorders>
            <w:noWrap w:val="0"/>
            <w:vAlign w:val="center"/>
          </w:tcPr>
          <w:p w14:paraId="5E21B51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259.96</w:t>
            </w:r>
          </w:p>
        </w:tc>
      </w:tr>
      <w:tr w14:paraId="2BBAB3AC">
        <w:tblPrEx>
          <w:tblCellMar>
            <w:top w:w="0" w:type="dxa"/>
            <w:left w:w="108" w:type="dxa"/>
            <w:bottom w:w="0" w:type="dxa"/>
            <w:right w:w="108" w:type="dxa"/>
          </w:tblCellMar>
        </w:tblPrEx>
        <w:trPr>
          <w:trHeight w:val="611" w:hRule="atLeast"/>
          <w:jc w:val="center"/>
        </w:trPr>
        <w:tc>
          <w:tcPr>
            <w:tcW w:w="3067" w:type="dxa"/>
            <w:vMerge w:val="restart"/>
            <w:tcBorders>
              <w:top w:val="nil"/>
              <w:left w:val="single" w:color="auto" w:sz="4" w:space="0"/>
              <w:bottom w:val="single" w:color="auto" w:sz="4" w:space="0"/>
              <w:right w:val="single" w:color="auto" w:sz="4" w:space="0"/>
            </w:tcBorders>
            <w:noWrap w:val="0"/>
            <w:vAlign w:val="center"/>
          </w:tcPr>
          <w:p w14:paraId="17FD848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373" w:type="dxa"/>
            <w:tcBorders>
              <w:top w:val="nil"/>
              <w:left w:val="nil"/>
              <w:bottom w:val="single" w:color="auto" w:sz="4" w:space="0"/>
              <w:right w:val="single" w:color="auto" w:sz="4" w:space="0"/>
            </w:tcBorders>
            <w:noWrap w:val="0"/>
            <w:vAlign w:val="center"/>
          </w:tcPr>
          <w:p w14:paraId="6F0842A8">
            <w:pPr>
              <w:widowControl/>
              <w:spacing w:line="24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32" w:type="dxa"/>
            <w:tcBorders>
              <w:top w:val="nil"/>
              <w:left w:val="nil"/>
              <w:bottom w:val="single" w:color="auto" w:sz="4" w:space="0"/>
              <w:right w:val="single" w:color="auto" w:sz="4" w:space="0"/>
            </w:tcBorders>
            <w:noWrap w:val="0"/>
            <w:vAlign w:val="center"/>
          </w:tcPr>
          <w:p w14:paraId="3D007B65">
            <w:pPr>
              <w:widowControl/>
              <w:spacing w:line="24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911" w:type="dxa"/>
            <w:tcBorders>
              <w:top w:val="nil"/>
              <w:left w:val="nil"/>
              <w:bottom w:val="single" w:color="auto" w:sz="4" w:space="0"/>
              <w:right w:val="single" w:color="auto" w:sz="4" w:space="0"/>
            </w:tcBorders>
            <w:noWrap w:val="0"/>
            <w:vAlign w:val="center"/>
          </w:tcPr>
          <w:p w14:paraId="2DBC5E7C">
            <w:pPr>
              <w:widowControl/>
              <w:spacing w:line="24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96" w:type="dxa"/>
            <w:tcBorders>
              <w:top w:val="nil"/>
              <w:left w:val="nil"/>
              <w:bottom w:val="single" w:color="auto" w:sz="4" w:space="0"/>
              <w:right w:val="single" w:color="auto" w:sz="4" w:space="0"/>
            </w:tcBorders>
            <w:noWrap w:val="0"/>
            <w:vAlign w:val="center"/>
          </w:tcPr>
          <w:p w14:paraId="043AC9D6">
            <w:pPr>
              <w:widowControl/>
              <w:spacing w:line="24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94" w:type="dxa"/>
            <w:tcBorders>
              <w:top w:val="nil"/>
              <w:left w:val="nil"/>
              <w:bottom w:val="single" w:color="auto" w:sz="4" w:space="0"/>
              <w:right w:val="single" w:color="auto" w:sz="4" w:space="0"/>
            </w:tcBorders>
            <w:noWrap w:val="0"/>
            <w:vAlign w:val="center"/>
          </w:tcPr>
          <w:p w14:paraId="72DBD086">
            <w:pPr>
              <w:widowControl/>
              <w:spacing w:line="24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85" w:type="dxa"/>
            <w:tcBorders>
              <w:top w:val="nil"/>
              <w:left w:val="nil"/>
              <w:bottom w:val="single" w:color="auto" w:sz="4" w:space="0"/>
              <w:right w:val="single" w:color="auto" w:sz="4" w:space="0"/>
            </w:tcBorders>
            <w:noWrap w:val="0"/>
            <w:vAlign w:val="center"/>
          </w:tcPr>
          <w:p w14:paraId="56514EA3">
            <w:pPr>
              <w:widowControl/>
              <w:spacing w:line="24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05B22942">
        <w:tblPrEx>
          <w:tblCellMar>
            <w:top w:w="0" w:type="dxa"/>
            <w:left w:w="108" w:type="dxa"/>
            <w:bottom w:w="0" w:type="dxa"/>
            <w:right w:w="108" w:type="dxa"/>
          </w:tblCellMar>
        </w:tblPrEx>
        <w:trPr>
          <w:trHeight w:val="394" w:hRule="atLeast"/>
          <w:jc w:val="center"/>
        </w:trPr>
        <w:tc>
          <w:tcPr>
            <w:tcW w:w="3067" w:type="dxa"/>
            <w:vMerge w:val="continue"/>
            <w:tcBorders>
              <w:top w:val="nil"/>
              <w:left w:val="single" w:color="auto" w:sz="4" w:space="0"/>
              <w:bottom w:val="single" w:color="auto" w:sz="4" w:space="0"/>
              <w:right w:val="single" w:color="auto" w:sz="4" w:space="0"/>
            </w:tcBorders>
            <w:noWrap w:val="0"/>
            <w:vAlign w:val="center"/>
          </w:tcPr>
          <w:p w14:paraId="141BC5B4">
            <w:pPr>
              <w:widowControl/>
              <w:spacing w:line="360" w:lineRule="exact"/>
              <w:jc w:val="left"/>
              <w:rPr>
                <w:rFonts w:hint="eastAsia" w:ascii="仿宋_GB2312" w:hAnsi="仿宋_GB2312" w:eastAsia="仿宋_GB2312" w:cs="仿宋_GB2312"/>
                <w:sz w:val="20"/>
                <w:szCs w:val="20"/>
                <w:highlight w:val="none"/>
              </w:rPr>
            </w:pPr>
          </w:p>
        </w:tc>
        <w:tc>
          <w:tcPr>
            <w:tcW w:w="1373" w:type="dxa"/>
            <w:tcBorders>
              <w:top w:val="nil"/>
              <w:left w:val="nil"/>
              <w:bottom w:val="single" w:color="auto" w:sz="4" w:space="0"/>
              <w:right w:val="single" w:color="auto" w:sz="4" w:space="0"/>
            </w:tcBorders>
            <w:noWrap w:val="0"/>
            <w:vAlign w:val="center"/>
          </w:tcPr>
          <w:p w14:paraId="3D66961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32" w:type="dxa"/>
            <w:tcBorders>
              <w:top w:val="nil"/>
              <w:left w:val="nil"/>
              <w:bottom w:val="single" w:color="auto" w:sz="4" w:space="0"/>
              <w:right w:val="single" w:color="auto" w:sz="4" w:space="0"/>
            </w:tcBorders>
            <w:noWrap w:val="0"/>
            <w:vAlign w:val="center"/>
          </w:tcPr>
          <w:p w14:paraId="40B4DDDC">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11" w:type="dxa"/>
            <w:tcBorders>
              <w:top w:val="nil"/>
              <w:left w:val="nil"/>
              <w:bottom w:val="single" w:color="auto" w:sz="4" w:space="0"/>
              <w:right w:val="single" w:color="auto" w:sz="4" w:space="0"/>
            </w:tcBorders>
            <w:noWrap w:val="0"/>
            <w:vAlign w:val="center"/>
          </w:tcPr>
          <w:p w14:paraId="4BAD0E42">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96" w:type="dxa"/>
            <w:tcBorders>
              <w:top w:val="nil"/>
              <w:left w:val="nil"/>
              <w:bottom w:val="single" w:color="auto" w:sz="4" w:space="0"/>
              <w:right w:val="single" w:color="auto" w:sz="4" w:space="0"/>
            </w:tcBorders>
            <w:noWrap w:val="0"/>
            <w:vAlign w:val="center"/>
          </w:tcPr>
          <w:p w14:paraId="2611A227">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94" w:type="dxa"/>
            <w:tcBorders>
              <w:top w:val="nil"/>
              <w:left w:val="nil"/>
              <w:bottom w:val="single" w:color="auto" w:sz="4" w:space="0"/>
              <w:right w:val="single" w:color="auto" w:sz="4" w:space="0"/>
            </w:tcBorders>
            <w:noWrap w:val="0"/>
            <w:vAlign w:val="center"/>
          </w:tcPr>
          <w:p w14:paraId="0F6A76D2">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85" w:type="dxa"/>
            <w:tcBorders>
              <w:top w:val="nil"/>
              <w:left w:val="nil"/>
              <w:bottom w:val="single" w:color="auto" w:sz="4" w:space="0"/>
              <w:right w:val="single" w:color="auto" w:sz="4" w:space="0"/>
            </w:tcBorders>
            <w:noWrap w:val="0"/>
            <w:vAlign w:val="center"/>
          </w:tcPr>
          <w:p w14:paraId="70E881DA">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14:paraId="527F8B2E">
        <w:tblPrEx>
          <w:tblCellMar>
            <w:top w:w="0" w:type="dxa"/>
            <w:left w:w="108" w:type="dxa"/>
            <w:bottom w:w="0" w:type="dxa"/>
            <w:right w:w="108" w:type="dxa"/>
          </w:tblCellMar>
        </w:tblPrEx>
        <w:trPr>
          <w:trHeight w:val="1622" w:hRule="atLeast"/>
          <w:jc w:val="center"/>
        </w:trPr>
        <w:tc>
          <w:tcPr>
            <w:tcW w:w="3067" w:type="dxa"/>
            <w:tcBorders>
              <w:top w:val="nil"/>
              <w:left w:val="single" w:color="auto" w:sz="4" w:space="0"/>
              <w:bottom w:val="single" w:color="auto" w:sz="4" w:space="0"/>
              <w:right w:val="single" w:color="auto" w:sz="4" w:space="0"/>
            </w:tcBorders>
            <w:noWrap w:val="0"/>
            <w:vAlign w:val="center"/>
          </w:tcPr>
          <w:p w14:paraId="183E369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91" w:type="dxa"/>
            <w:gridSpan w:val="6"/>
            <w:tcBorders>
              <w:top w:val="single" w:color="auto" w:sz="4" w:space="0"/>
              <w:left w:val="nil"/>
              <w:bottom w:val="single" w:color="auto" w:sz="4" w:space="0"/>
              <w:right w:val="single" w:color="000000" w:sz="4" w:space="0"/>
            </w:tcBorders>
            <w:noWrap w:val="0"/>
            <w:vAlign w:val="center"/>
          </w:tcPr>
          <w:p w14:paraId="1064995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严格按单位财务管理制度和内控管理制度，</w:t>
            </w:r>
            <w:r>
              <w:rPr>
                <w:rFonts w:hint="eastAsia" w:ascii="仿宋_GB2312" w:hAnsi="仿宋_GB2312" w:eastAsia="仿宋_GB2312" w:cs="仿宋_GB2312"/>
                <w:color w:val="auto"/>
                <w:sz w:val="20"/>
                <w:szCs w:val="20"/>
                <w:highlight w:val="none"/>
                <w:lang w:val="en-US" w:eastAsia="zh-CN"/>
              </w:rPr>
              <w:t>加强内部控制与管理以及资金支出绩效管理：1、</w:t>
            </w:r>
            <w:r>
              <w:rPr>
                <w:rFonts w:hint="eastAsia" w:ascii="仿宋_GB2312" w:hAnsi="仿宋_GB2312" w:eastAsia="仿宋_GB2312" w:cs="仿宋_GB2312"/>
                <w:color w:val="auto"/>
                <w:sz w:val="20"/>
                <w:szCs w:val="20"/>
                <w:highlight w:val="none"/>
              </w:rPr>
              <w:t>压缩“一般性财政支出”，严控“三公经费”</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bCs/>
                <w:sz w:val="20"/>
                <w:szCs w:val="20"/>
                <w:highlight w:val="none"/>
                <w:lang w:val="en-US" w:eastAsia="zh-CN"/>
              </w:rPr>
              <w:t>2、</w:t>
            </w:r>
            <w:r>
              <w:rPr>
                <w:rFonts w:hint="eastAsia" w:ascii="仿宋_GB2312" w:hAnsi="仿宋_GB2312" w:eastAsia="仿宋_GB2312" w:cs="仿宋_GB2312"/>
                <w:spacing w:val="6"/>
                <w:kern w:val="0"/>
                <w:sz w:val="20"/>
                <w:szCs w:val="20"/>
                <w:lang w:val="en-US" w:eastAsia="zh-CN"/>
              </w:rPr>
              <w:t>费用支出</w:t>
            </w:r>
            <w:r>
              <w:rPr>
                <w:rFonts w:hint="eastAsia" w:ascii="仿宋_GB2312" w:hAnsi="仿宋_GB2312" w:eastAsia="仿宋_GB2312" w:cs="仿宋_GB2312"/>
                <w:bCs/>
                <w:sz w:val="20"/>
                <w:szCs w:val="20"/>
                <w:highlight w:val="none"/>
                <w:lang w:val="en-US" w:eastAsia="zh-CN"/>
              </w:rPr>
              <w:t>按照“先报再审后用”的原则</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lang w:val="en-US" w:eastAsia="zh-CN"/>
              </w:rPr>
              <w:t>3、加强事前绩效管理，各项目支出采取先定事，再确定支出规模的方式，确保资金支出绩效。4、</w:t>
            </w:r>
            <w:r>
              <w:rPr>
                <w:rFonts w:hint="eastAsia" w:ascii="仿宋_GB2312" w:hAnsi="仿宋_GB2312" w:eastAsia="仿宋_GB2312" w:cs="仿宋_GB2312"/>
                <w:bCs/>
                <w:sz w:val="20"/>
                <w:szCs w:val="20"/>
                <w:highlight w:val="none"/>
                <w:lang w:val="en-US" w:eastAsia="zh-CN"/>
              </w:rPr>
              <w:t>开展“三资”清查和资产盘点工作，按照厉行节约、物尽其用的原则，资产管理采取统一建帐、统一核算管理，对每件固定资产使用明确保管职责，闲置的资产，由办公室统一调整，合理流动，发挥其效益。</w:t>
            </w:r>
            <w:r>
              <w:rPr>
                <w:rFonts w:hint="eastAsia" w:ascii="仿宋_GB2312" w:hAnsi="仿宋_GB2312" w:eastAsia="仿宋_GB2312" w:cs="仿宋_GB2312"/>
                <w:sz w:val="20"/>
                <w:szCs w:val="20"/>
                <w:highlight w:val="none"/>
              </w:rPr>
              <w:t>　</w:t>
            </w:r>
          </w:p>
        </w:tc>
      </w:tr>
    </w:tbl>
    <w:p w14:paraId="3E52CC34">
      <w:pPr>
        <w:widowControl/>
        <w:spacing w:after="0" w:afterLines="0" w:line="400" w:lineRule="exact"/>
        <w:jc w:val="both"/>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4"/>
          <w:szCs w:val="24"/>
          <w:highlight w:val="none"/>
          <w:lang w:val="en-US" w:eastAsia="zh-CN"/>
        </w:rPr>
        <w:t>范青华</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2025.6.15</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8855680</w:t>
      </w:r>
      <w:r>
        <w:rPr>
          <w:rFonts w:hint="default" w:ascii="Times New Roman" w:hAnsi="Times New Roman" w:eastAsia="仿宋_GB2312" w:cs="Times New Roman"/>
          <w:sz w:val="22"/>
          <w:highlight w:val="none"/>
        </w:rPr>
        <w:t xml:space="preserve"> 单位负责人：</w:t>
      </w:r>
      <w:r>
        <w:rPr>
          <w:rFonts w:hint="eastAsia" w:ascii="Times New Roman" w:hAnsi="Times New Roman" w:eastAsia="仿宋_GB2312" w:cs="Times New Roman"/>
          <w:sz w:val="22"/>
          <w:highlight w:val="none"/>
          <w:lang w:val="en-US" w:eastAsia="zh-CN"/>
        </w:rPr>
        <w:t>何红奎</w:t>
      </w:r>
      <w:bookmarkStart w:id="0" w:name="_GoBack"/>
      <w:bookmarkEnd w:id="0"/>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16E9C21F">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9419" w:type="dxa"/>
        <w:jc w:val="center"/>
        <w:tblLayout w:type="fixed"/>
        <w:tblCellMar>
          <w:top w:w="0" w:type="dxa"/>
          <w:left w:w="108" w:type="dxa"/>
          <w:bottom w:w="0" w:type="dxa"/>
          <w:right w:w="108" w:type="dxa"/>
        </w:tblCellMar>
      </w:tblPr>
      <w:tblGrid>
        <w:gridCol w:w="807"/>
        <w:gridCol w:w="968"/>
        <w:gridCol w:w="1069"/>
        <w:gridCol w:w="1556"/>
        <w:gridCol w:w="1044"/>
        <w:gridCol w:w="939"/>
        <w:gridCol w:w="657"/>
        <w:gridCol w:w="974"/>
        <w:gridCol w:w="1405"/>
      </w:tblGrid>
      <w:tr w14:paraId="6AC89FD4">
        <w:tblPrEx>
          <w:tblCellMar>
            <w:top w:w="0" w:type="dxa"/>
            <w:left w:w="108" w:type="dxa"/>
            <w:bottom w:w="0" w:type="dxa"/>
            <w:right w:w="108" w:type="dxa"/>
          </w:tblCellMar>
        </w:tblPrEx>
        <w:trPr>
          <w:cantSplit/>
          <w:trHeight w:val="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7038F0C3">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市</w:t>
            </w:r>
            <w:r>
              <w:rPr>
                <w:rFonts w:hint="eastAsia" w:ascii="仿宋_GB2312" w:hAnsi="仿宋_GB2312" w:eastAsia="仿宋_GB2312" w:cs="仿宋_GB2312"/>
                <w:color w:val="000000"/>
                <w:sz w:val="24"/>
                <w:szCs w:val="24"/>
                <w:highlight w:val="none"/>
              </w:rPr>
              <w:t>级预算部门名称</w:t>
            </w:r>
          </w:p>
        </w:tc>
        <w:tc>
          <w:tcPr>
            <w:tcW w:w="8612" w:type="dxa"/>
            <w:gridSpan w:val="8"/>
            <w:tcBorders>
              <w:top w:val="single" w:color="auto" w:sz="4" w:space="0"/>
              <w:left w:val="nil"/>
              <w:bottom w:val="single" w:color="auto" w:sz="4" w:space="0"/>
              <w:right w:val="single" w:color="auto" w:sz="4" w:space="0"/>
            </w:tcBorders>
            <w:noWrap w:val="0"/>
            <w:vAlign w:val="center"/>
          </w:tcPr>
          <w:p w14:paraId="0D1A79EF">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岳阳市固体废物处置服务中心</w:t>
            </w:r>
            <w:r>
              <w:rPr>
                <w:rFonts w:hint="eastAsia" w:ascii="仿宋_GB2312" w:hAnsi="仿宋_GB2312" w:eastAsia="仿宋_GB2312" w:cs="仿宋_GB2312"/>
                <w:color w:val="000000"/>
                <w:sz w:val="24"/>
                <w:szCs w:val="24"/>
                <w:highlight w:val="none"/>
              </w:rPr>
              <w:t>　</w:t>
            </w:r>
          </w:p>
        </w:tc>
      </w:tr>
      <w:tr w14:paraId="226D6541">
        <w:tblPrEx>
          <w:tblCellMar>
            <w:top w:w="0" w:type="dxa"/>
            <w:left w:w="108" w:type="dxa"/>
            <w:bottom w:w="0" w:type="dxa"/>
            <w:right w:w="108" w:type="dxa"/>
          </w:tblCellMar>
        </w:tblPrEx>
        <w:trPr>
          <w:cantSplit/>
          <w:trHeight w:val="0" w:hRule="atLeast"/>
          <w:jc w:val="center"/>
        </w:trPr>
        <w:tc>
          <w:tcPr>
            <w:tcW w:w="807" w:type="dxa"/>
            <w:vMerge w:val="restart"/>
            <w:tcBorders>
              <w:top w:val="nil"/>
              <w:left w:val="single" w:color="auto" w:sz="4" w:space="0"/>
              <w:right w:val="single" w:color="auto" w:sz="4" w:space="0"/>
            </w:tcBorders>
            <w:noWrap w:val="0"/>
            <w:vAlign w:val="center"/>
          </w:tcPr>
          <w:p w14:paraId="3D8E86A8">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年度预</w:t>
            </w:r>
          </w:p>
          <w:p w14:paraId="63473360">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算申请</w:t>
            </w:r>
            <w:r>
              <w:rPr>
                <w:rFonts w:hint="eastAsia" w:ascii="仿宋_GB2312" w:hAnsi="仿宋_GB2312" w:eastAsia="仿宋_GB2312" w:cs="仿宋_GB2312"/>
                <w:color w:val="000000"/>
                <w:sz w:val="24"/>
                <w:szCs w:val="24"/>
                <w:highlight w:val="none"/>
              </w:rPr>
              <w:br w:type="textWrapping"/>
            </w:r>
            <w:r>
              <w:rPr>
                <w:rFonts w:hint="eastAsia" w:ascii="仿宋_GB2312" w:hAnsi="仿宋_GB2312" w:eastAsia="仿宋_GB2312" w:cs="仿宋_GB2312"/>
                <w:color w:val="000000"/>
                <w:sz w:val="24"/>
                <w:szCs w:val="24"/>
                <w:highlight w:val="none"/>
              </w:rPr>
              <w:t>（万元）</w:t>
            </w:r>
          </w:p>
        </w:tc>
        <w:tc>
          <w:tcPr>
            <w:tcW w:w="2037" w:type="dxa"/>
            <w:gridSpan w:val="2"/>
            <w:tcBorders>
              <w:top w:val="nil"/>
              <w:left w:val="nil"/>
              <w:bottom w:val="single" w:color="auto" w:sz="4" w:space="0"/>
              <w:right w:val="single" w:color="auto" w:sz="4" w:space="0"/>
            </w:tcBorders>
            <w:noWrap w:val="0"/>
            <w:vAlign w:val="center"/>
          </w:tcPr>
          <w:p w14:paraId="4E989F71">
            <w:pPr>
              <w:spacing w:line="240" w:lineRule="exact"/>
              <w:jc w:val="center"/>
              <w:rPr>
                <w:rFonts w:hint="eastAsia" w:ascii="仿宋_GB2312" w:hAnsi="仿宋_GB2312" w:eastAsia="仿宋_GB2312" w:cs="仿宋_GB2312"/>
                <w:sz w:val="24"/>
                <w:szCs w:val="24"/>
                <w:highlight w:val="none"/>
              </w:rPr>
            </w:pPr>
          </w:p>
        </w:tc>
        <w:tc>
          <w:tcPr>
            <w:tcW w:w="1556" w:type="dxa"/>
            <w:tcBorders>
              <w:top w:val="nil"/>
              <w:left w:val="nil"/>
              <w:bottom w:val="single" w:color="auto" w:sz="4" w:space="0"/>
              <w:right w:val="single" w:color="auto" w:sz="4" w:space="0"/>
            </w:tcBorders>
            <w:noWrap w:val="0"/>
            <w:vAlign w:val="center"/>
          </w:tcPr>
          <w:p w14:paraId="26C7A2FC">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年初预算数</w:t>
            </w:r>
          </w:p>
        </w:tc>
        <w:tc>
          <w:tcPr>
            <w:tcW w:w="1044" w:type="dxa"/>
            <w:tcBorders>
              <w:top w:val="nil"/>
              <w:left w:val="nil"/>
              <w:bottom w:val="single" w:color="auto" w:sz="4" w:space="0"/>
              <w:right w:val="single" w:color="auto" w:sz="4" w:space="0"/>
            </w:tcBorders>
            <w:noWrap w:val="0"/>
            <w:vAlign w:val="center"/>
          </w:tcPr>
          <w:p w14:paraId="3E68FB25">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全年预算数</w:t>
            </w:r>
          </w:p>
        </w:tc>
        <w:tc>
          <w:tcPr>
            <w:tcW w:w="939" w:type="dxa"/>
            <w:tcBorders>
              <w:top w:val="nil"/>
              <w:left w:val="nil"/>
              <w:bottom w:val="single" w:color="auto" w:sz="4" w:space="0"/>
              <w:right w:val="single" w:color="auto" w:sz="4" w:space="0"/>
            </w:tcBorders>
            <w:noWrap w:val="0"/>
            <w:vAlign w:val="center"/>
          </w:tcPr>
          <w:p w14:paraId="06AFFEF2">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全年执行数</w:t>
            </w:r>
          </w:p>
        </w:tc>
        <w:tc>
          <w:tcPr>
            <w:tcW w:w="657" w:type="dxa"/>
            <w:tcBorders>
              <w:top w:val="nil"/>
              <w:left w:val="nil"/>
              <w:bottom w:val="single" w:color="auto" w:sz="4" w:space="0"/>
              <w:right w:val="single" w:color="auto" w:sz="4" w:space="0"/>
            </w:tcBorders>
            <w:noWrap w:val="0"/>
            <w:vAlign w:val="center"/>
          </w:tcPr>
          <w:p w14:paraId="5AADE5A5">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分值</w:t>
            </w:r>
          </w:p>
        </w:tc>
        <w:tc>
          <w:tcPr>
            <w:tcW w:w="974" w:type="dxa"/>
            <w:tcBorders>
              <w:top w:val="nil"/>
              <w:left w:val="nil"/>
              <w:bottom w:val="single" w:color="auto" w:sz="4" w:space="0"/>
              <w:right w:val="single" w:color="auto" w:sz="4" w:space="0"/>
            </w:tcBorders>
            <w:noWrap w:val="0"/>
            <w:vAlign w:val="center"/>
          </w:tcPr>
          <w:p w14:paraId="1EE85BE9">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执行率</w:t>
            </w:r>
          </w:p>
        </w:tc>
        <w:tc>
          <w:tcPr>
            <w:tcW w:w="1405" w:type="dxa"/>
            <w:tcBorders>
              <w:top w:val="nil"/>
              <w:left w:val="nil"/>
              <w:bottom w:val="single" w:color="auto" w:sz="4" w:space="0"/>
              <w:right w:val="single" w:color="auto" w:sz="4" w:space="0"/>
            </w:tcBorders>
            <w:noWrap w:val="0"/>
            <w:vAlign w:val="center"/>
          </w:tcPr>
          <w:p w14:paraId="49720294">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得分</w:t>
            </w:r>
          </w:p>
        </w:tc>
      </w:tr>
      <w:tr w14:paraId="3763B605">
        <w:tblPrEx>
          <w:tblCellMar>
            <w:top w:w="0" w:type="dxa"/>
            <w:left w:w="108" w:type="dxa"/>
            <w:bottom w:w="0" w:type="dxa"/>
            <w:right w:w="108" w:type="dxa"/>
          </w:tblCellMar>
        </w:tblPrEx>
        <w:trPr>
          <w:cantSplit/>
          <w:trHeight w:val="430" w:hRule="atLeast"/>
          <w:jc w:val="center"/>
        </w:trPr>
        <w:tc>
          <w:tcPr>
            <w:tcW w:w="807" w:type="dxa"/>
            <w:vMerge w:val="continue"/>
            <w:tcBorders>
              <w:top w:val="nil"/>
              <w:left w:val="single" w:color="auto" w:sz="4" w:space="0"/>
              <w:right w:val="single" w:color="auto" w:sz="4" w:space="0"/>
            </w:tcBorders>
            <w:noWrap w:val="0"/>
            <w:vAlign w:val="center"/>
          </w:tcPr>
          <w:p w14:paraId="3E6838C4">
            <w:pPr>
              <w:widowControl/>
              <w:spacing w:line="240" w:lineRule="exact"/>
              <w:jc w:val="center"/>
              <w:rPr>
                <w:rFonts w:hint="eastAsia" w:ascii="仿宋_GB2312" w:hAnsi="仿宋_GB2312" w:eastAsia="仿宋_GB2312" w:cs="仿宋_GB2312"/>
                <w:color w:val="000000"/>
                <w:sz w:val="24"/>
                <w:szCs w:val="24"/>
                <w:highlight w:val="none"/>
              </w:rPr>
            </w:pPr>
          </w:p>
        </w:tc>
        <w:tc>
          <w:tcPr>
            <w:tcW w:w="2037" w:type="dxa"/>
            <w:gridSpan w:val="2"/>
            <w:tcBorders>
              <w:top w:val="nil"/>
              <w:left w:val="nil"/>
              <w:bottom w:val="single" w:color="auto" w:sz="4" w:space="0"/>
              <w:right w:val="single" w:color="auto" w:sz="4" w:space="0"/>
            </w:tcBorders>
            <w:noWrap w:val="0"/>
            <w:vAlign w:val="center"/>
          </w:tcPr>
          <w:p w14:paraId="78CE27BA">
            <w:pPr>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年度资金总额</w:t>
            </w:r>
          </w:p>
        </w:tc>
        <w:tc>
          <w:tcPr>
            <w:tcW w:w="1556" w:type="dxa"/>
            <w:tcBorders>
              <w:top w:val="nil"/>
              <w:left w:val="nil"/>
              <w:bottom w:val="single" w:color="auto" w:sz="4" w:space="0"/>
              <w:right w:val="single" w:color="auto" w:sz="4" w:space="0"/>
            </w:tcBorders>
            <w:noWrap w:val="0"/>
            <w:vAlign w:val="center"/>
          </w:tcPr>
          <w:p w14:paraId="18F49820">
            <w:pPr>
              <w:spacing w:line="2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686.01</w:t>
            </w:r>
          </w:p>
        </w:tc>
        <w:tc>
          <w:tcPr>
            <w:tcW w:w="1044" w:type="dxa"/>
            <w:tcBorders>
              <w:top w:val="nil"/>
              <w:left w:val="nil"/>
              <w:bottom w:val="single" w:color="auto" w:sz="4" w:space="0"/>
              <w:right w:val="single" w:color="auto" w:sz="4" w:space="0"/>
            </w:tcBorders>
            <w:noWrap w:val="0"/>
            <w:vAlign w:val="center"/>
          </w:tcPr>
          <w:p w14:paraId="6842B7B6">
            <w:pPr>
              <w:spacing w:line="2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671.65</w:t>
            </w:r>
          </w:p>
        </w:tc>
        <w:tc>
          <w:tcPr>
            <w:tcW w:w="939" w:type="dxa"/>
            <w:tcBorders>
              <w:top w:val="nil"/>
              <w:left w:val="nil"/>
              <w:bottom w:val="single" w:color="auto" w:sz="4" w:space="0"/>
              <w:right w:val="single" w:color="auto" w:sz="4" w:space="0"/>
            </w:tcBorders>
            <w:noWrap w:val="0"/>
            <w:vAlign w:val="center"/>
          </w:tcPr>
          <w:p w14:paraId="55DFCD71">
            <w:pPr>
              <w:spacing w:line="2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641.96</w:t>
            </w:r>
          </w:p>
        </w:tc>
        <w:tc>
          <w:tcPr>
            <w:tcW w:w="657" w:type="dxa"/>
            <w:tcBorders>
              <w:top w:val="nil"/>
              <w:left w:val="nil"/>
              <w:bottom w:val="single" w:color="auto" w:sz="4" w:space="0"/>
              <w:right w:val="single" w:color="auto" w:sz="4" w:space="0"/>
            </w:tcBorders>
            <w:noWrap w:val="0"/>
            <w:vAlign w:val="center"/>
          </w:tcPr>
          <w:p w14:paraId="5FC89889">
            <w:pPr>
              <w:spacing w:line="24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w:t>
            </w:r>
          </w:p>
        </w:tc>
        <w:tc>
          <w:tcPr>
            <w:tcW w:w="974" w:type="dxa"/>
            <w:tcBorders>
              <w:top w:val="nil"/>
              <w:left w:val="nil"/>
              <w:bottom w:val="single" w:color="auto" w:sz="4" w:space="0"/>
              <w:right w:val="single" w:color="auto" w:sz="4" w:space="0"/>
            </w:tcBorders>
            <w:noWrap w:val="0"/>
            <w:vAlign w:val="center"/>
          </w:tcPr>
          <w:p w14:paraId="2807354D">
            <w:pPr>
              <w:spacing w:line="240" w:lineRule="exact"/>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95.58%</w:t>
            </w:r>
          </w:p>
        </w:tc>
        <w:tc>
          <w:tcPr>
            <w:tcW w:w="1405" w:type="dxa"/>
            <w:tcBorders>
              <w:top w:val="nil"/>
              <w:left w:val="nil"/>
              <w:bottom w:val="single" w:color="auto" w:sz="4" w:space="0"/>
              <w:right w:val="single" w:color="auto" w:sz="4" w:space="0"/>
            </w:tcBorders>
            <w:noWrap w:val="0"/>
            <w:vAlign w:val="center"/>
          </w:tcPr>
          <w:p w14:paraId="6E9EA029">
            <w:pPr>
              <w:spacing w:line="240" w:lineRule="exact"/>
              <w:jc w:val="center"/>
              <w:rPr>
                <w:rFonts w:hint="default" w:ascii="仿宋_GB2312" w:hAnsi="仿宋_GB2312" w:eastAsia="仿宋_GB2312" w:cs="仿宋_GB2312"/>
                <w:color w:val="000000" w:themeColor="text1"/>
                <w:sz w:val="24"/>
                <w:szCs w:val="24"/>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default" w:ascii="仿宋_GB2312" w:hAnsi="仿宋_GB2312" w:eastAsia="仿宋_GB2312" w:cs="仿宋_GB2312"/>
                <w:color w:val="000000" w:themeColor="text1"/>
                <w:sz w:val="24"/>
                <w:szCs w:val="24"/>
                <w:highlight w:val="none"/>
                <w:lang w:val="en" w:eastAsia="zh-CN"/>
                <w14:textFill>
                  <w14:solidFill>
                    <w14:schemeClr w14:val="tx1"/>
                  </w14:solidFill>
                </w14:textFill>
              </w:rPr>
              <w:t>56</w:t>
            </w:r>
          </w:p>
        </w:tc>
      </w:tr>
      <w:tr w14:paraId="7B3C3B87">
        <w:tblPrEx>
          <w:tblCellMar>
            <w:top w:w="0" w:type="dxa"/>
            <w:left w:w="108" w:type="dxa"/>
            <w:bottom w:w="0" w:type="dxa"/>
            <w:right w:w="108" w:type="dxa"/>
          </w:tblCellMar>
        </w:tblPrEx>
        <w:trPr>
          <w:cantSplit/>
          <w:trHeight w:val="385" w:hRule="atLeast"/>
          <w:jc w:val="center"/>
        </w:trPr>
        <w:tc>
          <w:tcPr>
            <w:tcW w:w="807" w:type="dxa"/>
            <w:vMerge w:val="continue"/>
            <w:tcBorders>
              <w:left w:val="single" w:color="auto" w:sz="4" w:space="0"/>
              <w:right w:val="single" w:color="auto" w:sz="4" w:space="0"/>
            </w:tcBorders>
            <w:noWrap w:val="0"/>
            <w:vAlign w:val="center"/>
          </w:tcPr>
          <w:p w14:paraId="30638ECA">
            <w:pPr>
              <w:widowControl/>
              <w:spacing w:line="240" w:lineRule="exact"/>
              <w:jc w:val="left"/>
              <w:rPr>
                <w:rFonts w:hint="eastAsia" w:ascii="仿宋_GB2312" w:hAnsi="仿宋_GB2312" w:eastAsia="仿宋_GB2312" w:cs="仿宋_GB2312"/>
                <w:color w:val="000000"/>
                <w:sz w:val="24"/>
                <w:szCs w:val="24"/>
                <w:highlight w:val="none"/>
              </w:rPr>
            </w:pPr>
          </w:p>
        </w:tc>
        <w:tc>
          <w:tcPr>
            <w:tcW w:w="4637" w:type="dxa"/>
            <w:gridSpan w:val="4"/>
            <w:tcBorders>
              <w:top w:val="nil"/>
              <w:left w:val="nil"/>
              <w:bottom w:val="single" w:color="auto" w:sz="4" w:space="0"/>
              <w:right w:val="single" w:color="auto" w:sz="4" w:space="0"/>
            </w:tcBorders>
            <w:noWrap w:val="0"/>
            <w:vAlign w:val="center"/>
          </w:tcPr>
          <w:p w14:paraId="214AAF06">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按收入性质分：</w:t>
            </w:r>
          </w:p>
        </w:tc>
        <w:tc>
          <w:tcPr>
            <w:tcW w:w="3975" w:type="dxa"/>
            <w:gridSpan w:val="4"/>
            <w:tcBorders>
              <w:top w:val="nil"/>
              <w:left w:val="nil"/>
              <w:bottom w:val="single" w:color="auto" w:sz="4" w:space="0"/>
              <w:right w:val="single" w:color="auto" w:sz="4" w:space="0"/>
            </w:tcBorders>
            <w:noWrap w:val="0"/>
            <w:vAlign w:val="center"/>
          </w:tcPr>
          <w:p w14:paraId="14F29295">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按支出性质分：</w:t>
            </w:r>
          </w:p>
        </w:tc>
      </w:tr>
      <w:tr w14:paraId="6F6D5AE9">
        <w:tblPrEx>
          <w:tblCellMar>
            <w:top w:w="0" w:type="dxa"/>
            <w:left w:w="108" w:type="dxa"/>
            <w:bottom w:w="0" w:type="dxa"/>
            <w:right w:w="108" w:type="dxa"/>
          </w:tblCellMar>
        </w:tblPrEx>
        <w:trPr>
          <w:cantSplit/>
          <w:trHeight w:val="430" w:hRule="atLeast"/>
          <w:jc w:val="center"/>
        </w:trPr>
        <w:tc>
          <w:tcPr>
            <w:tcW w:w="807" w:type="dxa"/>
            <w:vMerge w:val="continue"/>
            <w:tcBorders>
              <w:left w:val="single" w:color="auto" w:sz="4" w:space="0"/>
              <w:right w:val="single" w:color="auto" w:sz="4" w:space="0"/>
            </w:tcBorders>
            <w:noWrap w:val="0"/>
            <w:vAlign w:val="center"/>
          </w:tcPr>
          <w:p w14:paraId="63498C3F">
            <w:pPr>
              <w:widowControl/>
              <w:spacing w:line="240" w:lineRule="exact"/>
              <w:jc w:val="left"/>
              <w:rPr>
                <w:rFonts w:hint="eastAsia" w:ascii="仿宋_GB2312" w:hAnsi="仿宋_GB2312" w:eastAsia="仿宋_GB2312" w:cs="仿宋_GB2312"/>
                <w:color w:val="000000"/>
                <w:sz w:val="24"/>
                <w:szCs w:val="24"/>
                <w:highlight w:val="none"/>
              </w:rPr>
            </w:pPr>
          </w:p>
        </w:tc>
        <w:tc>
          <w:tcPr>
            <w:tcW w:w="4637" w:type="dxa"/>
            <w:gridSpan w:val="4"/>
            <w:tcBorders>
              <w:top w:val="nil"/>
              <w:left w:val="nil"/>
              <w:bottom w:val="single" w:color="auto" w:sz="4" w:space="0"/>
              <w:right w:val="single" w:color="auto" w:sz="4" w:space="0"/>
            </w:tcBorders>
            <w:noWrap w:val="0"/>
            <w:vAlign w:val="center"/>
          </w:tcPr>
          <w:p w14:paraId="1B673F6D">
            <w:pPr>
              <w:widowControl/>
              <w:spacing w:line="240" w:lineRule="exact"/>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 xml:space="preserve">  其中：  一般公共预算：</w:t>
            </w:r>
            <w:r>
              <w:rPr>
                <w:rFonts w:hint="eastAsia" w:ascii="仿宋_GB2312" w:hAnsi="仿宋_GB2312" w:eastAsia="仿宋_GB2312" w:cs="仿宋_GB2312"/>
                <w:color w:val="000000"/>
                <w:sz w:val="24"/>
                <w:szCs w:val="24"/>
                <w:highlight w:val="none"/>
                <w:lang w:val="en-US" w:eastAsia="zh-CN"/>
              </w:rPr>
              <w:t>671.55</w:t>
            </w:r>
          </w:p>
        </w:tc>
        <w:tc>
          <w:tcPr>
            <w:tcW w:w="3975" w:type="dxa"/>
            <w:gridSpan w:val="4"/>
            <w:tcBorders>
              <w:top w:val="nil"/>
              <w:left w:val="nil"/>
              <w:bottom w:val="single" w:color="auto" w:sz="4" w:space="0"/>
              <w:right w:val="single" w:color="auto" w:sz="4" w:space="0"/>
            </w:tcBorders>
            <w:noWrap w:val="0"/>
            <w:vAlign w:val="center"/>
          </w:tcPr>
          <w:p w14:paraId="22943804">
            <w:pPr>
              <w:widowControl/>
              <w:spacing w:line="240" w:lineRule="exact"/>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其中：基本支出：</w:t>
            </w:r>
            <w:r>
              <w:rPr>
                <w:rFonts w:hint="eastAsia" w:ascii="仿宋_GB2312" w:hAnsi="仿宋_GB2312" w:eastAsia="仿宋_GB2312" w:cs="仿宋_GB2312"/>
                <w:color w:val="000000"/>
                <w:sz w:val="24"/>
                <w:szCs w:val="24"/>
                <w:highlight w:val="none"/>
                <w:lang w:val="en-US" w:eastAsia="zh-CN"/>
              </w:rPr>
              <w:t>259.96</w:t>
            </w:r>
          </w:p>
        </w:tc>
      </w:tr>
      <w:tr w14:paraId="19513199">
        <w:tblPrEx>
          <w:tblCellMar>
            <w:top w:w="0" w:type="dxa"/>
            <w:left w:w="108" w:type="dxa"/>
            <w:bottom w:w="0" w:type="dxa"/>
            <w:right w:w="108" w:type="dxa"/>
          </w:tblCellMar>
        </w:tblPrEx>
        <w:trPr>
          <w:cantSplit/>
          <w:trHeight w:val="415" w:hRule="atLeast"/>
          <w:jc w:val="center"/>
        </w:trPr>
        <w:tc>
          <w:tcPr>
            <w:tcW w:w="807" w:type="dxa"/>
            <w:vMerge w:val="continue"/>
            <w:tcBorders>
              <w:left w:val="single" w:color="auto" w:sz="4" w:space="0"/>
              <w:right w:val="single" w:color="auto" w:sz="4" w:space="0"/>
            </w:tcBorders>
            <w:noWrap w:val="0"/>
            <w:vAlign w:val="center"/>
          </w:tcPr>
          <w:p w14:paraId="2C786778">
            <w:pPr>
              <w:widowControl/>
              <w:spacing w:line="240" w:lineRule="exact"/>
              <w:jc w:val="left"/>
              <w:rPr>
                <w:rFonts w:hint="eastAsia" w:ascii="仿宋_GB2312" w:hAnsi="仿宋_GB2312" w:eastAsia="仿宋_GB2312" w:cs="仿宋_GB2312"/>
                <w:color w:val="000000"/>
                <w:sz w:val="24"/>
                <w:szCs w:val="24"/>
                <w:highlight w:val="none"/>
              </w:rPr>
            </w:pPr>
          </w:p>
        </w:tc>
        <w:tc>
          <w:tcPr>
            <w:tcW w:w="4637" w:type="dxa"/>
            <w:gridSpan w:val="4"/>
            <w:tcBorders>
              <w:top w:val="nil"/>
              <w:left w:val="nil"/>
              <w:bottom w:val="single" w:color="auto" w:sz="4" w:space="0"/>
              <w:right w:val="single" w:color="auto" w:sz="4" w:space="0"/>
            </w:tcBorders>
            <w:noWrap w:val="0"/>
            <w:vAlign w:val="center"/>
          </w:tcPr>
          <w:p w14:paraId="15A00C46">
            <w:pPr>
              <w:widowControl/>
              <w:spacing w:line="240" w:lineRule="exact"/>
              <w:ind w:firstLine="960" w:firstLineChars="4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政府性基金拨款：</w:t>
            </w:r>
          </w:p>
        </w:tc>
        <w:tc>
          <w:tcPr>
            <w:tcW w:w="3975" w:type="dxa"/>
            <w:gridSpan w:val="4"/>
            <w:tcBorders>
              <w:top w:val="nil"/>
              <w:left w:val="nil"/>
              <w:bottom w:val="single" w:color="auto" w:sz="4" w:space="0"/>
              <w:right w:val="single" w:color="auto" w:sz="4" w:space="0"/>
            </w:tcBorders>
            <w:noWrap w:val="0"/>
            <w:vAlign w:val="center"/>
          </w:tcPr>
          <w:p w14:paraId="591C0416">
            <w:pPr>
              <w:widowControl/>
              <w:spacing w:line="240" w:lineRule="exact"/>
              <w:ind w:firstLine="720" w:firstLineChars="30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项目支出：</w:t>
            </w:r>
            <w:r>
              <w:rPr>
                <w:rFonts w:hint="eastAsia" w:ascii="仿宋_GB2312" w:hAnsi="仿宋_GB2312" w:eastAsia="仿宋_GB2312" w:cs="仿宋_GB2312"/>
                <w:color w:val="000000"/>
                <w:sz w:val="24"/>
                <w:szCs w:val="24"/>
                <w:highlight w:val="none"/>
                <w:lang w:val="en-US" w:eastAsia="zh-CN"/>
              </w:rPr>
              <w:t>382.00</w:t>
            </w:r>
          </w:p>
        </w:tc>
      </w:tr>
      <w:tr w14:paraId="5BE8B38C">
        <w:tblPrEx>
          <w:tblCellMar>
            <w:top w:w="0" w:type="dxa"/>
            <w:left w:w="108" w:type="dxa"/>
            <w:bottom w:w="0" w:type="dxa"/>
            <w:right w:w="108" w:type="dxa"/>
          </w:tblCellMar>
        </w:tblPrEx>
        <w:trPr>
          <w:cantSplit/>
          <w:trHeight w:val="500" w:hRule="atLeast"/>
          <w:jc w:val="center"/>
        </w:trPr>
        <w:tc>
          <w:tcPr>
            <w:tcW w:w="807" w:type="dxa"/>
            <w:vMerge w:val="continue"/>
            <w:tcBorders>
              <w:left w:val="single" w:color="auto" w:sz="4" w:space="0"/>
              <w:right w:val="single" w:color="auto" w:sz="4" w:space="0"/>
            </w:tcBorders>
            <w:noWrap w:val="0"/>
            <w:vAlign w:val="center"/>
          </w:tcPr>
          <w:p w14:paraId="7272CA51">
            <w:pPr>
              <w:widowControl/>
              <w:spacing w:line="240" w:lineRule="exact"/>
              <w:jc w:val="left"/>
              <w:rPr>
                <w:rFonts w:hint="eastAsia" w:ascii="仿宋_GB2312" w:hAnsi="仿宋_GB2312" w:eastAsia="仿宋_GB2312" w:cs="仿宋_GB2312"/>
                <w:color w:val="000000"/>
                <w:sz w:val="24"/>
                <w:szCs w:val="24"/>
                <w:highlight w:val="none"/>
              </w:rPr>
            </w:pPr>
          </w:p>
        </w:tc>
        <w:tc>
          <w:tcPr>
            <w:tcW w:w="4637" w:type="dxa"/>
            <w:gridSpan w:val="4"/>
            <w:tcBorders>
              <w:top w:val="nil"/>
              <w:left w:val="nil"/>
              <w:bottom w:val="single" w:color="auto" w:sz="4" w:space="0"/>
              <w:right w:val="single" w:color="auto" w:sz="4" w:space="0"/>
            </w:tcBorders>
            <w:noWrap w:val="0"/>
            <w:vAlign w:val="center"/>
          </w:tcPr>
          <w:p w14:paraId="6392E478">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纳入专户管理的非税收入拨款：</w:t>
            </w:r>
          </w:p>
        </w:tc>
        <w:tc>
          <w:tcPr>
            <w:tcW w:w="3975" w:type="dxa"/>
            <w:gridSpan w:val="4"/>
            <w:tcBorders>
              <w:top w:val="nil"/>
              <w:left w:val="nil"/>
              <w:bottom w:val="single" w:color="auto" w:sz="4" w:space="0"/>
              <w:right w:val="single" w:color="auto" w:sz="4" w:space="0"/>
            </w:tcBorders>
            <w:noWrap w:val="0"/>
            <w:vAlign w:val="center"/>
          </w:tcPr>
          <w:p w14:paraId="459B03F4">
            <w:pPr>
              <w:widowControl/>
              <w:spacing w:line="240" w:lineRule="exact"/>
              <w:jc w:val="left"/>
              <w:rPr>
                <w:rFonts w:hint="eastAsia" w:ascii="仿宋_GB2312" w:hAnsi="仿宋_GB2312" w:eastAsia="仿宋_GB2312" w:cs="仿宋_GB2312"/>
                <w:color w:val="000000"/>
                <w:sz w:val="24"/>
                <w:szCs w:val="24"/>
                <w:highlight w:val="none"/>
              </w:rPr>
            </w:pPr>
          </w:p>
        </w:tc>
      </w:tr>
      <w:tr w14:paraId="70D3F09E">
        <w:tblPrEx>
          <w:tblCellMar>
            <w:top w:w="0" w:type="dxa"/>
            <w:left w:w="108" w:type="dxa"/>
            <w:bottom w:w="0" w:type="dxa"/>
            <w:right w:w="108" w:type="dxa"/>
          </w:tblCellMar>
        </w:tblPrEx>
        <w:trPr>
          <w:cantSplit/>
          <w:trHeight w:val="450" w:hRule="atLeast"/>
          <w:jc w:val="center"/>
        </w:trPr>
        <w:tc>
          <w:tcPr>
            <w:tcW w:w="807" w:type="dxa"/>
            <w:vMerge w:val="continue"/>
            <w:tcBorders>
              <w:left w:val="single" w:color="auto" w:sz="4" w:space="0"/>
              <w:bottom w:val="single" w:color="000000" w:sz="4" w:space="0"/>
              <w:right w:val="single" w:color="auto" w:sz="4" w:space="0"/>
            </w:tcBorders>
            <w:noWrap w:val="0"/>
            <w:vAlign w:val="center"/>
          </w:tcPr>
          <w:p w14:paraId="19049DDC">
            <w:pPr>
              <w:widowControl/>
              <w:spacing w:line="240" w:lineRule="exact"/>
              <w:jc w:val="left"/>
              <w:rPr>
                <w:rFonts w:hint="eastAsia" w:ascii="仿宋_GB2312" w:hAnsi="仿宋_GB2312" w:eastAsia="仿宋_GB2312" w:cs="仿宋_GB2312"/>
                <w:color w:val="000000"/>
                <w:sz w:val="24"/>
                <w:szCs w:val="24"/>
                <w:highlight w:val="none"/>
              </w:rPr>
            </w:pPr>
          </w:p>
        </w:tc>
        <w:tc>
          <w:tcPr>
            <w:tcW w:w="4637" w:type="dxa"/>
            <w:gridSpan w:val="4"/>
            <w:tcBorders>
              <w:top w:val="nil"/>
              <w:left w:val="nil"/>
              <w:bottom w:val="single" w:color="auto" w:sz="4" w:space="0"/>
              <w:right w:val="single" w:color="auto" w:sz="4" w:space="0"/>
            </w:tcBorders>
            <w:noWrap w:val="0"/>
            <w:vAlign w:val="center"/>
          </w:tcPr>
          <w:p w14:paraId="0C6325C7">
            <w:pPr>
              <w:widowControl/>
              <w:spacing w:line="240" w:lineRule="exact"/>
              <w:ind w:firstLine="1680" w:firstLineChars="700"/>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其他资金：</w:t>
            </w:r>
            <w:r>
              <w:rPr>
                <w:rFonts w:hint="eastAsia" w:ascii="仿宋_GB2312" w:hAnsi="仿宋_GB2312" w:eastAsia="仿宋_GB2312" w:cs="仿宋_GB2312"/>
                <w:color w:val="000000"/>
                <w:sz w:val="24"/>
                <w:szCs w:val="24"/>
                <w:highlight w:val="none"/>
                <w:lang w:val="en-US" w:eastAsia="zh-CN"/>
              </w:rPr>
              <w:t>0.1</w:t>
            </w:r>
          </w:p>
        </w:tc>
        <w:tc>
          <w:tcPr>
            <w:tcW w:w="3975" w:type="dxa"/>
            <w:gridSpan w:val="4"/>
            <w:tcBorders>
              <w:top w:val="nil"/>
              <w:left w:val="nil"/>
              <w:bottom w:val="single" w:color="auto" w:sz="4" w:space="0"/>
              <w:right w:val="single" w:color="auto" w:sz="4" w:space="0"/>
            </w:tcBorders>
            <w:noWrap w:val="0"/>
            <w:vAlign w:val="center"/>
          </w:tcPr>
          <w:p w14:paraId="0235E688">
            <w:pPr>
              <w:widowControl/>
              <w:spacing w:line="240" w:lineRule="exact"/>
              <w:jc w:val="left"/>
              <w:rPr>
                <w:rFonts w:hint="eastAsia" w:ascii="仿宋_GB2312" w:hAnsi="仿宋_GB2312" w:eastAsia="仿宋_GB2312" w:cs="仿宋_GB2312"/>
                <w:color w:val="000000"/>
                <w:sz w:val="24"/>
                <w:szCs w:val="24"/>
                <w:highlight w:val="none"/>
              </w:rPr>
            </w:pPr>
          </w:p>
        </w:tc>
      </w:tr>
      <w:tr w14:paraId="44A12F40">
        <w:tblPrEx>
          <w:tblCellMar>
            <w:top w:w="0" w:type="dxa"/>
            <w:left w:w="108" w:type="dxa"/>
            <w:bottom w:w="0" w:type="dxa"/>
            <w:right w:w="108" w:type="dxa"/>
          </w:tblCellMar>
        </w:tblPrEx>
        <w:trPr>
          <w:cantSplit/>
          <w:trHeight w:val="465" w:hRule="atLeast"/>
          <w:jc w:val="center"/>
        </w:trPr>
        <w:tc>
          <w:tcPr>
            <w:tcW w:w="807" w:type="dxa"/>
            <w:vMerge w:val="restart"/>
            <w:tcBorders>
              <w:top w:val="nil"/>
              <w:left w:val="single" w:color="auto" w:sz="4" w:space="0"/>
              <w:bottom w:val="single" w:color="000000" w:sz="4" w:space="0"/>
              <w:right w:val="single" w:color="auto" w:sz="4" w:space="0"/>
            </w:tcBorders>
            <w:noWrap w:val="0"/>
            <w:vAlign w:val="center"/>
          </w:tcPr>
          <w:p w14:paraId="1F37F819">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年度总体目标</w:t>
            </w:r>
          </w:p>
        </w:tc>
        <w:tc>
          <w:tcPr>
            <w:tcW w:w="4637" w:type="dxa"/>
            <w:gridSpan w:val="4"/>
            <w:tcBorders>
              <w:top w:val="single" w:color="auto" w:sz="4" w:space="0"/>
              <w:left w:val="nil"/>
              <w:bottom w:val="single" w:color="auto" w:sz="4" w:space="0"/>
              <w:right w:val="single" w:color="000000" w:sz="4" w:space="0"/>
            </w:tcBorders>
            <w:noWrap w:val="0"/>
            <w:vAlign w:val="center"/>
          </w:tcPr>
          <w:p w14:paraId="74C9C809">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预期目标</w:t>
            </w:r>
          </w:p>
        </w:tc>
        <w:tc>
          <w:tcPr>
            <w:tcW w:w="3975" w:type="dxa"/>
            <w:gridSpan w:val="4"/>
            <w:tcBorders>
              <w:top w:val="single" w:color="auto" w:sz="4" w:space="0"/>
              <w:left w:val="nil"/>
              <w:bottom w:val="single" w:color="auto" w:sz="4" w:space="0"/>
              <w:right w:val="single" w:color="auto" w:sz="4" w:space="0"/>
            </w:tcBorders>
            <w:noWrap w:val="0"/>
            <w:vAlign w:val="center"/>
          </w:tcPr>
          <w:p w14:paraId="61E3C65D">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实际完成情况　</w:t>
            </w:r>
          </w:p>
        </w:tc>
      </w:tr>
      <w:tr w14:paraId="34CB4B25">
        <w:tblPrEx>
          <w:tblCellMar>
            <w:top w:w="0" w:type="dxa"/>
            <w:left w:w="108" w:type="dxa"/>
            <w:bottom w:w="0" w:type="dxa"/>
            <w:right w:w="108" w:type="dxa"/>
          </w:tblCellMar>
        </w:tblPrEx>
        <w:trPr>
          <w:cantSplit/>
          <w:trHeight w:val="0" w:hRule="atLeast"/>
          <w:jc w:val="center"/>
        </w:trPr>
        <w:tc>
          <w:tcPr>
            <w:tcW w:w="807" w:type="dxa"/>
            <w:vMerge w:val="continue"/>
            <w:tcBorders>
              <w:top w:val="nil"/>
              <w:left w:val="single" w:color="auto" w:sz="4" w:space="0"/>
              <w:bottom w:val="single" w:color="auto" w:sz="4" w:space="0"/>
              <w:right w:val="single" w:color="auto" w:sz="4" w:space="0"/>
            </w:tcBorders>
            <w:noWrap w:val="0"/>
            <w:vAlign w:val="center"/>
          </w:tcPr>
          <w:p w14:paraId="0636CAA7">
            <w:pPr>
              <w:widowControl/>
              <w:spacing w:line="240" w:lineRule="exact"/>
              <w:jc w:val="left"/>
              <w:rPr>
                <w:rFonts w:hint="eastAsia" w:ascii="仿宋_GB2312" w:hAnsi="仿宋_GB2312" w:eastAsia="仿宋_GB2312" w:cs="仿宋_GB2312"/>
                <w:color w:val="000000"/>
                <w:sz w:val="24"/>
                <w:szCs w:val="24"/>
                <w:highlight w:val="none"/>
              </w:rPr>
            </w:pPr>
          </w:p>
        </w:tc>
        <w:tc>
          <w:tcPr>
            <w:tcW w:w="4637" w:type="dxa"/>
            <w:gridSpan w:val="4"/>
            <w:tcBorders>
              <w:top w:val="single" w:color="auto" w:sz="4" w:space="0"/>
              <w:left w:val="nil"/>
              <w:bottom w:val="single" w:color="auto" w:sz="4" w:space="0"/>
              <w:right w:val="single" w:color="000000" w:sz="4" w:space="0"/>
            </w:tcBorders>
            <w:noWrap w:val="0"/>
            <w:vAlign w:val="center"/>
          </w:tcPr>
          <w:p w14:paraId="2B81F2A4">
            <w:pPr>
              <w:widowControl/>
              <w:spacing w:line="240" w:lineRule="exact"/>
              <w:ind w:left="0" w:leftChars="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2024年，我中心在市委、市政府及城管局党组的坚强领导下，坚持走生态优先、绿色发展之路，为贯彻落实“守护好一江碧水”的生态发展理念。</w:t>
            </w:r>
          </w:p>
          <w:p w14:paraId="32B8B3FF">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1、完善静脉产业园区基础设施建设，加强静脉产业园区已有项目的监督管理工作，做好安全与维稳工作。</w:t>
            </w:r>
          </w:p>
          <w:p w14:paraId="6034A8F8">
            <w:pPr>
              <w:widowControl/>
              <w:spacing w:line="240" w:lineRule="exact"/>
              <w:ind w:left="0" w:leftChars="0"/>
              <w:jc w:val="left"/>
              <w:rPr>
                <w:rFonts w:hint="eastAsia" w:ascii="仿宋_GB2312" w:hAnsi="仿宋_GB2312" w:eastAsia="仿宋_GB2312" w:cs="仿宋_GB2312"/>
                <w:color w:val="000000"/>
                <w:sz w:val="24"/>
                <w:szCs w:val="24"/>
                <w:highlight w:val="none"/>
              </w:rPr>
            </w:pPr>
          </w:p>
          <w:p w14:paraId="65323E41">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2、助推市生活垃圾焚烧发电项目扩建工程。</w:t>
            </w:r>
          </w:p>
          <w:p w14:paraId="669DC85C">
            <w:pPr>
              <w:widowControl/>
              <w:spacing w:line="240" w:lineRule="exact"/>
              <w:ind w:left="0" w:leftChars="0"/>
              <w:jc w:val="left"/>
              <w:rPr>
                <w:rFonts w:hint="eastAsia" w:ascii="仿宋_GB2312" w:hAnsi="仿宋_GB2312" w:eastAsia="仿宋_GB2312" w:cs="仿宋_GB2312"/>
                <w:color w:val="000000"/>
                <w:sz w:val="24"/>
                <w:szCs w:val="24"/>
                <w:highlight w:val="none"/>
              </w:rPr>
            </w:pPr>
          </w:p>
          <w:p w14:paraId="7E36A148">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3、罗家坳无害化处理场渗滤液处理后全部达标排放。</w:t>
            </w:r>
          </w:p>
          <w:p w14:paraId="574BDA80">
            <w:pPr>
              <w:widowControl/>
              <w:spacing w:line="240" w:lineRule="exact"/>
              <w:ind w:left="0" w:leftChars="0"/>
              <w:jc w:val="left"/>
              <w:rPr>
                <w:rFonts w:hint="eastAsia" w:ascii="仿宋_GB2312" w:hAnsi="仿宋_GB2312" w:eastAsia="仿宋_GB2312" w:cs="仿宋_GB2312"/>
                <w:color w:val="000000"/>
                <w:sz w:val="24"/>
                <w:szCs w:val="24"/>
                <w:highlight w:val="none"/>
              </w:rPr>
            </w:pPr>
          </w:p>
          <w:p w14:paraId="504475CF">
            <w:pPr>
              <w:widowControl/>
              <w:spacing w:line="240" w:lineRule="exact"/>
              <w:ind w:left="0" w:leftChars="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r>
              <w:rPr>
                <w:rFonts w:hint="eastAsia" w:ascii="仿宋_GB2312" w:hAnsi="仿宋_GB2312" w:eastAsia="仿宋_GB2312" w:cs="仿宋_GB2312"/>
                <w:color w:val="000000"/>
                <w:sz w:val="24"/>
                <w:szCs w:val="24"/>
                <w:highlight w:val="none"/>
                <w:lang w:val="en-US" w:eastAsia="zh-CN"/>
              </w:rPr>
              <w:t>厨余垃圾资源化利用和无害化处置项目收运处置稳步提升</w:t>
            </w:r>
            <w:r>
              <w:rPr>
                <w:rFonts w:hint="eastAsia" w:ascii="仿宋_GB2312" w:hAnsi="仿宋_GB2312" w:eastAsia="仿宋_GB2312" w:cs="仿宋_GB2312"/>
                <w:b/>
                <w:bCs/>
                <w:kern w:val="2"/>
                <w:sz w:val="32"/>
                <w:szCs w:val="32"/>
                <w:lang w:val="en-US" w:eastAsia="zh-CN" w:bidi="ar-SA"/>
              </w:rPr>
              <w:t>。</w:t>
            </w:r>
          </w:p>
        </w:tc>
        <w:tc>
          <w:tcPr>
            <w:tcW w:w="3975" w:type="dxa"/>
            <w:gridSpan w:val="4"/>
            <w:tcBorders>
              <w:top w:val="single" w:color="auto" w:sz="4" w:space="0"/>
              <w:left w:val="nil"/>
              <w:bottom w:val="single" w:color="auto" w:sz="4" w:space="0"/>
              <w:right w:val="single" w:color="auto" w:sz="4" w:space="0"/>
            </w:tcBorders>
            <w:noWrap w:val="0"/>
            <w:vAlign w:val="center"/>
          </w:tcPr>
          <w:p w14:paraId="4D977A40">
            <w:pPr>
              <w:pStyle w:val="5"/>
              <w:spacing w:line="300" w:lineRule="exact"/>
              <w:ind w:left="0" w:leftChars="0" w:firstLine="480" w:firstLineChars="200"/>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auto"/>
                <w:sz w:val="24"/>
                <w:szCs w:val="24"/>
                <w:highlight w:val="none"/>
              </w:rPr>
              <w:t>1、市生活垃圾焚烧</w:t>
            </w:r>
            <w:r>
              <w:rPr>
                <w:rFonts w:hint="eastAsia" w:ascii="仿宋_GB2312" w:hAnsi="仿宋_GB2312" w:eastAsia="仿宋_GB2312" w:cs="仿宋_GB2312"/>
                <w:color w:val="auto"/>
                <w:kern w:val="0"/>
                <w:sz w:val="24"/>
                <w:szCs w:val="24"/>
                <w:highlight w:val="none"/>
                <w:lang w:val="en-US" w:eastAsia="zh-CN" w:bidi="ar-SA"/>
              </w:rPr>
              <w:t>发电</w:t>
            </w:r>
            <w:r>
              <w:rPr>
                <w:rFonts w:hint="eastAsia" w:ascii="仿宋_GB2312" w:hAnsi="仿宋_GB2312" w:eastAsia="仿宋_GB2312" w:cs="仿宋_GB2312"/>
                <w:color w:val="000000"/>
                <w:kern w:val="0"/>
                <w:sz w:val="24"/>
                <w:szCs w:val="24"/>
                <w:highlight w:val="none"/>
                <w:lang w:val="en-US" w:eastAsia="zh-CN" w:bidi="ar-SA"/>
              </w:rPr>
              <w:t>项目一期2024年度共焚烧生活垃圾：年焚烧生活垃圾近54.66万吨中心城区约43万吨，统筹范围内 11.66万吨），日焚烧垃圾近1500吨。项目年核算收益约1.45亿元，（其中：焚烧补贴费3771.34万元、发电上网补贴费：1.06亿、炉渣收益约：160万元）。</w:t>
            </w:r>
          </w:p>
          <w:p w14:paraId="14609EFB">
            <w:pPr>
              <w:pStyle w:val="5"/>
              <w:spacing w:line="300" w:lineRule="exact"/>
              <w:ind w:left="0" w:leftChars="0"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2</w:t>
            </w:r>
            <w:r>
              <w:rPr>
                <w:rFonts w:hint="eastAsia" w:ascii="仿宋_GB2312" w:hAnsi="仿宋_GB2312" w:eastAsia="仿宋_GB2312" w:cs="仿宋_GB2312"/>
                <w:color w:val="auto"/>
                <w:kern w:val="0"/>
                <w:sz w:val="24"/>
                <w:szCs w:val="24"/>
                <w:highlight w:val="none"/>
                <w:lang w:val="en-US" w:eastAsia="zh-CN" w:bidi="ar-SA"/>
              </w:rPr>
              <w:t>、罗家坳无害化处理场2024年度截止目前填埋区共埋飞灰约5.8万吨，剩余库容约39.62万m³。渗滤液处理后全部达标排放。</w:t>
            </w:r>
          </w:p>
          <w:p w14:paraId="7017E733">
            <w:pPr>
              <w:pStyle w:val="5"/>
              <w:spacing w:line="3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val="en-US" w:eastAsia="zh-CN" w:bidi="ar-SA"/>
              </w:rPr>
              <w:t>3、厨余垃圾资源化利用和无害化处理项目，在市、区两级部门单位的大力支持与配合下，该项目垃圾收运量稳步提升，每日收运量达到140吨左右，累计收运处置餐厨垃圾约3.77万吨。</w:t>
            </w:r>
          </w:p>
        </w:tc>
      </w:tr>
      <w:tr w14:paraId="1EE27FEF">
        <w:tblPrEx>
          <w:tblCellMar>
            <w:top w:w="0" w:type="dxa"/>
            <w:left w:w="108" w:type="dxa"/>
            <w:bottom w:w="0" w:type="dxa"/>
            <w:right w:w="108" w:type="dxa"/>
          </w:tblCellMar>
        </w:tblPrEx>
        <w:trPr>
          <w:cantSplit/>
          <w:trHeight w:val="0" w:hRule="atLeast"/>
          <w:jc w:val="center"/>
        </w:trPr>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14:paraId="4F78B30D">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绩</w:t>
            </w:r>
          </w:p>
          <w:p w14:paraId="58B409C3">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效</w:t>
            </w:r>
          </w:p>
          <w:p w14:paraId="3945BB28">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指</w:t>
            </w:r>
          </w:p>
          <w:p w14:paraId="2D351E7F">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标</w:t>
            </w:r>
          </w:p>
          <w:p w14:paraId="3005B733">
            <w:pPr>
              <w:widowControl/>
              <w:spacing w:line="240" w:lineRule="exact"/>
              <w:jc w:val="center"/>
              <w:rPr>
                <w:rFonts w:hint="eastAsia" w:ascii="仿宋_GB2312" w:hAnsi="仿宋_GB2312" w:eastAsia="仿宋_GB2312" w:cs="仿宋_GB2312"/>
                <w:color w:val="000000"/>
                <w:sz w:val="24"/>
                <w:szCs w:val="24"/>
                <w:highlight w:val="none"/>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17584234">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一级指标</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D0C6D99">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二级指标</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06A3ADB">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三级指标</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6C536396">
            <w:pPr>
              <w:widowControl/>
              <w:spacing w:line="240" w:lineRule="exact"/>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年度指标值</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4142A9F0">
            <w:pPr>
              <w:widowControl/>
              <w:spacing w:line="24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实际完成值</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5008608F">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分值</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00DB609E">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得分</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05892F8F">
            <w:pPr>
              <w:widowControl/>
              <w:spacing w:line="240" w:lineRule="exact"/>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偏差原因分析及改进措施</w:t>
            </w:r>
          </w:p>
        </w:tc>
      </w:tr>
      <w:tr w14:paraId="76D747B3">
        <w:tblPrEx>
          <w:tblCellMar>
            <w:top w:w="0" w:type="dxa"/>
            <w:left w:w="108" w:type="dxa"/>
            <w:bottom w:w="0" w:type="dxa"/>
            <w:right w:w="108" w:type="dxa"/>
          </w:tblCellMar>
        </w:tblPrEx>
        <w:trPr>
          <w:cantSplit/>
          <w:trHeight w:val="0" w:hRule="atLeast"/>
          <w:jc w:val="center"/>
        </w:trPr>
        <w:tc>
          <w:tcPr>
            <w:tcW w:w="807" w:type="dxa"/>
            <w:vMerge w:val="continue"/>
            <w:tcBorders>
              <w:top w:val="single" w:color="auto" w:sz="4" w:space="0"/>
              <w:left w:val="single" w:color="auto" w:sz="4" w:space="0"/>
              <w:right w:val="single" w:color="auto" w:sz="4" w:space="0"/>
            </w:tcBorders>
            <w:noWrap w:val="0"/>
            <w:vAlign w:val="center"/>
          </w:tcPr>
          <w:p w14:paraId="414697CE">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14:paraId="2C637F3F">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产出指标</w:t>
            </w:r>
          </w:p>
          <w:p w14:paraId="0232C70A">
            <w:pPr>
              <w:widowControl/>
              <w:spacing w:line="240" w:lineRule="exact"/>
              <w:jc w:val="center"/>
              <w:rPr>
                <w:rFonts w:hint="eastAsia" w:ascii="仿宋_GB2312" w:hAnsi="仿宋_GB2312" w:eastAsia="仿宋_GB2312" w:cs="仿宋_GB2312"/>
                <w:color w:val="000000"/>
                <w:sz w:val="24"/>
                <w:szCs w:val="24"/>
                <w:highlight w:val="none"/>
              </w:rPr>
            </w:pPr>
          </w:p>
          <w:p w14:paraId="10F40F45">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(50分)</w:t>
            </w:r>
          </w:p>
        </w:tc>
        <w:tc>
          <w:tcPr>
            <w:tcW w:w="1069" w:type="dxa"/>
            <w:vMerge w:val="restart"/>
            <w:tcBorders>
              <w:top w:val="single" w:color="auto" w:sz="4" w:space="0"/>
              <w:left w:val="nil"/>
              <w:right w:val="single" w:color="auto" w:sz="4" w:space="0"/>
            </w:tcBorders>
            <w:noWrap w:val="0"/>
            <w:vAlign w:val="center"/>
          </w:tcPr>
          <w:p w14:paraId="30D22ED2">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数量指标</w:t>
            </w:r>
          </w:p>
        </w:tc>
        <w:tc>
          <w:tcPr>
            <w:tcW w:w="1556" w:type="dxa"/>
            <w:tcBorders>
              <w:top w:val="single" w:color="auto" w:sz="4" w:space="0"/>
              <w:left w:val="nil"/>
              <w:bottom w:val="single" w:color="auto" w:sz="4" w:space="0"/>
              <w:right w:val="single" w:color="auto" w:sz="4" w:space="0"/>
            </w:tcBorders>
            <w:noWrap w:val="0"/>
            <w:vAlign w:val="center"/>
          </w:tcPr>
          <w:p w14:paraId="3F41BE9A">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市餐厨垃圾资源化利用和无害化处理</w:t>
            </w:r>
          </w:p>
        </w:tc>
        <w:tc>
          <w:tcPr>
            <w:tcW w:w="1044" w:type="dxa"/>
            <w:tcBorders>
              <w:top w:val="single" w:color="auto" w:sz="4" w:space="0"/>
              <w:left w:val="nil"/>
              <w:bottom w:val="single" w:color="auto" w:sz="4" w:space="0"/>
              <w:right w:val="single" w:color="auto" w:sz="4" w:space="0"/>
            </w:tcBorders>
            <w:noWrap w:val="0"/>
            <w:vAlign w:val="center"/>
          </w:tcPr>
          <w:p w14:paraId="3BA095C8">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3</w:t>
            </w:r>
            <w:r>
              <w:rPr>
                <w:rFonts w:hint="eastAsia" w:ascii="仿宋_GB2312" w:hAnsi="仿宋_GB2312" w:eastAsia="仿宋_GB2312" w:cs="仿宋_GB2312"/>
                <w:color w:val="000000"/>
                <w:sz w:val="22"/>
                <w:szCs w:val="22"/>
                <w:highlight w:val="none"/>
              </w:rPr>
              <w:t>万吨</w:t>
            </w:r>
          </w:p>
        </w:tc>
        <w:tc>
          <w:tcPr>
            <w:tcW w:w="939" w:type="dxa"/>
            <w:tcBorders>
              <w:top w:val="single" w:color="auto" w:sz="4" w:space="0"/>
              <w:left w:val="nil"/>
              <w:bottom w:val="single" w:color="auto" w:sz="4" w:space="0"/>
              <w:right w:val="single" w:color="auto" w:sz="4" w:space="0"/>
            </w:tcBorders>
            <w:noWrap w:val="0"/>
            <w:vAlign w:val="center"/>
          </w:tcPr>
          <w:p w14:paraId="1F9C86F1">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3.77</w:t>
            </w:r>
            <w:r>
              <w:rPr>
                <w:rFonts w:hint="eastAsia" w:ascii="仿宋_GB2312" w:hAnsi="仿宋_GB2312" w:eastAsia="仿宋_GB2312" w:cs="仿宋_GB2312"/>
                <w:color w:val="000000"/>
                <w:sz w:val="22"/>
                <w:szCs w:val="22"/>
                <w:highlight w:val="none"/>
              </w:rPr>
              <w:t>万吨</w:t>
            </w:r>
          </w:p>
        </w:tc>
        <w:tc>
          <w:tcPr>
            <w:tcW w:w="657" w:type="dxa"/>
            <w:tcBorders>
              <w:top w:val="single" w:color="auto" w:sz="4" w:space="0"/>
              <w:left w:val="nil"/>
              <w:bottom w:val="single" w:color="auto" w:sz="4" w:space="0"/>
              <w:right w:val="single" w:color="auto" w:sz="4" w:space="0"/>
            </w:tcBorders>
            <w:noWrap w:val="0"/>
            <w:vAlign w:val="center"/>
          </w:tcPr>
          <w:p w14:paraId="081AC4D8">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10</w:t>
            </w:r>
          </w:p>
        </w:tc>
        <w:tc>
          <w:tcPr>
            <w:tcW w:w="974" w:type="dxa"/>
            <w:tcBorders>
              <w:top w:val="single" w:color="auto" w:sz="4" w:space="0"/>
              <w:left w:val="nil"/>
              <w:bottom w:val="single" w:color="auto" w:sz="4" w:space="0"/>
              <w:right w:val="single" w:color="auto" w:sz="4" w:space="0"/>
            </w:tcBorders>
            <w:noWrap w:val="0"/>
            <w:vAlign w:val="center"/>
          </w:tcPr>
          <w:p w14:paraId="63815184">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1405" w:type="dxa"/>
            <w:tcBorders>
              <w:top w:val="single" w:color="auto" w:sz="4" w:space="0"/>
              <w:left w:val="nil"/>
              <w:bottom w:val="single" w:color="auto" w:sz="4" w:space="0"/>
              <w:right w:val="single" w:color="auto" w:sz="4" w:space="0"/>
            </w:tcBorders>
            <w:noWrap w:val="0"/>
            <w:vAlign w:val="center"/>
          </w:tcPr>
          <w:p w14:paraId="4238C6AA">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4003D425">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4188DC15">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3200B040">
            <w:pPr>
              <w:spacing w:line="240" w:lineRule="exact"/>
              <w:jc w:val="left"/>
              <w:rPr>
                <w:rFonts w:hint="eastAsia" w:ascii="仿宋_GB2312" w:hAnsi="仿宋_GB2312" w:eastAsia="仿宋_GB2312" w:cs="仿宋_GB2312"/>
                <w:color w:val="000000"/>
                <w:sz w:val="24"/>
                <w:szCs w:val="24"/>
                <w:highlight w:val="none"/>
              </w:rPr>
            </w:pPr>
          </w:p>
        </w:tc>
        <w:tc>
          <w:tcPr>
            <w:tcW w:w="1069" w:type="dxa"/>
            <w:vMerge w:val="continue"/>
            <w:tcBorders>
              <w:left w:val="nil"/>
              <w:right w:val="single" w:color="auto" w:sz="4" w:space="0"/>
            </w:tcBorders>
            <w:noWrap w:val="0"/>
            <w:vAlign w:val="center"/>
          </w:tcPr>
          <w:p w14:paraId="6F988C3C">
            <w:pPr>
              <w:spacing w:line="240" w:lineRule="exact"/>
              <w:jc w:val="center"/>
              <w:rPr>
                <w:rFonts w:hint="eastAsia" w:ascii="仿宋_GB2312" w:hAnsi="仿宋_GB2312" w:eastAsia="仿宋_GB2312" w:cs="仿宋_GB2312"/>
                <w:color w:val="000000"/>
                <w:sz w:val="24"/>
                <w:szCs w:val="24"/>
                <w:highlight w:val="none"/>
              </w:rPr>
            </w:pPr>
          </w:p>
        </w:tc>
        <w:tc>
          <w:tcPr>
            <w:tcW w:w="1556" w:type="dxa"/>
            <w:tcBorders>
              <w:top w:val="nil"/>
              <w:left w:val="nil"/>
              <w:bottom w:val="single" w:color="auto" w:sz="4" w:space="0"/>
              <w:right w:val="single" w:color="auto" w:sz="4" w:space="0"/>
            </w:tcBorders>
            <w:noWrap w:val="0"/>
            <w:vAlign w:val="center"/>
          </w:tcPr>
          <w:p w14:paraId="513FB0EE">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罗家坳无害化处理场渗滤液处理系统运营服务</w:t>
            </w:r>
          </w:p>
        </w:tc>
        <w:tc>
          <w:tcPr>
            <w:tcW w:w="1044" w:type="dxa"/>
            <w:tcBorders>
              <w:top w:val="nil"/>
              <w:left w:val="nil"/>
              <w:bottom w:val="single" w:color="auto" w:sz="4" w:space="0"/>
              <w:right w:val="single" w:color="auto" w:sz="4" w:space="0"/>
            </w:tcBorders>
            <w:noWrap w:val="0"/>
            <w:vAlign w:val="center"/>
          </w:tcPr>
          <w:p w14:paraId="04A87122">
            <w:pPr>
              <w:widowControl/>
              <w:spacing w:line="240" w:lineRule="exact"/>
              <w:jc w:val="left"/>
              <w:rPr>
                <w:rFonts w:hint="eastAsia" w:ascii="仿宋_GB2312" w:hAnsi="仿宋_GB2312" w:eastAsia="仿宋_GB2312" w:cs="仿宋_GB2312"/>
                <w:color w:val="000000" w:themeColor="text1"/>
                <w:sz w:val="22"/>
                <w:szCs w:val="22"/>
                <w:highlight w:val="none"/>
                <w14:textFill>
                  <w14:solidFill>
                    <w14:schemeClr w14:val="tx1"/>
                  </w14:solidFill>
                </w14:textFill>
              </w:rPr>
            </w:pP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4000</w:t>
            </w:r>
            <w:r>
              <w:rPr>
                <w:rFonts w:hint="eastAsia" w:ascii="仿宋_GB2312" w:hAnsi="仿宋_GB2312" w:eastAsia="仿宋_GB2312" w:cs="仿宋_GB2312"/>
                <w:color w:val="000000" w:themeColor="text1"/>
                <w:sz w:val="22"/>
                <w:szCs w:val="22"/>
                <w:highlight w:val="none"/>
                <w14:textFill>
                  <w14:solidFill>
                    <w14:schemeClr w14:val="tx1"/>
                  </w14:solidFill>
                </w14:textFill>
              </w:rPr>
              <w:t>吨</w:t>
            </w:r>
          </w:p>
        </w:tc>
        <w:tc>
          <w:tcPr>
            <w:tcW w:w="939" w:type="dxa"/>
            <w:tcBorders>
              <w:top w:val="nil"/>
              <w:left w:val="nil"/>
              <w:bottom w:val="single" w:color="auto" w:sz="4" w:space="0"/>
              <w:right w:val="single" w:color="auto" w:sz="4" w:space="0"/>
            </w:tcBorders>
            <w:noWrap w:val="0"/>
            <w:vAlign w:val="center"/>
          </w:tcPr>
          <w:p w14:paraId="6F7BCEE7">
            <w:pPr>
              <w:widowControl/>
              <w:spacing w:line="240" w:lineRule="exact"/>
              <w:jc w:val="left"/>
              <w:rPr>
                <w:rFonts w:hint="eastAsia" w:ascii="仿宋_GB2312" w:hAnsi="仿宋_GB2312" w:eastAsia="仿宋_GB2312" w:cs="仿宋_GB2312"/>
                <w:color w:val="000000" w:themeColor="text1"/>
                <w:sz w:val="22"/>
                <w:szCs w:val="22"/>
                <w:highlight w:val="none"/>
                <w14:textFill>
                  <w14:solidFill>
                    <w14:schemeClr w14:val="tx1"/>
                  </w14:solidFill>
                </w14:textFill>
              </w:rPr>
            </w:pP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4300</w:t>
            </w:r>
            <w:r>
              <w:rPr>
                <w:rFonts w:hint="eastAsia" w:ascii="仿宋_GB2312" w:hAnsi="仿宋_GB2312" w:eastAsia="仿宋_GB2312" w:cs="仿宋_GB2312"/>
                <w:color w:val="000000" w:themeColor="text1"/>
                <w:sz w:val="22"/>
                <w:szCs w:val="22"/>
                <w:highlight w:val="none"/>
                <w14:textFill>
                  <w14:solidFill>
                    <w14:schemeClr w14:val="tx1"/>
                  </w14:solidFill>
                </w14:textFill>
              </w:rPr>
              <w:t>吨</w:t>
            </w:r>
          </w:p>
        </w:tc>
        <w:tc>
          <w:tcPr>
            <w:tcW w:w="657" w:type="dxa"/>
            <w:tcBorders>
              <w:top w:val="nil"/>
              <w:left w:val="nil"/>
              <w:bottom w:val="single" w:color="auto" w:sz="4" w:space="0"/>
              <w:right w:val="single" w:color="auto" w:sz="4" w:space="0"/>
            </w:tcBorders>
            <w:noWrap w:val="0"/>
            <w:vAlign w:val="center"/>
          </w:tcPr>
          <w:p w14:paraId="0020513D">
            <w:pPr>
              <w:widowControl/>
              <w:spacing w:line="240" w:lineRule="exact"/>
              <w:jc w:val="center"/>
              <w:rPr>
                <w:rFonts w:hint="default" w:ascii="仿宋_GB2312" w:hAnsi="仿宋_GB2312" w:eastAsia="仿宋_GB2312" w:cs="仿宋_GB2312"/>
                <w:color w:val="000000" w:themeColor="text1"/>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10</w:t>
            </w:r>
          </w:p>
        </w:tc>
        <w:tc>
          <w:tcPr>
            <w:tcW w:w="974" w:type="dxa"/>
            <w:tcBorders>
              <w:top w:val="nil"/>
              <w:left w:val="nil"/>
              <w:bottom w:val="single" w:color="auto" w:sz="4" w:space="0"/>
              <w:right w:val="single" w:color="auto" w:sz="4" w:space="0"/>
            </w:tcBorders>
            <w:noWrap w:val="0"/>
            <w:vAlign w:val="center"/>
          </w:tcPr>
          <w:p w14:paraId="619B39B1">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1405" w:type="dxa"/>
            <w:tcBorders>
              <w:top w:val="nil"/>
              <w:left w:val="nil"/>
              <w:bottom w:val="single" w:color="auto" w:sz="4" w:space="0"/>
              <w:right w:val="single" w:color="auto" w:sz="4" w:space="0"/>
            </w:tcBorders>
            <w:noWrap w:val="0"/>
            <w:vAlign w:val="center"/>
          </w:tcPr>
          <w:p w14:paraId="4B71193D">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0B22418B">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182CFA76">
            <w:pPr>
              <w:widowControl/>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6A016F62">
            <w:pPr>
              <w:widowControl/>
              <w:spacing w:line="240" w:lineRule="exact"/>
              <w:jc w:val="left"/>
              <w:rPr>
                <w:rFonts w:hint="eastAsia" w:ascii="仿宋_GB2312" w:hAnsi="仿宋_GB2312" w:eastAsia="仿宋_GB2312" w:cs="仿宋_GB2312"/>
                <w:color w:val="000000"/>
                <w:sz w:val="24"/>
                <w:szCs w:val="24"/>
                <w:highlight w:val="none"/>
              </w:rPr>
            </w:pPr>
          </w:p>
        </w:tc>
        <w:tc>
          <w:tcPr>
            <w:tcW w:w="1069" w:type="dxa"/>
            <w:vMerge w:val="continue"/>
            <w:tcBorders>
              <w:left w:val="nil"/>
              <w:bottom w:val="single" w:color="auto" w:sz="4" w:space="0"/>
              <w:right w:val="single" w:color="auto" w:sz="4" w:space="0"/>
            </w:tcBorders>
            <w:noWrap w:val="0"/>
            <w:vAlign w:val="center"/>
          </w:tcPr>
          <w:p w14:paraId="6CA54728">
            <w:pPr>
              <w:widowControl/>
              <w:spacing w:line="240" w:lineRule="exact"/>
              <w:jc w:val="left"/>
              <w:rPr>
                <w:rFonts w:hint="eastAsia" w:ascii="仿宋_GB2312" w:hAnsi="仿宋_GB2312" w:eastAsia="仿宋_GB2312" w:cs="仿宋_GB2312"/>
                <w:color w:val="000000"/>
                <w:sz w:val="24"/>
                <w:szCs w:val="24"/>
                <w:highlight w:val="none"/>
              </w:rPr>
            </w:pPr>
          </w:p>
        </w:tc>
        <w:tc>
          <w:tcPr>
            <w:tcW w:w="1556" w:type="dxa"/>
            <w:tcBorders>
              <w:top w:val="nil"/>
              <w:left w:val="nil"/>
              <w:bottom w:val="single" w:color="auto" w:sz="4" w:space="0"/>
              <w:right w:val="single" w:color="auto" w:sz="4" w:space="0"/>
            </w:tcBorders>
            <w:noWrap w:val="0"/>
            <w:vAlign w:val="center"/>
          </w:tcPr>
          <w:p w14:paraId="618625B8">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岳阳市静脉产业园生活垃圾焚烧发电项目</w:t>
            </w:r>
          </w:p>
        </w:tc>
        <w:tc>
          <w:tcPr>
            <w:tcW w:w="1044" w:type="dxa"/>
            <w:tcBorders>
              <w:top w:val="nil"/>
              <w:left w:val="nil"/>
              <w:bottom w:val="single" w:color="auto" w:sz="4" w:space="0"/>
              <w:right w:val="single" w:color="auto" w:sz="4" w:space="0"/>
            </w:tcBorders>
            <w:noWrap w:val="0"/>
            <w:vAlign w:val="center"/>
          </w:tcPr>
          <w:p w14:paraId="233341D3">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45</w:t>
            </w:r>
            <w:r>
              <w:rPr>
                <w:rFonts w:hint="eastAsia" w:ascii="仿宋_GB2312" w:hAnsi="仿宋_GB2312" w:eastAsia="仿宋_GB2312" w:cs="仿宋_GB2312"/>
                <w:color w:val="000000"/>
                <w:sz w:val="24"/>
                <w:szCs w:val="24"/>
                <w:highlight w:val="none"/>
              </w:rPr>
              <w:t>万吨</w:t>
            </w:r>
          </w:p>
        </w:tc>
        <w:tc>
          <w:tcPr>
            <w:tcW w:w="939" w:type="dxa"/>
            <w:tcBorders>
              <w:top w:val="nil"/>
              <w:left w:val="nil"/>
              <w:bottom w:val="single" w:color="auto" w:sz="4" w:space="0"/>
              <w:right w:val="single" w:color="auto" w:sz="4" w:space="0"/>
            </w:tcBorders>
            <w:noWrap w:val="0"/>
            <w:vAlign w:val="center"/>
          </w:tcPr>
          <w:p w14:paraId="04D46ABC">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r>
              <w:rPr>
                <w:rFonts w:hint="eastAsia" w:ascii="仿宋_GB2312" w:hAnsi="仿宋_GB2312" w:eastAsia="仿宋_GB2312" w:cs="仿宋_GB2312"/>
                <w:color w:val="000000"/>
                <w:sz w:val="24"/>
                <w:szCs w:val="24"/>
                <w:highlight w:val="none"/>
                <w:lang w:val="en-US" w:eastAsia="zh-CN"/>
              </w:rPr>
              <w:t>54.66</w:t>
            </w:r>
            <w:r>
              <w:rPr>
                <w:rFonts w:hint="eastAsia" w:ascii="仿宋_GB2312" w:hAnsi="仿宋_GB2312" w:eastAsia="仿宋_GB2312" w:cs="仿宋_GB2312"/>
                <w:color w:val="000000"/>
                <w:sz w:val="24"/>
                <w:szCs w:val="24"/>
                <w:highlight w:val="none"/>
              </w:rPr>
              <w:t>万吨</w:t>
            </w:r>
          </w:p>
        </w:tc>
        <w:tc>
          <w:tcPr>
            <w:tcW w:w="657" w:type="dxa"/>
            <w:tcBorders>
              <w:top w:val="nil"/>
              <w:left w:val="nil"/>
              <w:bottom w:val="single" w:color="auto" w:sz="4" w:space="0"/>
              <w:right w:val="single" w:color="auto" w:sz="4" w:space="0"/>
            </w:tcBorders>
            <w:noWrap w:val="0"/>
            <w:vAlign w:val="center"/>
          </w:tcPr>
          <w:p w14:paraId="254C0109">
            <w:pPr>
              <w:widowControl/>
              <w:spacing w:line="24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974" w:type="dxa"/>
            <w:tcBorders>
              <w:top w:val="nil"/>
              <w:left w:val="nil"/>
              <w:bottom w:val="single" w:color="auto" w:sz="4" w:space="0"/>
              <w:right w:val="single" w:color="auto" w:sz="4" w:space="0"/>
            </w:tcBorders>
            <w:noWrap w:val="0"/>
            <w:vAlign w:val="center"/>
          </w:tcPr>
          <w:p w14:paraId="46D17610">
            <w:pPr>
              <w:widowControl/>
              <w:spacing w:line="24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28792C84">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r>
      <w:tr w14:paraId="65554A0E">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0C6CBA0F">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7B2584A6">
            <w:pPr>
              <w:spacing w:line="240" w:lineRule="exact"/>
              <w:jc w:val="left"/>
              <w:rPr>
                <w:rFonts w:hint="eastAsia" w:ascii="仿宋_GB2312" w:hAnsi="仿宋_GB2312" w:eastAsia="仿宋_GB2312" w:cs="仿宋_GB2312"/>
                <w:color w:val="000000"/>
                <w:sz w:val="24"/>
                <w:szCs w:val="24"/>
                <w:highlight w:val="none"/>
              </w:rPr>
            </w:pPr>
          </w:p>
        </w:tc>
        <w:tc>
          <w:tcPr>
            <w:tcW w:w="1069" w:type="dxa"/>
            <w:vMerge w:val="restart"/>
            <w:tcBorders>
              <w:top w:val="nil"/>
              <w:left w:val="nil"/>
              <w:right w:val="single" w:color="auto" w:sz="4" w:space="0"/>
            </w:tcBorders>
            <w:noWrap w:val="0"/>
            <w:vAlign w:val="center"/>
          </w:tcPr>
          <w:p w14:paraId="6A9101E5">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质量指标</w:t>
            </w:r>
          </w:p>
        </w:tc>
        <w:tc>
          <w:tcPr>
            <w:tcW w:w="1556" w:type="dxa"/>
            <w:tcBorders>
              <w:top w:val="nil"/>
              <w:left w:val="nil"/>
              <w:bottom w:val="single" w:color="auto" w:sz="4" w:space="0"/>
              <w:right w:val="single" w:color="auto" w:sz="4" w:space="0"/>
            </w:tcBorders>
            <w:noWrap w:val="0"/>
            <w:vAlign w:val="center"/>
          </w:tcPr>
          <w:p w14:paraId="20DADD63">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生活垃圾资源化利用及无害化处理。</w:t>
            </w:r>
          </w:p>
        </w:tc>
        <w:tc>
          <w:tcPr>
            <w:tcW w:w="1044" w:type="dxa"/>
            <w:tcBorders>
              <w:top w:val="nil"/>
              <w:left w:val="nil"/>
              <w:bottom w:val="single" w:color="auto" w:sz="4" w:space="0"/>
              <w:right w:val="single" w:color="auto" w:sz="4" w:space="0"/>
            </w:tcBorders>
            <w:noWrap w:val="0"/>
            <w:vAlign w:val="center"/>
          </w:tcPr>
          <w:p w14:paraId="32F8B175">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95%</w:t>
            </w:r>
          </w:p>
        </w:tc>
        <w:tc>
          <w:tcPr>
            <w:tcW w:w="939" w:type="dxa"/>
            <w:tcBorders>
              <w:top w:val="nil"/>
              <w:left w:val="nil"/>
              <w:bottom w:val="single" w:color="auto" w:sz="4" w:space="0"/>
              <w:right w:val="single" w:color="auto" w:sz="4" w:space="0"/>
            </w:tcBorders>
            <w:noWrap w:val="0"/>
            <w:vAlign w:val="center"/>
          </w:tcPr>
          <w:p w14:paraId="5786B64F">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100%</w:t>
            </w:r>
          </w:p>
        </w:tc>
        <w:tc>
          <w:tcPr>
            <w:tcW w:w="657" w:type="dxa"/>
            <w:tcBorders>
              <w:top w:val="nil"/>
              <w:left w:val="nil"/>
              <w:bottom w:val="single" w:color="auto" w:sz="4" w:space="0"/>
              <w:right w:val="single" w:color="auto" w:sz="4" w:space="0"/>
            </w:tcBorders>
            <w:noWrap w:val="0"/>
            <w:vAlign w:val="center"/>
          </w:tcPr>
          <w:p w14:paraId="294FEE9A">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74" w:type="dxa"/>
            <w:tcBorders>
              <w:top w:val="nil"/>
              <w:left w:val="nil"/>
              <w:bottom w:val="single" w:color="auto" w:sz="4" w:space="0"/>
              <w:right w:val="single" w:color="auto" w:sz="4" w:space="0"/>
            </w:tcBorders>
            <w:noWrap w:val="0"/>
            <w:vAlign w:val="center"/>
          </w:tcPr>
          <w:p w14:paraId="10DD0E36">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2E4FE8F7">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218112BF">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01BB2B68">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171B2B04">
            <w:pPr>
              <w:spacing w:line="240" w:lineRule="exact"/>
              <w:jc w:val="left"/>
              <w:rPr>
                <w:rFonts w:hint="eastAsia" w:ascii="仿宋_GB2312" w:hAnsi="仿宋_GB2312" w:eastAsia="仿宋_GB2312" w:cs="仿宋_GB2312"/>
                <w:color w:val="000000"/>
                <w:sz w:val="24"/>
                <w:szCs w:val="24"/>
                <w:highlight w:val="none"/>
              </w:rPr>
            </w:pPr>
          </w:p>
        </w:tc>
        <w:tc>
          <w:tcPr>
            <w:tcW w:w="1069" w:type="dxa"/>
            <w:vMerge w:val="continue"/>
            <w:tcBorders>
              <w:left w:val="nil"/>
              <w:right w:val="single" w:color="auto" w:sz="4" w:space="0"/>
            </w:tcBorders>
            <w:noWrap w:val="0"/>
            <w:vAlign w:val="center"/>
          </w:tcPr>
          <w:p w14:paraId="2C7CF518">
            <w:pPr>
              <w:spacing w:line="240" w:lineRule="exact"/>
              <w:jc w:val="center"/>
              <w:rPr>
                <w:rFonts w:hint="eastAsia" w:ascii="仿宋_GB2312" w:hAnsi="仿宋_GB2312" w:eastAsia="仿宋_GB2312" w:cs="仿宋_GB2312"/>
                <w:color w:val="000000"/>
                <w:sz w:val="24"/>
                <w:szCs w:val="24"/>
                <w:highlight w:val="none"/>
              </w:rPr>
            </w:pPr>
          </w:p>
        </w:tc>
        <w:tc>
          <w:tcPr>
            <w:tcW w:w="1556" w:type="dxa"/>
            <w:tcBorders>
              <w:top w:val="nil"/>
              <w:left w:val="nil"/>
              <w:bottom w:val="single" w:color="auto" w:sz="4" w:space="0"/>
              <w:right w:val="single" w:color="auto" w:sz="4" w:space="0"/>
            </w:tcBorders>
            <w:noWrap w:val="0"/>
            <w:vAlign w:val="center"/>
          </w:tcPr>
          <w:p w14:paraId="10E7C2AA">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降低生态环境问题风险。</w:t>
            </w:r>
          </w:p>
        </w:tc>
        <w:tc>
          <w:tcPr>
            <w:tcW w:w="1044" w:type="dxa"/>
            <w:tcBorders>
              <w:top w:val="nil"/>
              <w:left w:val="nil"/>
              <w:bottom w:val="single" w:color="auto" w:sz="4" w:space="0"/>
              <w:right w:val="single" w:color="auto" w:sz="4" w:space="0"/>
            </w:tcBorders>
            <w:noWrap w:val="0"/>
            <w:vAlign w:val="center"/>
          </w:tcPr>
          <w:p w14:paraId="7BF43398">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95%</w:t>
            </w:r>
          </w:p>
        </w:tc>
        <w:tc>
          <w:tcPr>
            <w:tcW w:w="939" w:type="dxa"/>
            <w:tcBorders>
              <w:top w:val="nil"/>
              <w:left w:val="nil"/>
              <w:bottom w:val="single" w:color="auto" w:sz="4" w:space="0"/>
              <w:right w:val="single" w:color="auto" w:sz="4" w:space="0"/>
            </w:tcBorders>
            <w:noWrap w:val="0"/>
            <w:vAlign w:val="center"/>
          </w:tcPr>
          <w:p w14:paraId="661D9FCE">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lang w:val="en-US" w:eastAsia="zh-CN"/>
              </w:rPr>
              <w:t>100%</w:t>
            </w:r>
          </w:p>
        </w:tc>
        <w:tc>
          <w:tcPr>
            <w:tcW w:w="657" w:type="dxa"/>
            <w:tcBorders>
              <w:top w:val="nil"/>
              <w:left w:val="nil"/>
              <w:bottom w:val="single" w:color="auto" w:sz="4" w:space="0"/>
              <w:right w:val="single" w:color="auto" w:sz="4" w:space="0"/>
            </w:tcBorders>
            <w:noWrap w:val="0"/>
            <w:vAlign w:val="center"/>
          </w:tcPr>
          <w:p w14:paraId="34E41313">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74" w:type="dxa"/>
            <w:tcBorders>
              <w:top w:val="nil"/>
              <w:left w:val="nil"/>
              <w:bottom w:val="single" w:color="auto" w:sz="4" w:space="0"/>
              <w:right w:val="single" w:color="auto" w:sz="4" w:space="0"/>
            </w:tcBorders>
            <w:noWrap w:val="0"/>
            <w:vAlign w:val="center"/>
          </w:tcPr>
          <w:p w14:paraId="257B952E">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366420B6">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64EF2A24">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77DCC4C5">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507B6071">
            <w:pPr>
              <w:spacing w:line="240" w:lineRule="exact"/>
              <w:jc w:val="left"/>
              <w:rPr>
                <w:rFonts w:hint="eastAsia" w:ascii="仿宋_GB2312" w:hAnsi="仿宋_GB2312" w:eastAsia="仿宋_GB2312" w:cs="仿宋_GB2312"/>
                <w:color w:val="000000"/>
                <w:sz w:val="24"/>
                <w:szCs w:val="24"/>
                <w:highlight w:val="none"/>
              </w:rPr>
            </w:pPr>
          </w:p>
        </w:tc>
        <w:tc>
          <w:tcPr>
            <w:tcW w:w="1069" w:type="dxa"/>
            <w:vMerge w:val="continue"/>
            <w:tcBorders>
              <w:left w:val="nil"/>
              <w:bottom w:val="single" w:color="auto" w:sz="4" w:space="0"/>
              <w:right w:val="single" w:color="auto" w:sz="4" w:space="0"/>
            </w:tcBorders>
            <w:noWrap w:val="0"/>
            <w:vAlign w:val="center"/>
          </w:tcPr>
          <w:p w14:paraId="46C2FEB4">
            <w:pPr>
              <w:widowControl/>
              <w:spacing w:line="240" w:lineRule="exact"/>
              <w:jc w:val="center"/>
              <w:rPr>
                <w:rFonts w:hint="eastAsia" w:ascii="仿宋_GB2312" w:hAnsi="仿宋_GB2312" w:eastAsia="仿宋_GB2312" w:cs="仿宋_GB2312"/>
                <w:color w:val="000000"/>
                <w:sz w:val="24"/>
                <w:szCs w:val="24"/>
                <w:highlight w:val="none"/>
              </w:rPr>
            </w:pPr>
          </w:p>
        </w:tc>
        <w:tc>
          <w:tcPr>
            <w:tcW w:w="1556" w:type="dxa"/>
            <w:tcBorders>
              <w:top w:val="nil"/>
              <w:left w:val="nil"/>
              <w:bottom w:val="single" w:color="auto" w:sz="4" w:space="0"/>
              <w:right w:val="single" w:color="auto" w:sz="4" w:space="0"/>
            </w:tcBorders>
            <w:noWrap w:val="0"/>
            <w:vAlign w:val="center"/>
          </w:tcPr>
          <w:p w14:paraId="16DA104B">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使中心城区生活垃圾实现“零”填埋</w:t>
            </w:r>
          </w:p>
        </w:tc>
        <w:tc>
          <w:tcPr>
            <w:tcW w:w="1044" w:type="dxa"/>
            <w:tcBorders>
              <w:top w:val="nil"/>
              <w:left w:val="nil"/>
              <w:bottom w:val="single" w:color="auto" w:sz="4" w:space="0"/>
              <w:right w:val="single" w:color="auto" w:sz="4" w:space="0"/>
            </w:tcBorders>
            <w:noWrap w:val="0"/>
            <w:vAlign w:val="center"/>
          </w:tcPr>
          <w:p w14:paraId="262849EB">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95%</w:t>
            </w:r>
          </w:p>
        </w:tc>
        <w:tc>
          <w:tcPr>
            <w:tcW w:w="939" w:type="dxa"/>
            <w:tcBorders>
              <w:top w:val="nil"/>
              <w:left w:val="nil"/>
              <w:bottom w:val="single" w:color="auto" w:sz="4" w:space="0"/>
              <w:right w:val="single" w:color="auto" w:sz="4" w:space="0"/>
            </w:tcBorders>
            <w:noWrap w:val="0"/>
            <w:vAlign w:val="center"/>
          </w:tcPr>
          <w:p w14:paraId="3219476C">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lang w:val="en-US" w:eastAsia="zh-CN"/>
              </w:rPr>
              <w:t>100%</w:t>
            </w:r>
          </w:p>
        </w:tc>
        <w:tc>
          <w:tcPr>
            <w:tcW w:w="657" w:type="dxa"/>
            <w:tcBorders>
              <w:top w:val="nil"/>
              <w:left w:val="nil"/>
              <w:bottom w:val="single" w:color="auto" w:sz="4" w:space="0"/>
              <w:right w:val="single" w:color="auto" w:sz="4" w:space="0"/>
            </w:tcBorders>
            <w:noWrap w:val="0"/>
            <w:vAlign w:val="center"/>
          </w:tcPr>
          <w:p w14:paraId="75FBE412">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74" w:type="dxa"/>
            <w:tcBorders>
              <w:top w:val="nil"/>
              <w:left w:val="nil"/>
              <w:bottom w:val="single" w:color="auto" w:sz="4" w:space="0"/>
              <w:right w:val="single" w:color="auto" w:sz="4" w:space="0"/>
            </w:tcBorders>
            <w:noWrap w:val="0"/>
            <w:vAlign w:val="center"/>
          </w:tcPr>
          <w:p w14:paraId="05DFA8A2">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7909213B">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00BB6C31">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3037ABC6">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478B4D1A">
            <w:pPr>
              <w:spacing w:line="240" w:lineRule="exact"/>
              <w:jc w:val="left"/>
              <w:rPr>
                <w:rFonts w:hint="eastAsia" w:ascii="仿宋_GB2312" w:hAnsi="仿宋_GB2312" w:eastAsia="仿宋_GB2312" w:cs="仿宋_GB2312"/>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063D7FF">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时效指标</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6E54E25">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按照年初计划时进度完成</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EBADE91">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202</w:t>
            </w:r>
            <w:r>
              <w:rPr>
                <w:rFonts w:hint="eastAsia" w:ascii="仿宋_GB2312" w:hAnsi="仿宋_GB2312" w:eastAsia="仿宋_GB2312" w:cs="仿宋_GB2312"/>
                <w:color w:val="000000"/>
                <w:sz w:val="22"/>
                <w:szCs w:val="22"/>
                <w:highlight w:val="none"/>
                <w:lang w:val="en-US" w:eastAsia="zh-CN"/>
              </w:rPr>
              <w:t>4</w:t>
            </w:r>
            <w:r>
              <w:rPr>
                <w:rFonts w:hint="eastAsia" w:ascii="仿宋_GB2312" w:hAnsi="仿宋_GB2312" w:eastAsia="仿宋_GB2312" w:cs="仿宋_GB2312"/>
                <w:color w:val="000000"/>
                <w:sz w:val="22"/>
                <w:szCs w:val="22"/>
                <w:highlight w:val="none"/>
              </w:rPr>
              <w:t>年1月-12月</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7A5A0A70">
            <w:pPr>
              <w:widowControl/>
              <w:spacing w:line="24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100%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4BA5B719">
            <w:pPr>
              <w:widowControl/>
              <w:spacing w:line="240" w:lineRule="exact"/>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28D67B3F">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4A0AC67">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4B57BC92">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14CABCD5">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48609D91">
            <w:pPr>
              <w:spacing w:line="240" w:lineRule="exact"/>
              <w:jc w:val="left"/>
              <w:rPr>
                <w:rFonts w:hint="eastAsia" w:ascii="仿宋_GB2312" w:hAnsi="仿宋_GB2312" w:eastAsia="仿宋_GB2312" w:cs="仿宋_GB2312"/>
                <w:color w:val="000000"/>
                <w:sz w:val="24"/>
                <w:szCs w:val="24"/>
                <w:highlight w:val="none"/>
              </w:rPr>
            </w:pPr>
          </w:p>
        </w:tc>
        <w:tc>
          <w:tcPr>
            <w:tcW w:w="1069" w:type="dxa"/>
            <w:vMerge w:val="restart"/>
            <w:tcBorders>
              <w:top w:val="single" w:color="auto" w:sz="4" w:space="0"/>
              <w:left w:val="single" w:color="auto" w:sz="4" w:space="0"/>
              <w:right w:val="single" w:color="auto" w:sz="4" w:space="0"/>
            </w:tcBorders>
            <w:noWrap w:val="0"/>
            <w:vAlign w:val="center"/>
          </w:tcPr>
          <w:p w14:paraId="68254A99">
            <w:pPr>
              <w:spacing w:line="240" w:lineRule="exact"/>
              <w:jc w:val="left"/>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成本指标</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2C67124">
            <w:pPr>
              <w:widowControl/>
              <w:spacing w:line="240" w:lineRule="exact"/>
              <w:jc w:val="center"/>
              <w:rPr>
                <w:rFonts w:hint="eastAsia" w:ascii="仿宋_GB2312" w:hAnsi="仿宋_GB2312" w:eastAsia="仿宋_GB2312" w:cs="仿宋_GB2312"/>
                <w:color w:val="000000"/>
                <w:kern w:val="0"/>
                <w:sz w:val="22"/>
                <w:szCs w:val="22"/>
                <w:highlight w:val="none"/>
                <w:lang w:val="en-US" w:eastAsia="zh-CN" w:bidi="ar-SA"/>
              </w:rPr>
            </w:pPr>
            <w:r>
              <w:rPr>
                <w:rFonts w:hint="eastAsia" w:ascii="仿宋_GB2312" w:hAnsi="仿宋_GB2312" w:eastAsia="仿宋_GB2312" w:cs="仿宋_GB2312"/>
                <w:color w:val="000000"/>
                <w:sz w:val="22"/>
                <w:szCs w:val="22"/>
                <w:highlight w:val="none"/>
              </w:rPr>
              <w:t>按照预算，不超出预算安排</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F53D0A9">
            <w:pPr>
              <w:widowControl/>
              <w:spacing w:line="240" w:lineRule="exact"/>
              <w:jc w:val="left"/>
              <w:rPr>
                <w:rFonts w:hint="eastAsia" w:ascii="仿宋_GB2312" w:hAnsi="仿宋_GB2312" w:eastAsia="仿宋_GB2312" w:cs="仿宋_GB2312"/>
                <w:color w:val="000000"/>
                <w:kern w:val="0"/>
                <w:sz w:val="22"/>
                <w:szCs w:val="22"/>
                <w:highlight w:val="none"/>
                <w:lang w:val="en-US" w:eastAsia="zh-CN" w:bidi="ar-SA"/>
              </w:rPr>
            </w:pPr>
            <w:r>
              <w:rPr>
                <w:rFonts w:hint="eastAsia" w:ascii="仿宋_GB2312" w:hAnsi="仿宋_GB2312" w:eastAsia="仿宋_GB2312" w:cs="仿宋_GB2312"/>
                <w:color w:val="000000"/>
                <w:sz w:val="22"/>
                <w:szCs w:val="22"/>
                <w:highlight w:val="none"/>
              </w:rPr>
              <w:t>控制在预算金额内</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02BBD242">
            <w:pPr>
              <w:widowControl/>
              <w:spacing w:line="240" w:lineRule="exact"/>
              <w:jc w:val="left"/>
              <w:rPr>
                <w:rFonts w:hint="eastAsia" w:ascii="仿宋_GB2312" w:hAnsi="仿宋_GB2312" w:eastAsia="仿宋_GB2312" w:cs="仿宋_GB2312"/>
                <w:color w:val="000000"/>
                <w:kern w:val="0"/>
                <w:sz w:val="22"/>
                <w:szCs w:val="22"/>
                <w:highlight w:val="none"/>
                <w:lang w:val="en-US" w:eastAsia="zh-CN" w:bidi="ar-SA"/>
              </w:rPr>
            </w:pPr>
            <w:r>
              <w:rPr>
                <w:rFonts w:hint="eastAsia" w:ascii="仿宋_GB2312" w:hAnsi="仿宋_GB2312" w:eastAsia="仿宋_GB2312" w:cs="仿宋_GB2312"/>
                <w:color w:val="000000"/>
                <w:sz w:val="22"/>
                <w:szCs w:val="22"/>
                <w:highlight w:val="none"/>
                <w:lang w:eastAsia="zh-CN"/>
              </w:rPr>
              <w:t>未超预算</w:t>
            </w:r>
          </w:p>
        </w:tc>
        <w:tc>
          <w:tcPr>
            <w:tcW w:w="657" w:type="dxa"/>
            <w:tcBorders>
              <w:top w:val="nil"/>
              <w:left w:val="nil"/>
              <w:bottom w:val="single" w:color="auto" w:sz="4" w:space="0"/>
              <w:right w:val="single" w:color="auto" w:sz="4" w:space="0"/>
            </w:tcBorders>
            <w:noWrap w:val="0"/>
            <w:vAlign w:val="center"/>
          </w:tcPr>
          <w:p w14:paraId="0D7ECD2B">
            <w:pPr>
              <w:widowControl/>
              <w:spacing w:line="240" w:lineRule="exact"/>
              <w:jc w:val="center"/>
              <w:rPr>
                <w:rFonts w:hint="default" w:ascii="仿宋_GB2312" w:hAnsi="仿宋_GB2312" w:eastAsia="仿宋_GB2312" w:cs="仿宋_GB2312"/>
                <w:color w:val="000000"/>
                <w:kern w:val="0"/>
                <w:sz w:val="22"/>
                <w:szCs w:val="22"/>
                <w:highlight w:val="none"/>
                <w:lang w:val="en" w:eastAsia="zh-CN" w:bidi="ar-SA"/>
              </w:rPr>
            </w:pPr>
            <w:r>
              <w:rPr>
                <w:rFonts w:hint="default" w:ascii="仿宋_GB2312" w:hAnsi="仿宋_GB2312" w:eastAsia="仿宋_GB2312" w:cs="仿宋_GB2312"/>
                <w:color w:val="000000"/>
                <w:sz w:val="22"/>
                <w:szCs w:val="22"/>
                <w:highlight w:val="none"/>
                <w:lang w:val="en" w:eastAsia="zh-CN"/>
              </w:rPr>
              <w:t>3</w:t>
            </w:r>
          </w:p>
        </w:tc>
        <w:tc>
          <w:tcPr>
            <w:tcW w:w="974" w:type="dxa"/>
            <w:tcBorders>
              <w:top w:val="nil"/>
              <w:left w:val="nil"/>
              <w:bottom w:val="single" w:color="auto" w:sz="4" w:space="0"/>
              <w:right w:val="single" w:color="auto" w:sz="4" w:space="0"/>
            </w:tcBorders>
            <w:noWrap w:val="0"/>
            <w:vAlign w:val="center"/>
          </w:tcPr>
          <w:p w14:paraId="5F8691ED">
            <w:pPr>
              <w:widowControl/>
              <w:spacing w:line="240" w:lineRule="exact"/>
              <w:jc w:val="center"/>
              <w:rPr>
                <w:rFonts w:hint="default" w:ascii="仿宋_GB2312" w:hAnsi="仿宋_GB2312" w:eastAsia="仿宋_GB2312" w:cs="仿宋_GB2312"/>
                <w:color w:val="000000"/>
                <w:kern w:val="0"/>
                <w:sz w:val="22"/>
                <w:szCs w:val="22"/>
                <w:highlight w:val="none"/>
                <w:lang w:val="en" w:eastAsia="zh-CN" w:bidi="ar-SA"/>
              </w:rPr>
            </w:pPr>
            <w:r>
              <w:rPr>
                <w:rFonts w:hint="default" w:ascii="仿宋_GB2312" w:hAnsi="仿宋_GB2312" w:eastAsia="仿宋_GB2312" w:cs="仿宋_GB2312"/>
                <w:color w:val="000000"/>
                <w:sz w:val="22"/>
                <w:szCs w:val="22"/>
                <w:highlight w:val="none"/>
                <w:lang w:val="en" w:eastAsia="zh-CN"/>
              </w:rPr>
              <w:t>2</w:t>
            </w:r>
          </w:p>
        </w:tc>
        <w:tc>
          <w:tcPr>
            <w:tcW w:w="1405" w:type="dxa"/>
            <w:tcBorders>
              <w:top w:val="nil"/>
              <w:left w:val="nil"/>
              <w:bottom w:val="single" w:color="auto" w:sz="4" w:space="0"/>
              <w:right w:val="single" w:color="auto" w:sz="4" w:space="0"/>
            </w:tcBorders>
            <w:noWrap w:val="0"/>
            <w:vAlign w:val="center"/>
          </w:tcPr>
          <w:p w14:paraId="3E5AF000">
            <w:pPr>
              <w:widowControl/>
              <w:spacing w:line="240" w:lineRule="exact"/>
              <w:jc w:val="left"/>
              <w:rPr>
                <w:rFonts w:hint="eastAsia" w:ascii="仿宋_GB2312" w:hAnsi="仿宋_GB2312" w:eastAsia="仿宋_GB2312" w:cs="仿宋_GB2312"/>
                <w:color w:val="000000"/>
                <w:sz w:val="22"/>
                <w:szCs w:val="22"/>
                <w:highlight w:val="none"/>
              </w:rPr>
            </w:pPr>
          </w:p>
        </w:tc>
      </w:tr>
      <w:tr w14:paraId="7F50AE49">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49255E8A">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38100768">
            <w:pPr>
              <w:spacing w:line="240" w:lineRule="exact"/>
              <w:jc w:val="left"/>
              <w:rPr>
                <w:rFonts w:hint="eastAsia" w:ascii="仿宋_GB2312" w:hAnsi="仿宋_GB2312" w:eastAsia="仿宋_GB2312" w:cs="仿宋_GB2312"/>
                <w:color w:val="000000"/>
                <w:sz w:val="24"/>
                <w:szCs w:val="24"/>
                <w:highlight w:val="none"/>
              </w:rPr>
            </w:pPr>
          </w:p>
        </w:tc>
        <w:tc>
          <w:tcPr>
            <w:tcW w:w="1069" w:type="dxa"/>
            <w:vMerge w:val="continue"/>
            <w:tcBorders>
              <w:left w:val="single" w:color="auto" w:sz="4" w:space="0"/>
              <w:right w:val="single" w:color="auto" w:sz="4" w:space="0"/>
            </w:tcBorders>
            <w:noWrap w:val="0"/>
            <w:vAlign w:val="center"/>
          </w:tcPr>
          <w:p w14:paraId="60A9E0CB">
            <w:pPr>
              <w:spacing w:line="240" w:lineRule="exact"/>
              <w:jc w:val="left"/>
              <w:rPr>
                <w:rFonts w:hint="eastAsia" w:ascii="仿宋_GB2312" w:hAnsi="仿宋_GB2312" w:eastAsia="仿宋_GB2312" w:cs="仿宋_GB2312"/>
                <w:color w:val="000000"/>
                <w:sz w:val="24"/>
                <w:szCs w:val="24"/>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CF69F38">
            <w:pPr>
              <w:keepNext w:val="0"/>
              <w:keepLines w:val="0"/>
              <w:pageBreakBefore w:val="0"/>
              <w:widowControl/>
              <w:kinsoku/>
              <w:wordWrap/>
              <w:overflowPunct/>
              <w:topLinePunct w:val="0"/>
              <w:autoSpaceDE/>
              <w:autoSpaceDN/>
              <w:bidi w:val="0"/>
              <w:adjustRightInd/>
              <w:snapToGrid/>
              <w:spacing w:afterLines="0" w:line="24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是否对社会环境造成负面影响</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00B7B21">
            <w:pPr>
              <w:keepNext w:val="0"/>
              <w:keepLines w:val="0"/>
              <w:pageBreakBefore w:val="0"/>
              <w:widowControl/>
              <w:kinsoku/>
              <w:wordWrap/>
              <w:overflowPunct/>
              <w:topLinePunct w:val="0"/>
              <w:autoSpaceDE/>
              <w:autoSpaceDN/>
              <w:bidi w:val="0"/>
              <w:adjustRightInd/>
              <w:snapToGrid/>
              <w:spacing w:afterLines="0" w:line="24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 w:eastAsia="zh-CN"/>
              </w:rPr>
              <w:t>无负面影响</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352A0E75">
            <w:pPr>
              <w:keepNext w:val="0"/>
              <w:keepLines w:val="0"/>
              <w:pageBreakBefore w:val="0"/>
              <w:widowControl/>
              <w:kinsoku/>
              <w:wordWrap/>
              <w:overflowPunct/>
              <w:topLinePunct w:val="0"/>
              <w:autoSpaceDE/>
              <w:autoSpaceDN/>
              <w:bidi w:val="0"/>
              <w:adjustRightInd/>
              <w:snapToGrid/>
              <w:spacing w:afterLines="0" w:line="24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 w:eastAsia="zh-CN"/>
              </w:rPr>
              <w:t>无负面影响</w:t>
            </w:r>
          </w:p>
        </w:tc>
        <w:tc>
          <w:tcPr>
            <w:tcW w:w="657" w:type="dxa"/>
            <w:tcBorders>
              <w:top w:val="nil"/>
              <w:left w:val="nil"/>
              <w:bottom w:val="single" w:color="auto" w:sz="4" w:space="0"/>
              <w:right w:val="single" w:color="auto" w:sz="4" w:space="0"/>
            </w:tcBorders>
            <w:noWrap w:val="0"/>
            <w:vAlign w:val="center"/>
          </w:tcPr>
          <w:p w14:paraId="23B7E2AD">
            <w:pPr>
              <w:widowControl/>
              <w:spacing w:line="240" w:lineRule="exact"/>
              <w:jc w:val="center"/>
              <w:rPr>
                <w:rFonts w:hint="default" w:ascii="仿宋_GB2312" w:hAnsi="仿宋_GB2312" w:eastAsia="仿宋_GB2312" w:cs="仿宋_GB2312"/>
                <w:color w:val="000000"/>
                <w:sz w:val="22"/>
                <w:szCs w:val="22"/>
                <w:highlight w:val="none"/>
                <w:lang w:val="en" w:eastAsia="zh-CN"/>
              </w:rPr>
            </w:pPr>
            <w:r>
              <w:rPr>
                <w:rFonts w:hint="default" w:ascii="仿宋_GB2312" w:hAnsi="仿宋_GB2312" w:eastAsia="仿宋_GB2312" w:cs="仿宋_GB2312"/>
                <w:color w:val="000000"/>
                <w:sz w:val="22"/>
                <w:szCs w:val="22"/>
                <w:highlight w:val="none"/>
                <w:lang w:val="en" w:eastAsia="zh-CN"/>
              </w:rPr>
              <w:t>1</w:t>
            </w:r>
          </w:p>
        </w:tc>
        <w:tc>
          <w:tcPr>
            <w:tcW w:w="974" w:type="dxa"/>
            <w:tcBorders>
              <w:top w:val="nil"/>
              <w:left w:val="nil"/>
              <w:bottom w:val="single" w:color="auto" w:sz="4" w:space="0"/>
              <w:right w:val="single" w:color="auto" w:sz="4" w:space="0"/>
            </w:tcBorders>
            <w:noWrap w:val="0"/>
            <w:vAlign w:val="center"/>
          </w:tcPr>
          <w:p w14:paraId="0C8455FB">
            <w:pPr>
              <w:widowControl/>
              <w:spacing w:line="240" w:lineRule="exact"/>
              <w:jc w:val="center"/>
              <w:rPr>
                <w:rFonts w:hint="default" w:ascii="仿宋_GB2312" w:hAnsi="仿宋_GB2312" w:eastAsia="仿宋_GB2312" w:cs="仿宋_GB2312"/>
                <w:color w:val="000000"/>
                <w:sz w:val="22"/>
                <w:szCs w:val="22"/>
                <w:highlight w:val="none"/>
                <w:lang w:val="en"/>
              </w:rPr>
            </w:pPr>
            <w:r>
              <w:rPr>
                <w:rFonts w:hint="default" w:ascii="仿宋_GB2312" w:hAnsi="仿宋_GB2312" w:eastAsia="仿宋_GB2312" w:cs="仿宋_GB2312"/>
                <w:color w:val="000000"/>
                <w:sz w:val="22"/>
                <w:szCs w:val="22"/>
                <w:highlight w:val="none"/>
                <w:lang w:val="en"/>
              </w:rPr>
              <w:t>1</w:t>
            </w:r>
          </w:p>
        </w:tc>
        <w:tc>
          <w:tcPr>
            <w:tcW w:w="1405" w:type="dxa"/>
            <w:tcBorders>
              <w:top w:val="nil"/>
              <w:left w:val="nil"/>
              <w:bottom w:val="single" w:color="auto" w:sz="4" w:space="0"/>
              <w:right w:val="single" w:color="auto" w:sz="4" w:space="0"/>
            </w:tcBorders>
            <w:noWrap w:val="0"/>
            <w:vAlign w:val="center"/>
          </w:tcPr>
          <w:p w14:paraId="0C5B6C30">
            <w:pPr>
              <w:widowControl/>
              <w:spacing w:line="240" w:lineRule="exact"/>
              <w:jc w:val="left"/>
              <w:rPr>
                <w:rFonts w:hint="eastAsia" w:ascii="仿宋_GB2312" w:hAnsi="仿宋_GB2312" w:eastAsia="仿宋_GB2312" w:cs="仿宋_GB2312"/>
                <w:color w:val="000000"/>
                <w:sz w:val="22"/>
                <w:szCs w:val="22"/>
                <w:highlight w:val="none"/>
              </w:rPr>
            </w:pPr>
          </w:p>
        </w:tc>
      </w:tr>
      <w:tr w14:paraId="2B5C0376">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42FDB8DB">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val="0"/>
            <w:vAlign w:val="center"/>
          </w:tcPr>
          <w:p w14:paraId="707E915F">
            <w:pPr>
              <w:spacing w:line="240" w:lineRule="exact"/>
              <w:jc w:val="left"/>
              <w:rPr>
                <w:rFonts w:hint="eastAsia" w:ascii="仿宋_GB2312" w:hAnsi="仿宋_GB2312" w:eastAsia="仿宋_GB2312" w:cs="仿宋_GB2312"/>
                <w:color w:val="000000"/>
                <w:sz w:val="24"/>
                <w:szCs w:val="24"/>
                <w:highlight w:val="none"/>
              </w:rPr>
            </w:pPr>
          </w:p>
        </w:tc>
        <w:tc>
          <w:tcPr>
            <w:tcW w:w="1069" w:type="dxa"/>
            <w:vMerge w:val="continue"/>
            <w:tcBorders>
              <w:left w:val="single" w:color="auto" w:sz="4" w:space="0"/>
              <w:bottom w:val="single" w:color="auto" w:sz="4" w:space="0"/>
              <w:right w:val="single" w:color="auto" w:sz="4" w:space="0"/>
            </w:tcBorders>
            <w:noWrap w:val="0"/>
            <w:vAlign w:val="center"/>
          </w:tcPr>
          <w:p w14:paraId="648F7E89">
            <w:pPr>
              <w:spacing w:line="240" w:lineRule="exact"/>
              <w:jc w:val="left"/>
              <w:rPr>
                <w:rFonts w:hint="default" w:ascii="仿宋_GB2312" w:hAnsi="仿宋_GB2312" w:eastAsia="仿宋_GB2312" w:cs="仿宋_GB2312"/>
                <w:color w:val="000000"/>
                <w:sz w:val="24"/>
                <w:szCs w:val="24"/>
                <w:highlight w:val="none"/>
                <w:lang w:val="en-US" w:eastAsia="zh-CN"/>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679C2D5">
            <w:pPr>
              <w:keepNext w:val="0"/>
              <w:keepLines w:val="0"/>
              <w:pageBreakBefore w:val="0"/>
              <w:widowControl/>
              <w:kinsoku/>
              <w:wordWrap/>
              <w:overflowPunct/>
              <w:topLinePunct w:val="0"/>
              <w:autoSpaceDE/>
              <w:autoSpaceDN/>
              <w:bidi w:val="0"/>
              <w:adjustRightInd/>
              <w:snapToGrid/>
              <w:spacing w:afterLines="0" w:line="24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是否对生态环境造成负面影响</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7656D60">
            <w:pPr>
              <w:keepNext w:val="0"/>
              <w:keepLines w:val="0"/>
              <w:pageBreakBefore w:val="0"/>
              <w:widowControl/>
              <w:kinsoku/>
              <w:wordWrap/>
              <w:overflowPunct/>
              <w:topLinePunct w:val="0"/>
              <w:autoSpaceDE/>
              <w:autoSpaceDN/>
              <w:bidi w:val="0"/>
              <w:adjustRightInd/>
              <w:snapToGrid/>
              <w:spacing w:afterLines="0" w:line="24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 w:eastAsia="zh-CN"/>
              </w:rPr>
              <w:t>无负面影响</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7679B852">
            <w:pPr>
              <w:keepNext w:val="0"/>
              <w:keepLines w:val="0"/>
              <w:pageBreakBefore w:val="0"/>
              <w:widowControl/>
              <w:kinsoku/>
              <w:wordWrap/>
              <w:overflowPunct/>
              <w:topLinePunct w:val="0"/>
              <w:autoSpaceDE/>
              <w:autoSpaceDN/>
              <w:bidi w:val="0"/>
              <w:adjustRightInd/>
              <w:snapToGrid/>
              <w:spacing w:afterLines="0" w:line="24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 w:eastAsia="zh-CN"/>
              </w:rPr>
              <w:t>无负面影响</w:t>
            </w:r>
          </w:p>
        </w:tc>
        <w:tc>
          <w:tcPr>
            <w:tcW w:w="657" w:type="dxa"/>
            <w:tcBorders>
              <w:top w:val="nil"/>
              <w:left w:val="nil"/>
              <w:bottom w:val="single" w:color="auto" w:sz="4" w:space="0"/>
              <w:right w:val="single" w:color="auto" w:sz="4" w:space="0"/>
            </w:tcBorders>
            <w:noWrap w:val="0"/>
            <w:vAlign w:val="center"/>
          </w:tcPr>
          <w:p w14:paraId="6BFE77FA">
            <w:pPr>
              <w:widowControl/>
              <w:spacing w:line="240" w:lineRule="exact"/>
              <w:jc w:val="center"/>
              <w:rPr>
                <w:rFonts w:hint="default" w:ascii="仿宋_GB2312" w:hAnsi="仿宋_GB2312" w:eastAsia="仿宋_GB2312" w:cs="仿宋_GB2312"/>
                <w:color w:val="000000"/>
                <w:sz w:val="22"/>
                <w:szCs w:val="22"/>
                <w:highlight w:val="none"/>
                <w:lang w:val="en" w:eastAsia="zh-CN"/>
              </w:rPr>
            </w:pPr>
            <w:r>
              <w:rPr>
                <w:rFonts w:hint="default" w:ascii="仿宋_GB2312" w:hAnsi="仿宋_GB2312" w:eastAsia="仿宋_GB2312" w:cs="仿宋_GB2312"/>
                <w:color w:val="000000"/>
                <w:sz w:val="22"/>
                <w:szCs w:val="22"/>
                <w:highlight w:val="none"/>
                <w:lang w:val="en" w:eastAsia="zh-CN"/>
              </w:rPr>
              <w:t>1</w:t>
            </w:r>
          </w:p>
        </w:tc>
        <w:tc>
          <w:tcPr>
            <w:tcW w:w="974" w:type="dxa"/>
            <w:tcBorders>
              <w:top w:val="nil"/>
              <w:left w:val="nil"/>
              <w:bottom w:val="single" w:color="auto" w:sz="4" w:space="0"/>
              <w:right w:val="single" w:color="auto" w:sz="4" w:space="0"/>
            </w:tcBorders>
            <w:noWrap w:val="0"/>
            <w:vAlign w:val="center"/>
          </w:tcPr>
          <w:p w14:paraId="02A48012">
            <w:pPr>
              <w:widowControl/>
              <w:spacing w:line="240" w:lineRule="exact"/>
              <w:jc w:val="center"/>
              <w:rPr>
                <w:rFonts w:hint="default" w:ascii="仿宋_GB2312" w:hAnsi="仿宋_GB2312" w:eastAsia="仿宋_GB2312" w:cs="仿宋_GB2312"/>
                <w:color w:val="000000"/>
                <w:sz w:val="22"/>
                <w:szCs w:val="22"/>
                <w:highlight w:val="none"/>
                <w:lang w:val="en" w:eastAsia="zh-CN"/>
              </w:rPr>
            </w:pPr>
            <w:r>
              <w:rPr>
                <w:rFonts w:hint="default" w:ascii="仿宋_GB2312" w:hAnsi="仿宋_GB2312" w:eastAsia="仿宋_GB2312" w:cs="仿宋_GB2312"/>
                <w:color w:val="000000"/>
                <w:sz w:val="22"/>
                <w:szCs w:val="22"/>
                <w:highlight w:val="none"/>
                <w:lang w:val="en" w:eastAsia="zh-CN"/>
              </w:rPr>
              <w:t>1</w:t>
            </w:r>
          </w:p>
        </w:tc>
        <w:tc>
          <w:tcPr>
            <w:tcW w:w="1405" w:type="dxa"/>
            <w:tcBorders>
              <w:top w:val="nil"/>
              <w:left w:val="nil"/>
              <w:bottom w:val="single" w:color="auto" w:sz="4" w:space="0"/>
              <w:right w:val="single" w:color="auto" w:sz="4" w:space="0"/>
            </w:tcBorders>
            <w:noWrap w:val="0"/>
            <w:vAlign w:val="center"/>
          </w:tcPr>
          <w:p w14:paraId="568967B6">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33CAC83C">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6D1BF3E6">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restart"/>
            <w:tcBorders>
              <w:top w:val="single" w:color="auto" w:sz="4" w:space="0"/>
              <w:left w:val="nil"/>
              <w:bottom w:val="single" w:color="auto" w:sz="4" w:space="0"/>
              <w:right w:val="single" w:color="auto" w:sz="4" w:space="0"/>
            </w:tcBorders>
            <w:noWrap w:val="0"/>
            <w:vAlign w:val="center"/>
          </w:tcPr>
          <w:p w14:paraId="47DBDC8C">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效益指标（30分）</w:t>
            </w:r>
          </w:p>
          <w:p w14:paraId="222DB930">
            <w:pPr>
              <w:widowControl/>
              <w:spacing w:line="24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507E5D92">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经济效</w:t>
            </w:r>
          </w:p>
          <w:p w14:paraId="540CD68D">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益指标</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E77EEE0">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不适用</w:t>
            </w:r>
          </w:p>
        </w:tc>
        <w:tc>
          <w:tcPr>
            <w:tcW w:w="1044" w:type="dxa"/>
            <w:tcBorders>
              <w:top w:val="single" w:color="auto" w:sz="4" w:space="0"/>
              <w:left w:val="nil"/>
              <w:bottom w:val="single" w:color="auto" w:sz="4" w:space="0"/>
              <w:right w:val="single" w:color="auto" w:sz="4" w:space="0"/>
            </w:tcBorders>
            <w:noWrap w:val="0"/>
            <w:vAlign w:val="center"/>
          </w:tcPr>
          <w:p w14:paraId="79EAA9D3">
            <w:pPr>
              <w:widowControl/>
              <w:spacing w:line="240" w:lineRule="exact"/>
              <w:jc w:val="both"/>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不适用</w:t>
            </w:r>
          </w:p>
        </w:tc>
        <w:tc>
          <w:tcPr>
            <w:tcW w:w="939" w:type="dxa"/>
            <w:tcBorders>
              <w:top w:val="single" w:color="auto" w:sz="4" w:space="0"/>
              <w:left w:val="nil"/>
              <w:bottom w:val="single" w:color="auto" w:sz="4" w:space="0"/>
              <w:right w:val="single" w:color="auto" w:sz="4" w:space="0"/>
            </w:tcBorders>
            <w:noWrap w:val="0"/>
            <w:vAlign w:val="center"/>
          </w:tcPr>
          <w:p w14:paraId="7E54694D">
            <w:pPr>
              <w:widowControl/>
              <w:spacing w:line="240" w:lineRule="exact"/>
              <w:jc w:val="both"/>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不适用</w:t>
            </w:r>
          </w:p>
        </w:tc>
        <w:tc>
          <w:tcPr>
            <w:tcW w:w="657" w:type="dxa"/>
            <w:tcBorders>
              <w:top w:val="nil"/>
              <w:left w:val="nil"/>
              <w:bottom w:val="single" w:color="auto" w:sz="4" w:space="0"/>
              <w:right w:val="single" w:color="auto" w:sz="4" w:space="0"/>
            </w:tcBorders>
            <w:noWrap w:val="0"/>
            <w:vAlign w:val="center"/>
          </w:tcPr>
          <w:p w14:paraId="1D641EDB">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0</w:t>
            </w:r>
          </w:p>
        </w:tc>
        <w:tc>
          <w:tcPr>
            <w:tcW w:w="974" w:type="dxa"/>
            <w:tcBorders>
              <w:top w:val="nil"/>
              <w:left w:val="nil"/>
              <w:bottom w:val="single" w:color="auto" w:sz="4" w:space="0"/>
              <w:right w:val="single" w:color="auto" w:sz="4" w:space="0"/>
            </w:tcBorders>
            <w:noWrap w:val="0"/>
            <w:vAlign w:val="center"/>
          </w:tcPr>
          <w:p w14:paraId="43FBD17A">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0</w:t>
            </w:r>
          </w:p>
        </w:tc>
        <w:tc>
          <w:tcPr>
            <w:tcW w:w="1405" w:type="dxa"/>
            <w:tcBorders>
              <w:top w:val="nil"/>
              <w:left w:val="nil"/>
              <w:bottom w:val="single" w:color="auto" w:sz="4" w:space="0"/>
              <w:right w:val="single" w:color="auto" w:sz="4" w:space="0"/>
            </w:tcBorders>
            <w:noWrap w:val="0"/>
            <w:vAlign w:val="center"/>
          </w:tcPr>
          <w:p w14:paraId="7B158E77">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5FCB8E59">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2AD63C8B">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nil"/>
              <w:bottom w:val="single" w:color="auto" w:sz="4" w:space="0"/>
              <w:right w:val="single" w:color="auto" w:sz="4" w:space="0"/>
            </w:tcBorders>
            <w:noWrap w:val="0"/>
            <w:vAlign w:val="center"/>
          </w:tcPr>
          <w:p w14:paraId="24F1C962">
            <w:pPr>
              <w:spacing w:line="240" w:lineRule="exact"/>
              <w:jc w:val="left"/>
              <w:rPr>
                <w:rFonts w:hint="eastAsia" w:ascii="仿宋_GB2312" w:hAnsi="仿宋_GB2312" w:eastAsia="仿宋_GB2312" w:cs="仿宋_GB2312"/>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E7F69E7">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社会效</w:t>
            </w:r>
          </w:p>
          <w:p w14:paraId="2BACED74">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益指标</w:t>
            </w:r>
          </w:p>
        </w:tc>
        <w:tc>
          <w:tcPr>
            <w:tcW w:w="1556" w:type="dxa"/>
            <w:tcBorders>
              <w:top w:val="single" w:color="auto" w:sz="4" w:space="0"/>
              <w:left w:val="nil"/>
              <w:bottom w:val="single" w:color="auto" w:sz="4" w:space="0"/>
              <w:right w:val="single" w:color="auto" w:sz="4" w:space="0"/>
            </w:tcBorders>
            <w:noWrap w:val="0"/>
            <w:vAlign w:val="center"/>
          </w:tcPr>
          <w:p w14:paraId="027E3359">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面向社会提供公益服务，确保市容卫生整洁。</w:t>
            </w:r>
          </w:p>
        </w:tc>
        <w:tc>
          <w:tcPr>
            <w:tcW w:w="1044" w:type="dxa"/>
            <w:tcBorders>
              <w:top w:val="nil"/>
              <w:left w:val="nil"/>
              <w:bottom w:val="single" w:color="auto" w:sz="4" w:space="0"/>
              <w:right w:val="single" w:color="auto" w:sz="4" w:space="0"/>
            </w:tcBorders>
            <w:noWrap w:val="0"/>
            <w:vAlign w:val="center"/>
          </w:tcPr>
          <w:p w14:paraId="04DF9194">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社会效益较好</w:t>
            </w:r>
          </w:p>
        </w:tc>
        <w:tc>
          <w:tcPr>
            <w:tcW w:w="939" w:type="dxa"/>
            <w:tcBorders>
              <w:top w:val="nil"/>
              <w:left w:val="nil"/>
              <w:bottom w:val="single" w:color="auto" w:sz="4" w:space="0"/>
              <w:right w:val="single" w:color="auto" w:sz="4" w:space="0"/>
            </w:tcBorders>
            <w:noWrap w:val="0"/>
            <w:vAlign w:val="center"/>
          </w:tcPr>
          <w:p w14:paraId="0D86F710">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100%</w:t>
            </w:r>
          </w:p>
        </w:tc>
        <w:tc>
          <w:tcPr>
            <w:tcW w:w="657" w:type="dxa"/>
            <w:tcBorders>
              <w:top w:val="nil"/>
              <w:left w:val="nil"/>
              <w:bottom w:val="single" w:color="auto" w:sz="4" w:space="0"/>
              <w:right w:val="single" w:color="auto" w:sz="4" w:space="0"/>
            </w:tcBorders>
            <w:noWrap w:val="0"/>
            <w:vAlign w:val="center"/>
          </w:tcPr>
          <w:p w14:paraId="496FF9A7">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974" w:type="dxa"/>
            <w:tcBorders>
              <w:top w:val="nil"/>
              <w:left w:val="nil"/>
              <w:bottom w:val="single" w:color="auto" w:sz="4" w:space="0"/>
              <w:right w:val="single" w:color="auto" w:sz="4" w:space="0"/>
            </w:tcBorders>
            <w:noWrap w:val="0"/>
            <w:vAlign w:val="center"/>
          </w:tcPr>
          <w:p w14:paraId="3468C4BE">
            <w:pPr>
              <w:widowControl/>
              <w:spacing w:line="240" w:lineRule="exact"/>
              <w:jc w:val="left"/>
              <w:rPr>
                <w:rFonts w:hint="default" w:ascii="仿宋_GB2312" w:hAnsi="仿宋_GB2312" w:eastAsia="仿宋_GB2312" w:cs="仿宋_GB2312"/>
                <w:color w:val="auto"/>
                <w:sz w:val="22"/>
                <w:szCs w:val="22"/>
                <w:highlight w:val="none"/>
                <w:lang w:val="en" w:eastAsia="zh-CN"/>
              </w:rPr>
            </w:pPr>
            <w:r>
              <w:rPr>
                <w:rFonts w:hint="eastAsia" w:ascii="仿宋_GB2312" w:hAnsi="仿宋_GB2312" w:eastAsia="仿宋_GB2312" w:cs="仿宋_GB2312"/>
                <w:color w:val="auto"/>
                <w:sz w:val="22"/>
                <w:szCs w:val="22"/>
                <w:highlight w:val="none"/>
              </w:rPr>
              <w:t>　</w:t>
            </w:r>
            <w:r>
              <w:rPr>
                <w:rFonts w:hint="default" w:ascii="仿宋_GB2312" w:hAnsi="仿宋_GB2312" w:eastAsia="仿宋_GB2312" w:cs="仿宋_GB2312"/>
                <w:color w:val="auto"/>
                <w:sz w:val="22"/>
                <w:szCs w:val="22"/>
                <w:highlight w:val="none"/>
                <w:lang w:val="en" w:eastAsia="zh-CN"/>
              </w:rPr>
              <w:t>9</w:t>
            </w:r>
          </w:p>
        </w:tc>
        <w:tc>
          <w:tcPr>
            <w:tcW w:w="1405" w:type="dxa"/>
            <w:tcBorders>
              <w:top w:val="nil"/>
              <w:left w:val="nil"/>
              <w:bottom w:val="single" w:color="auto" w:sz="4" w:space="0"/>
              <w:right w:val="single" w:color="auto" w:sz="4" w:space="0"/>
            </w:tcBorders>
            <w:noWrap w:val="0"/>
            <w:vAlign w:val="center"/>
          </w:tcPr>
          <w:p w14:paraId="60D6E187">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314A681B">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4020064C">
            <w:pPr>
              <w:spacing w:line="240" w:lineRule="exact"/>
              <w:jc w:val="left"/>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nil"/>
              <w:bottom w:val="single" w:color="auto" w:sz="4" w:space="0"/>
              <w:right w:val="single" w:color="auto" w:sz="4" w:space="0"/>
            </w:tcBorders>
            <w:noWrap w:val="0"/>
            <w:vAlign w:val="center"/>
          </w:tcPr>
          <w:p w14:paraId="083A3B86">
            <w:pPr>
              <w:spacing w:line="240" w:lineRule="exact"/>
              <w:jc w:val="left"/>
              <w:rPr>
                <w:rFonts w:hint="eastAsia" w:ascii="仿宋_GB2312" w:hAnsi="仿宋_GB2312" w:eastAsia="仿宋_GB2312" w:cs="仿宋_GB2312"/>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5971227">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生态效</w:t>
            </w:r>
          </w:p>
          <w:p w14:paraId="1C1A154E">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益指标</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EA7D651">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按环保要求达标处理，降低环境污染，推动生态文明建设。</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367C4A0">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保护环境</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B05041B">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317CA01A">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77A650CD">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1C93944">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199BFDC4">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right w:val="single" w:color="auto" w:sz="4" w:space="0"/>
            </w:tcBorders>
            <w:noWrap w:val="0"/>
            <w:vAlign w:val="center"/>
          </w:tcPr>
          <w:p w14:paraId="2E376AB8">
            <w:pPr>
              <w:widowControl/>
              <w:spacing w:line="240" w:lineRule="exact"/>
              <w:jc w:val="center"/>
              <w:rPr>
                <w:rFonts w:hint="eastAsia" w:ascii="仿宋_GB2312" w:hAnsi="仿宋_GB2312" w:eastAsia="仿宋_GB2312" w:cs="仿宋_GB2312"/>
                <w:color w:val="000000"/>
                <w:sz w:val="24"/>
                <w:szCs w:val="24"/>
                <w:highlight w:val="none"/>
              </w:rPr>
            </w:pPr>
          </w:p>
        </w:tc>
        <w:tc>
          <w:tcPr>
            <w:tcW w:w="968" w:type="dxa"/>
            <w:vMerge w:val="continue"/>
            <w:tcBorders>
              <w:top w:val="single" w:color="auto" w:sz="4" w:space="0"/>
              <w:left w:val="nil"/>
              <w:bottom w:val="single" w:color="auto" w:sz="4" w:space="0"/>
              <w:right w:val="single" w:color="auto" w:sz="4" w:space="0"/>
            </w:tcBorders>
            <w:noWrap w:val="0"/>
            <w:vAlign w:val="center"/>
          </w:tcPr>
          <w:p w14:paraId="3CE200CD">
            <w:pPr>
              <w:widowControl/>
              <w:spacing w:line="240" w:lineRule="exact"/>
              <w:jc w:val="left"/>
              <w:rPr>
                <w:rFonts w:hint="eastAsia" w:ascii="仿宋_GB2312" w:hAnsi="仿宋_GB2312" w:eastAsia="仿宋_GB2312" w:cs="仿宋_GB2312"/>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5DE8E2BD">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可持续影响指标</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71972A86">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可持续影响</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C5F33E7">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有</w:t>
            </w:r>
            <w:r>
              <w:rPr>
                <w:rFonts w:hint="eastAsia" w:ascii="仿宋_GB2312" w:hAnsi="仿宋_GB2312" w:eastAsia="仿宋_GB2312" w:cs="仿宋_GB2312"/>
                <w:color w:val="000000"/>
                <w:sz w:val="22"/>
                <w:szCs w:val="22"/>
                <w:highlight w:val="none"/>
              </w:rPr>
              <w:t>可持续影响</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9C7741">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419BA5A9">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00F96400">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CAE9E4F">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0B14C8F7">
        <w:tblPrEx>
          <w:tblCellMar>
            <w:top w:w="0" w:type="dxa"/>
            <w:left w:w="108" w:type="dxa"/>
            <w:bottom w:w="0" w:type="dxa"/>
            <w:right w:w="108" w:type="dxa"/>
          </w:tblCellMar>
        </w:tblPrEx>
        <w:trPr>
          <w:cantSplit/>
          <w:trHeight w:val="0" w:hRule="atLeast"/>
          <w:jc w:val="center"/>
        </w:trPr>
        <w:tc>
          <w:tcPr>
            <w:tcW w:w="807" w:type="dxa"/>
            <w:vMerge w:val="continue"/>
            <w:tcBorders>
              <w:left w:val="single" w:color="auto" w:sz="4" w:space="0"/>
              <w:bottom w:val="single" w:color="auto" w:sz="4" w:space="0"/>
              <w:right w:val="single" w:color="auto" w:sz="4" w:space="0"/>
            </w:tcBorders>
            <w:noWrap w:val="0"/>
            <w:vAlign w:val="center"/>
          </w:tcPr>
          <w:p w14:paraId="29E65FB6">
            <w:pPr>
              <w:spacing w:line="240" w:lineRule="exact"/>
              <w:jc w:val="left"/>
              <w:rPr>
                <w:rFonts w:hint="eastAsia" w:ascii="仿宋_GB2312" w:hAnsi="仿宋_GB2312" w:eastAsia="仿宋_GB2312" w:cs="仿宋_GB2312"/>
                <w:color w:val="000000"/>
                <w:sz w:val="24"/>
                <w:szCs w:val="24"/>
                <w:highlight w:val="none"/>
              </w:rPr>
            </w:pPr>
          </w:p>
        </w:tc>
        <w:tc>
          <w:tcPr>
            <w:tcW w:w="968" w:type="dxa"/>
            <w:tcBorders>
              <w:top w:val="single" w:color="auto" w:sz="4" w:space="0"/>
              <w:left w:val="nil"/>
              <w:bottom w:val="single" w:color="auto" w:sz="4" w:space="0"/>
              <w:right w:val="single" w:color="auto" w:sz="4" w:space="0"/>
            </w:tcBorders>
            <w:noWrap w:val="0"/>
            <w:vAlign w:val="center"/>
          </w:tcPr>
          <w:p w14:paraId="0EE325BE">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满意度</w:t>
            </w:r>
          </w:p>
          <w:p w14:paraId="2FDFA486">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指标</w:t>
            </w:r>
          </w:p>
          <w:p w14:paraId="65EDD794">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（10分）</w:t>
            </w:r>
          </w:p>
        </w:tc>
        <w:tc>
          <w:tcPr>
            <w:tcW w:w="1069" w:type="dxa"/>
            <w:tcBorders>
              <w:top w:val="single" w:color="auto" w:sz="4" w:space="0"/>
              <w:left w:val="nil"/>
              <w:bottom w:val="single" w:color="auto" w:sz="4" w:space="0"/>
              <w:right w:val="single" w:color="auto" w:sz="4" w:space="0"/>
            </w:tcBorders>
            <w:noWrap w:val="0"/>
            <w:vAlign w:val="center"/>
          </w:tcPr>
          <w:p w14:paraId="13374BB2">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服务对象满意度指标</w:t>
            </w:r>
          </w:p>
        </w:tc>
        <w:tc>
          <w:tcPr>
            <w:tcW w:w="1556" w:type="dxa"/>
            <w:tcBorders>
              <w:top w:val="nil"/>
              <w:left w:val="nil"/>
              <w:bottom w:val="single" w:color="auto" w:sz="4" w:space="0"/>
              <w:right w:val="single" w:color="auto" w:sz="4" w:space="0"/>
            </w:tcBorders>
            <w:noWrap w:val="0"/>
            <w:vAlign w:val="center"/>
          </w:tcPr>
          <w:p w14:paraId="6E1798D1">
            <w:pPr>
              <w:widowControl/>
              <w:spacing w:line="24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满意</w:t>
            </w:r>
          </w:p>
        </w:tc>
        <w:tc>
          <w:tcPr>
            <w:tcW w:w="1044" w:type="dxa"/>
            <w:tcBorders>
              <w:top w:val="nil"/>
              <w:left w:val="nil"/>
              <w:bottom w:val="single" w:color="auto" w:sz="4" w:space="0"/>
              <w:right w:val="single" w:color="auto" w:sz="4" w:space="0"/>
            </w:tcBorders>
            <w:noWrap w:val="0"/>
            <w:vAlign w:val="center"/>
          </w:tcPr>
          <w:p w14:paraId="1245B5F6">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满意度≧90</w:t>
            </w:r>
          </w:p>
        </w:tc>
        <w:tc>
          <w:tcPr>
            <w:tcW w:w="939" w:type="dxa"/>
            <w:tcBorders>
              <w:top w:val="nil"/>
              <w:left w:val="nil"/>
              <w:bottom w:val="single" w:color="auto" w:sz="4" w:space="0"/>
              <w:right w:val="single" w:color="auto" w:sz="4" w:space="0"/>
            </w:tcBorders>
            <w:noWrap w:val="0"/>
            <w:vAlign w:val="center"/>
          </w:tcPr>
          <w:p w14:paraId="47DCAF38">
            <w:pPr>
              <w:widowControl/>
              <w:spacing w:line="240" w:lineRule="exact"/>
              <w:jc w:val="left"/>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100%</w:t>
            </w:r>
          </w:p>
        </w:tc>
        <w:tc>
          <w:tcPr>
            <w:tcW w:w="657" w:type="dxa"/>
            <w:tcBorders>
              <w:top w:val="nil"/>
              <w:left w:val="nil"/>
              <w:bottom w:val="single" w:color="auto" w:sz="4" w:space="0"/>
              <w:right w:val="single" w:color="auto" w:sz="4" w:space="0"/>
            </w:tcBorders>
            <w:noWrap w:val="0"/>
            <w:vAlign w:val="center"/>
          </w:tcPr>
          <w:p w14:paraId="03489182">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974" w:type="dxa"/>
            <w:tcBorders>
              <w:top w:val="nil"/>
              <w:left w:val="nil"/>
              <w:bottom w:val="single" w:color="auto" w:sz="4" w:space="0"/>
              <w:right w:val="single" w:color="auto" w:sz="4" w:space="0"/>
            </w:tcBorders>
            <w:noWrap w:val="0"/>
            <w:vAlign w:val="center"/>
          </w:tcPr>
          <w:p w14:paraId="358652D0">
            <w:pPr>
              <w:widowControl/>
              <w:spacing w:line="240" w:lineRule="exact"/>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　</w:t>
            </w:r>
            <w:r>
              <w:rPr>
                <w:rFonts w:hint="eastAsia" w:ascii="仿宋_GB2312" w:hAnsi="仿宋_GB2312" w:eastAsia="仿宋_GB2312" w:cs="仿宋_GB2312"/>
                <w:color w:val="000000"/>
                <w:sz w:val="22"/>
                <w:szCs w:val="22"/>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7FA6BADB">
            <w:pPr>
              <w:widowControl/>
              <w:spacing w:line="240" w:lineRule="exact"/>
              <w:jc w:val="lef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w:t>
            </w:r>
          </w:p>
        </w:tc>
      </w:tr>
      <w:tr w14:paraId="6E81BC90">
        <w:tblPrEx>
          <w:tblCellMar>
            <w:top w:w="0" w:type="dxa"/>
            <w:left w:w="108" w:type="dxa"/>
            <w:bottom w:w="0" w:type="dxa"/>
            <w:right w:w="108" w:type="dxa"/>
          </w:tblCellMar>
        </w:tblPrEx>
        <w:trPr>
          <w:cantSplit/>
          <w:trHeight w:val="690" w:hRule="atLeast"/>
          <w:jc w:val="center"/>
        </w:trPr>
        <w:tc>
          <w:tcPr>
            <w:tcW w:w="6383" w:type="dxa"/>
            <w:gridSpan w:val="6"/>
            <w:tcBorders>
              <w:top w:val="single" w:color="auto" w:sz="4" w:space="0"/>
              <w:left w:val="single" w:color="auto" w:sz="4" w:space="0"/>
              <w:bottom w:val="single" w:color="auto" w:sz="4" w:space="0"/>
              <w:right w:val="single" w:color="auto" w:sz="4" w:space="0"/>
            </w:tcBorders>
            <w:noWrap w:val="0"/>
            <w:vAlign w:val="center"/>
          </w:tcPr>
          <w:p w14:paraId="0A11EC56">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总分</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2097CD3B">
            <w:pPr>
              <w:widowControl/>
              <w:spacing w:line="24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100</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1D726EFE">
            <w:pPr>
              <w:widowControl/>
              <w:spacing w:line="240" w:lineRule="exact"/>
              <w:jc w:val="left"/>
              <w:rPr>
                <w:rFonts w:hint="default" w:ascii="仿宋_GB2312" w:hAnsi="仿宋_GB2312" w:eastAsia="仿宋_GB2312" w:cs="仿宋_GB2312"/>
                <w:color w:val="FF0000"/>
                <w:sz w:val="24"/>
                <w:szCs w:val="24"/>
                <w:highlight w:val="none"/>
                <w:lang w:val="en" w:eastAsia="zh-CN"/>
              </w:rPr>
            </w:pPr>
            <w:r>
              <w:rPr>
                <w:rFonts w:hint="eastAsia" w:ascii="仿宋_GB2312" w:hAnsi="仿宋_GB2312" w:eastAsia="仿宋_GB2312" w:cs="仿宋_GB2312"/>
                <w:color w:val="auto"/>
                <w:sz w:val="24"/>
                <w:szCs w:val="24"/>
                <w:highlight w:val="none"/>
                <w:lang w:val="en-US" w:eastAsia="zh-CN"/>
              </w:rPr>
              <w:t>98</w:t>
            </w:r>
            <w:r>
              <w:rPr>
                <w:rFonts w:hint="default" w:ascii="仿宋_GB2312" w:hAnsi="仿宋_GB2312" w:eastAsia="仿宋_GB2312" w:cs="仿宋_GB2312"/>
                <w:color w:val="auto"/>
                <w:sz w:val="24"/>
                <w:szCs w:val="24"/>
                <w:highlight w:val="none"/>
                <w:lang w:val="en" w:eastAsia="zh-CN"/>
              </w:rPr>
              <w:t>.56</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5450C7A">
            <w:pPr>
              <w:widowControl/>
              <w:spacing w:line="240" w:lineRule="exact"/>
              <w:jc w:val="left"/>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FF0000"/>
                <w:sz w:val="24"/>
                <w:szCs w:val="24"/>
                <w:highlight w:val="none"/>
              </w:rPr>
              <w:t>　</w:t>
            </w:r>
          </w:p>
        </w:tc>
      </w:tr>
    </w:tbl>
    <w:p w14:paraId="3BB5B9DF">
      <w:pPr>
        <w:widowControl/>
        <w:spacing w:line="600" w:lineRule="exact"/>
        <w:jc w:val="both"/>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sz w:val="24"/>
          <w:szCs w:val="24"/>
          <w:highlight w:val="none"/>
        </w:rPr>
        <w:t>填表人：</w:t>
      </w:r>
      <w:r>
        <w:rPr>
          <w:rFonts w:hint="eastAsia" w:ascii="CESI仿宋-GB2312" w:hAnsi="CESI仿宋-GB2312" w:eastAsia="CESI仿宋-GB2312" w:cs="CESI仿宋-GB2312"/>
          <w:sz w:val="24"/>
          <w:szCs w:val="24"/>
          <w:highlight w:val="none"/>
          <w:lang w:val="en-US" w:eastAsia="zh-CN"/>
        </w:rPr>
        <w:t>范青华</w:t>
      </w:r>
      <w:r>
        <w:rPr>
          <w:rFonts w:hint="eastAsia" w:ascii="CESI仿宋-GB2312" w:hAnsi="CESI仿宋-GB2312" w:eastAsia="CESI仿宋-GB2312" w:cs="CESI仿宋-GB2312"/>
          <w:sz w:val="24"/>
          <w:szCs w:val="24"/>
          <w:highlight w:val="none"/>
        </w:rPr>
        <w:t xml:space="preserve"> 填报日期：</w:t>
      </w:r>
      <w:r>
        <w:rPr>
          <w:rFonts w:hint="eastAsia" w:ascii="CESI仿宋-GB2312" w:hAnsi="CESI仿宋-GB2312" w:eastAsia="CESI仿宋-GB2312" w:cs="CESI仿宋-GB2312"/>
          <w:sz w:val="24"/>
          <w:szCs w:val="24"/>
          <w:highlight w:val="none"/>
          <w:lang w:val="en-US" w:eastAsia="zh-CN"/>
        </w:rPr>
        <w:t>2025.6.15</w:t>
      </w:r>
      <w:r>
        <w:rPr>
          <w:rFonts w:hint="eastAsia" w:ascii="CESI仿宋-GB2312" w:hAnsi="CESI仿宋-GB2312" w:eastAsia="CESI仿宋-GB2312" w:cs="CESI仿宋-GB2312"/>
          <w:sz w:val="24"/>
          <w:szCs w:val="24"/>
          <w:highlight w:val="none"/>
        </w:rPr>
        <w:t xml:space="preserve"> 联系电话</w:t>
      </w:r>
      <w:r>
        <w:rPr>
          <w:rFonts w:hint="eastAsia" w:ascii="CESI仿宋-GB2312" w:hAnsi="CESI仿宋-GB2312" w:eastAsia="CESI仿宋-GB2312" w:cs="CESI仿宋-GB2312"/>
          <w:sz w:val="24"/>
          <w:szCs w:val="24"/>
          <w:highlight w:val="none"/>
          <w:lang w:eastAsia="zh-CN"/>
        </w:rPr>
        <w:t>：</w:t>
      </w:r>
      <w:r>
        <w:rPr>
          <w:rFonts w:hint="eastAsia" w:ascii="CESI仿宋-GB2312" w:hAnsi="CESI仿宋-GB2312" w:eastAsia="CESI仿宋-GB2312" w:cs="CESI仿宋-GB2312"/>
          <w:sz w:val="24"/>
          <w:szCs w:val="24"/>
          <w:highlight w:val="none"/>
          <w:lang w:val="en-US" w:eastAsia="zh-CN"/>
        </w:rPr>
        <w:t xml:space="preserve">8855680 </w:t>
      </w:r>
      <w:r>
        <w:rPr>
          <w:rFonts w:hint="eastAsia" w:ascii="CESI仿宋-GB2312" w:hAnsi="CESI仿宋-GB2312" w:eastAsia="CESI仿宋-GB2312" w:cs="CESI仿宋-GB2312"/>
          <w:sz w:val="24"/>
          <w:szCs w:val="24"/>
          <w:highlight w:val="none"/>
        </w:rPr>
        <w:t>单位负责人：</w:t>
      </w:r>
      <w:r>
        <w:rPr>
          <w:rFonts w:hint="eastAsia" w:ascii="CESI仿宋-GB2312" w:hAnsi="CESI仿宋-GB2312" w:eastAsia="CESI仿宋-GB2312" w:cs="CESI仿宋-GB2312"/>
          <w:sz w:val="24"/>
          <w:szCs w:val="24"/>
          <w:highlight w:val="none"/>
          <w:lang w:val="en-US" w:eastAsia="zh-CN"/>
        </w:rPr>
        <w:t>何红奎</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44AB45-69C8-4E04-A869-42F8CC0D44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A5DED2-1D1D-462B-9562-0AE5710D1C92}"/>
  </w:font>
  <w:font w:name="仿宋">
    <w:panose1 w:val="02010609060101010101"/>
    <w:charset w:val="86"/>
    <w:family w:val="auto"/>
    <w:pitch w:val="default"/>
    <w:sig w:usb0="800002BF" w:usb1="38CF7CFA" w:usb2="00000016" w:usb3="00000000" w:csb0="00040001" w:csb1="00000000"/>
    <w:embedRegular r:id="rId3" w:fontKey="{F29F3996-E701-4448-88CD-FE01A7C12A9C}"/>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4" w:fontKey="{D0174AB6-2A16-4BB8-8022-C293DC6BED63}"/>
  </w:font>
  <w:font w:name="仿宋_GB2312">
    <w:panose1 w:val="02010609030101010101"/>
    <w:charset w:val="86"/>
    <w:family w:val="auto"/>
    <w:pitch w:val="default"/>
    <w:sig w:usb0="00000001" w:usb1="080E0000" w:usb2="00000000" w:usb3="00000000" w:csb0="00040000" w:csb1="00000000"/>
    <w:embedRegular r:id="rId5" w:fontKey="{621B7E1A-7672-440B-9B93-617861EFFD70}"/>
  </w:font>
  <w:font w:name="楷体_GB2312">
    <w:altName w:val="楷体"/>
    <w:panose1 w:val="02010609030101010101"/>
    <w:charset w:val="86"/>
    <w:family w:val="modern"/>
    <w:pitch w:val="default"/>
    <w:sig w:usb0="00000000" w:usb1="00000000" w:usb2="00000000" w:usb3="00000000" w:csb0="00040000" w:csb1="00000000"/>
    <w:embedRegular r:id="rId6" w:fontKey="{0FDF90E1-2FCF-42D2-B5F7-E13D43F0D973}"/>
  </w:font>
  <w:font w:name="楷体">
    <w:panose1 w:val="02010609060101010101"/>
    <w:charset w:val="86"/>
    <w:family w:val="auto"/>
    <w:pitch w:val="default"/>
    <w:sig w:usb0="800002BF" w:usb1="38CF7CFA" w:usb2="00000016" w:usb3="00000000" w:csb0="00040001" w:csb1="00000000"/>
    <w:embedRegular r:id="rId7" w:fontKey="{ADCCFBEF-8D40-4B2B-B002-BD783A22C333}"/>
  </w:font>
  <w:font w:name="方正仿宋_GB2312">
    <w:panose1 w:val="02000000000000000000"/>
    <w:charset w:val="86"/>
    <w:family w:val="auto"/>
    <w:pitch w:val="default"/>
    <w:sig w:usb0="A00002BF" w:usb1="184F6CFA" w:usb2="00000012" w:usb3="00000000" w:csb0="00040001" w:csb1="00000000"/>
    <w:embedRegular r:id="rId8" w:fontKey="{029AA0E5-5DDE-495C-99E8-4D505DA88434}"/>
  </w:font>
  <w:font w:name="CESI仿宋-GB2312">
    <w:altName w:val="仿宋"/>
    <w:panose1 w:val="02000500000000000000"/>
    <w:charset w:val="86"/>
    <w:family w:val="auto"/>
    <w:pitch w:val="default"/>
    <w:sig w:usb0="00000000" w:usb1="00000000" w:usb2="00000010" w:usb3="00000000" w:csb0="0004000F" w:csb1="00000000"/>
    <w:embedRegular r:id="rId9" w:fontKey="{C56B2729-72D6-48DB-BD2A-13E93D517B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F7380"/>
    <w:multiLevelType w:val="singleLevel"/>
    <w:tmpl w:val="8BCF7380"/>
    <w:lvl w:ilvl="0" w:tentative="0">
      <w:start w:val="2"/>
      <w:numFmt w:val="chineseCounting"/>
      <w:suff w:val="nothing"/>
      <w:lvlText w:val="（%1）"/>
      <w:lvlJc w:val="left"/>
      <w:rPr>
        <w:rFonts w:hint="eastAsia"/>
      </w:rPr>
    </w:lvl>
  </w:abstractNum>
  <w:abstractNum w:abstractNumId="1">
    <w:nsid w:val="3C4C82AB"/>
    <w:multiLevelType w:val="singleLevel"/>
    <w:tmpl w:val="3C4C82AB"/>
    <w:lvl w:ilvl="0" w:tentative="0">
      <w:start w:val="1"/>
      <w:numFmt w:val="chineseCounting"/>
      <w:suff w:val="nothing"/>
      <w:lvlText w:val="%1、"/>
      <w:lvlJc w:val="left"/>
      <w:rPr>
        <w:rFonts w:hint="eastAsia"/>
      </w:rPr>
    </w:lvl>
  </w:abstractNum>
  <w:abstractNum w:abstractNumId="2">
    <w:nsid w:val="57BB7C99"/>
    <w:multiLevelType w:val="singleLevel"/>
    <w:tmpl w:val="57BB7C9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Y2E3YmI1NjkzYTQxNmRiMTBhODljMmE2ZjRhYWEifQ=="/>
  </w:docVars>
  <w:rsids>
    <w:rsidRoot w:val="437A3123"/>
    <w:rsid w:val="00AA4EFD"/>
    <w:rsid w:val="01B97F5E"/>
    <w:rsid w:val="02D92CB1"/>
    <w:rsid w:val="02E2490D"/>
    <w:rsid w:val="048F00EF"/>
    <w:rsid w:val="05895CD0"/>
    <w:rsid w:val="0619523D"/>
    <w:rsid w:val="0757624F"/>
    <w:rsid w:val="07A169EA"/>
    <w:rsid w:val="08A131FB"/>
    <w:rsid w:val="0A466107"/>
    <w:rsid w:val="0A4B01C2"/>
    <w:rsid w:val="0AA42BA0"/>
    <w:rsid w:val="106824BC"/>
    <w:rsid w:val="1323348A"/>
    <w:rsid w:val="13C52385"/>
    <w:rsid w:val="17AE60AB"/>
    <w:rsid w:val="1B600F5E"/>
    <w:rsid w:val="1BA2027C"/>
    <w:rsid w:val="1DBF38CA"/>
    <w:rsid w:val="1FF6A427"/>
    <w:rsid w:val="20BB2F53"/>
    <w:rsid w:val="22E140FA"/>
    <w:rsid w:val="23CD2307"/>
    <w:rsid w:val="241E3C54"/>
    <w:rsid w:val="2522687E"/>
    <w:rsid w:val="257F78CA"/>
    <w:rsid w:val="268B4570"/>
    <w:rsid w:val="26DC6727"/>
    <w:rsid w:val="2D5B7F98"/>
    <w:rsid w:val="2FFD8220"/>
    <w:rsid w:val="30562FD4"/>
    <w:rsid w:val="31A32B49"/>
    <w:rsid w:val="3240150B"/>
    <w:rsid w:val="32672B75"/>
    <w:rsid w:val="32E6563C"/>
    <w:rsid w:val="337E3C58"/>
    <w:rsid w:val="33BF7845"/>
    <w:rsid w:val="35C24B15"/>
    <w:rsid w:val="35CF507F"/>
    <w:rsid w:val="3B7346FF"/>
    <w:rsid w:val="3F965E62"/>
    <w:rsid w:val="3FBE6DB2"/>
    <w:rsid w:val="437A3123"/>
    <w:rsid w:val="43C81392"/>
    <w:rsid w:val="44706D9C"/>
    <w:rsid w:val="4481094E"/>
    <w:rsid w:val="4C7C718B"/>
    <w:rsid w:val="4C987096"/>
    <w:rsid w:val="4DDF79D2"/>
    <w:rsid w:val="4EF45240"/>
    <w:rsid w:val="4F910A8F"/>
    <w:rsid w:val="50EE59E1"/>
    <w:rsid w:val="50F949AC"/>
    <w:rsid w:val="53EA6381"/>
    <w:rsid w:val="559612BE"/>
    <w:rsid w:val="566E4641"/>
    <w:rsid w:val="583152CE"/>
    <w:rsid w:val="59C632B7"/>
    <w:rsid w:val="59E392D8"/>
    <w:rsid w:val="5A43120C"/>
    <w:rsid w:val="5A7877AA"/>
    <w:rsid w:val="5EDF10A8"/>
    <w:rsid w:val="66A33C00"/>
    <w:rsid w:val="66DC6D4D"/>
    <w:rsid w:val="672A736D"/>
    <w:rsid w:val="689C2C4E"/>
    <w:rsid w:val="6B664D09"/>
    <w:rsid w:val="6CCB258D"/>
    <w:rsid w:val="7056191E"/>
    <w:rsid w:val="717A4DD7"/>
    <w:rsid w:val="72231F2B"/>
    <w:rsid w:val="749317F8"/>
    <w:rsid w:val="75AB461C"/>
    <w:rsid w:val="75CF7AAE"/>
    <w:rsid w:val="75DF4163"/>
    <w:rsid w:val="788048C3"/>
    <w:rsid w:val="78882890"/>
    <w:rsid w:val="7F1153D3"/>
    <w:rsid w:val="7FEF790B"/>
    <w:rsid w:val="8C67F941"/>
    <w:rsid w:val="8FFF3DE6"/>
    <w:rsid w:val="AF3FE6B4"/>
    <w:rsid w:val="B36F2468"/>
    <w:rsid w:val="BBFF2AE1"/>
    <w:rsid w:val="BEFF3208"/>
    <w:rsid w:val="CE4445B0"/>
    <w:rsid w:val="CFFE8C89"/>
    <w:rsid w:val="EFEF6F4A"/>
    <w:rsid w:val="EFF7C033"/>
    <w:rsid w:val="F5788A47"/>
    <w:rsid w:val="F5EBC4F3"/>
    <w:rsid w:val="F97F4B1C"/>
    <w:rsid w:val="FD6EFC56"/>
    <w:rsid w:val="FDEB29CF"/>
    <w:rsid w:val="FF77BCA5"/>
    <w:rsid w:val="FFE713FC"/>
    <w:rsid w:val="FFFBA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99"/>
    <w:pPr>
      <w:spacing w:before="120" w:after="200" w:line="276" w:lineRule="auto"/>
    </w:pPr>
    <w:rPr>
      <w:rFonts w:ascii="Arial" w:hAnsi="Arial"/>
      <w:sz w:val="24"/>
    </w:rPr>
  </w:style>
  <w:style w:type="paragraph" w:styleId="4">
    <w:name w:val="annotation text"/>
    <w:basedOn w:val="1"/>
    <w:qFormat/>
    <w:uiPriority w:val="0"/>
    <w:pPr>
      <w:jc w:val="left"/>
    </w:p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toc 5"/>
    <w:basedOn w:val="1"/>
    <w:next w:val="1"/>
    <w:qFormat/>
    <w:uiPriority w:val="0"/>
    <w:pPr>
      <w:ind w:left="1680" w:leftChars="800"/>
    </w:pPr>
  </w:style>
  <w:style w:type="paragraph" w:styleId="7">
    <w:name w:val="Body Text First Indent"/>
    <w:basedOn w:val="5"/>
    <w:unhideWhenUsed/>
    <w:qFormat/>
    <w:uiPriority w:val="99"/>
    <w:pPr>
      <w:ind w:firstLine="420" w:firstLineChars="100"/>
    </w:pPr>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5895</Words>
  <Characters>6469</Characters>
  <Lines>0</Lines>
  <Paragraphs>0</Paragraphs>
  <TotalTime>2</TotalTime>
  <ScaleCrop>false</ScaleCrop>
  <LinksUpToDate>false</LinksUpToDate>
  <CharactersWithSpaces>6653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2024-06-18T19:34:00Z</dcterms:created>
  <dc:creator>fan</dc:creator>
  <cp:lastModifiedBy>初心</cp:lastModifiedBy>
  <dcterms:modified xsi:type="dcterms:W3CDTF">2025-07-18T03:41:58Z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0A1A18C05AFA4C28A1D6C77CD2E2E9D8_13</vt:lpwstr>
  </property>
  <property fmtid="{D5CDD505-2E9C-101B-9397-08002B2CF9AE}" pid="4" name="KSOTemplateDocerSaveRecord">
    <vt:lpwstr>eyJoZGlkIjoiOTkyNTY0YTAwZjIyMDZlZDkzNjgxZDc5OGJhNGM2MWMiLCJ1c2VySWQiOiI0NDgyMzEwNjYifQ==</vt:lpwstr>
  </property>
</Properties>
</file>