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附件：1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年度部门整体支出绩效评价基础数据表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auto"/>
        <w:ind w:left="0" w:leftChars="0" w:firstLine="1600" w:firstLineChars="5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年度部门整体支出绩效自评表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auto"/>
        <w:ind w:left="0" w:leftChars="0" w:firstLine="1600" w:firstLineChars="5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年度项目支出绩效自评表</w:t>
      </w:r>
    </w:p>
    <w:p>
      <w:pPr>
        <w:rPr>
          <w:rFonts w:hint="default" w:ascii="Times New Roman" w:eastAsia="仿宋_GB2312" w:cs="Times New Roman"/>
          <w:szCs w:val="21"/>
        </w:rPr>
      </w:pPr>
    </w:p>
    <w:p>
      <w:pPr>
        <w:rPr>
          <w:rFonts w:hint="default" w:ascii="Times New Roman" w:eastAsia="仿宋_GB2312" w:cs="Times New Roman"/>
          <w:szCs w:val="21"/>
        </w:rPr>
      </w:pPr>
    </w:p>
    <w:p>
      <w:pPr>
        <w:rPr>
          <w:rFonts w:hint="default" w:ascii="Times New Roman" w:eastAsia="仿宋_GB2312" w:cs="Times New Roman"/>
          <w:szCs w:val="21"/>
        </w:rPr>
      </w:pPr>
    </w:p>
    <w:p>
      <w:pPr>
        <w:rPr>
          <w:rFonts w:hint="default" w:ascii="Times New Roman" w:eastAsia="仿宋_GB2312" w:cs="Times New Roman"/>
          <w:szCs w:val="21"/>
        </w:rPr>
      </w:pPr>
    </w:p>
    <w:p>
      <w:pPr>
        <w:spacing w:line="120" w:lineRule="exact"/>
        <w:rPr>
          <w:rFonts w:hint="default" w:ascii="Times New Roman" w:eastAsia="仿宋_GB2312" w:cs="Times New Roman"/>
          <w:sz w:val="28"/>
          <w:szCs w:val="28"/>
        </w:rPr>
      </w:pPr>
    </w:p>
    <w:p>
      <w:pPr>
        <w:spacing w:line="120" w:lineRule="exact"/>
        <w:rPr>
          <w:rFonts w:hint="default" w:ascii="Times New Roman" w:eastAsia="仿宋_GB2312" w:cs="Times New Roman"/>
          <w:sz w:val="28"/>
          <w:szCs w:val="28"/>
        </w:rPr>
      </w:pPr>
    </w:p>
    <w:p>
      <w:pPr>
        <w:spacing w:line="120" w:lineRule="exact"/>
        <w:rPr>
          <w:rFonts w:hint="default" w:ascii="Times New Roman" w:eastAsia="仿宋_GB2312" w:cs="Times New Roman"/>
          <w:sz w:val="28"/>
          <w:szCs w:val="28"/>
        </w:rPr>
      </w:pPr>
    </w:p>
    <w:p>
      <w:pPr>
        <w:spacing w:line="120" w:lineRule="exact"/>
        <w:rPr>
          <w:rFonts w:hint="default" w:ascii="Times New Roman" w:eastAsia="仿宋_GB2312" w:cs="Times New Roman"/>
          <w:sz w:val="28"/>
          <w:szCs w:val="28"/>
        </w:rPr>
      </w:pPr>
    </w:p>
    <w:p>
      <w:pPr>
        <w:spacing w:line="120" w:lineRule="exact"/>
        <w:rPr>
          <w:rFonts w:hint="default" w:ascii="Times New Roman" w:eastAsia="仿宋_GB2312" w:cs="Times New Roman"/>
          <w:sz w:val="28"/>
          <w:szCs w:val="28"/>
        </w:rPr>
      </w:pPr>
    </w:p>
    <w:p>
      <w:pPr>
        <w:spacing w:line="120" w:lineRule="exact"/>
        <w:rPr>
          <w:rFonts w:hint="default" w:ascii="Times New Roman" w:eastAsia="仿宋_GB2312" w:cs="Times New Roman"/>
          <w:sz w:val="28"/>
          <w:szCs w:val="28"/>
        </w:rPr>
      </w:pPr>
    </w:p>
    <w:p>
      <w:pPr>
        <w:spacing w:line="120" w:lineRule="exact"/>
        <w:rPr>
          <w:rFonts w:hint="default" w:ascii="Times New Roman" w:eastAsia="仿宋_GB2312" w:cs="Times New Roman"/>
          <w:sz w:val="28"/>
          <w:szCs w:val="28"/>
        </w:rPr>
      </w:pPr>
    </w:p>
    <w:p>
      <w:pPr>
        <w:spacing w:line="120" w:lineRule="exact"/>
        <w:rPr>
          <w:rFonts w:hint="default" w:ascii="Times New Roman" w:eastAsia="仿宋_GB2312" w:cs="Times New Roman"/>
          <w:sz w:val="28"/>
          <w:szCs w:val="28"/>
        </w:rPr>
      </w:pPr>
    </w:p>
    <w:p>
      <w:pPr>
        <w:spacing w:line="120" w:lineRule="exact"/>
        <w:rPr>
          <w:rFonts w:hint="default" w:ascii="Times New Roman" w:eastAsia="仿宋_GB2312" w:cs="Times New Roman"/>
          <w:sz w:val="28"/>
          <w:szCs w:val="28"/>
        </w:rPr>
      </w:pPr>
    </w:p>
    <w:p>
      <w:pPr>
        <w:spacing w:line="120" w:lineRule="exact"/>
        <w:rPr>
          <w:rFonts w:hint="default" w:ascii="Times New Roman" w:eastAsia="仿宋_GB2312" w:cs="Times New Roman"/>
          <w:sz w:val="28"/>
          <w:szCs w:val="28"/>
        </w:rPr>
      </w:pPr>
    </w:p>
    <w:p>
      <w:pPr>
        <w:spacing w:line="120" w:lineRule="exact"/>
        <w:rPr>
          <w:rFonts w:hint="default" w:ascii="Times New Roman" w:eastAsia="仿宋_GB2312" w:cs="Times New Roman"/>
          <w:sz w:val="28"/>
          <w:szCs w:val="28"/>
        </w:rPr>
      </w:pPr>
    </w:p>
    <w:p>
      <w:pPr>
        <w:spacing w:line="120" w:lineRule="exact"/>
        <w:rPr>
          <w:rFonts w:hint="default" w:ascii="Times New Roman" w:eastAsia="仿宋_GB2312" w:cs="Times New Roman"/>
          <w:sz w:val="28"/>
          <w:szCs w:val="28"/>
        </w:rPr>
      </w:pPr>
    </w:p>
    <w:p>
      <w:pPr>
        <w:spacing w:line="120" w:lineRule="exact"/>
        <w:rPr>
          <w:rFonts w:hint="default" w:ascii="Times New Roman" w:eastAsia="仿宋_GB2312" w:cs="Times New Roman"/>
          <w:sz w:val="28"/>
          <w:szCs w:val="28"/>
        </w:rPr>
      </w:pPr>
    </w:p>
    <w:p>
      <w:pPr>
        <w:spacing w:after="0" w:afterLines="0" w:line="240" w:lineRule="auto"/>
        <w:ind w:firstLine="280" w:firstLineChars="100"/>
        <w:jc w:val="left"/>
        <w:rPr>
          <w:rFonts w:hint="default" w:ascii="Times New Roman" w:eastAsia="仿宋_GB2312" w:cs="Times New Roman"/>
          <w:sz w:val="28"/>
          <w:szCs w:val="28"/>
        </w:rPr>
      </w:pPr>
    </w:p>
    <w:p>
      <w:pPr>
        <w:spacing w:after="0" w:afterLines="0" w:line="120" w:lineRule="exact"/>
        <w:ind w:firstLine="280" w:firstLineChars="100"/>
        <w:jc w:val="left"/>
        <w:rPr>
          <w:rFonts w:hint="default" w:ascii="Times New Roman" w:eastAsia="仿宋_GB2312" w:cs="Times New Roman"/>
          <w:sz w:val="28"/>
          <w:szCs w:val="28"/>
        </w:rPr>
      </w:pPr>
    </w:p>
    <w:p>
      <w:pPr>
        <w:spacing w:after="0" w:afterLines="0" w:line="120" w:lineRule="exact"/>
        <w:ind w:firstLine="280" w:firstLineChars="100"/>
        <w:jc w:val="left"/>
        <w:rPr>
          <w:rFonts w:hint="default" w:ascii="Times New Roman" w:eastAsia="仿宋_GB2312" w:cs="Times New Roman"/>
          <w:sz w:val="28"/>
          <w:szCs w:val="28"/>
        </w:rPr>
      </w:pPr>
    </w:p>
    <w:p>
      <w:pPr>
        <w:spacing w:after="0" w:afterLines="0" w:line="120" w:lineRule="exact"/>
        <w:ind w:firstLine="280" w:firstLineChars="100"/>
        <w:jc w:val="left"/>
        <w:rPr>
          <w:rFonts w:hint="default" w:ascii="Times New Roman" w:eastAsia="仿宋_GB2312" w:cs="Times New Roman"/>
          <w:sz w:val="28"/>
          <w:szCs w:val="28"/>
        </w:rPr>
      </w:pPr>
    </w:p>
    <w:p>
      <w:pPr>
        <w:spacing w:after="0" w:afterLines="0" w:line="120" w:lineRule="exact"/>
        <w:ind w:firstLine="280" w:firstLineChars="100"/>
        <w:jc w:val="left"/>
        <w:rPr>
          <w:rFonts w:hint="default" w:ascii="Times New Roman" w:eastAsia="仿宋_GB2312" w:cs="Times New Roman"/>
          <w:sz w:val="28"/>
          <w:szCs w:val="28"/>
        </w:rPr>
      </w:pPr>
    </w:p>
    <w:p>
      <w:pPr>
        <w:spacing w:after="0" w:afterLines="0" w:line="120" w:lineRule="exact"/>
        <w:ind w:firstLine="280" w:firstLineChars="100"/>
        <w:jc w:val="left"/>
        <w:rPr>
          <w:rFonts w:hint="default" w:ascii="Times New Roman" w:eastAsia="仿宋_GB2312" w:cs="Times New Roman"/>
          <w:sz w:val="28"/>
          <w:szCs w:val="28"/>
        </w:rPr>
      </w:pPr>
    </w:p>
    <w:p>
      <w:pPr>
        <w:spacing w:after="0" w:afterLines="0" w:line="120" w:lineRule="exact"/>
        <w:ind w:firstLine="280" w:firstLineChars="100"/>
        <w:jc w:val="left"/>
        <w:rPr>
          <w:rFonts w:hint="default" w:ascii="Times New Roman" w:eastAsia="仿宋_GB2312" w:cs="Times New Roman"/>
          <w:sz w:val="28"/>
          <w:szCs w:val="28"/>
        </w:rPr>
      </w:pPr>
    </w:p>
    <w:p>
      <w:pPr>
        <w:spacing w:after="0" w:afterLines="0" w:line="120" w:lineRule="exact"/>
        <w:ind w:firstLine="280" w:firstLineChars="100"/>
        <w:jc w:val="left"/>
        <w:rPr>
          <w:rFonts w:hint="default" w:ascii="Times New Roman" w:eastAsia="仿宋_GB2312" w:cs="Times New Roman"/>
          <w:sz w:val="28"/>
          <w:szCs w:val="28"/>
        </w:rPr>
      </w:pPr>
    </w:p>
    <w:p>
      <w:pPr>
        <w:spacing w:after="0" w:afterLines="0" w:line="120" w:lineRule="exact"/>
        <w:ind w:firstLine="280" w:firstLineChars="100"/>
        <w:jc w:val="left"/>
        <w:rPr>
          <w:rFonts w:hint="default" w:ascii="Times New Roman" w:eastAsia="仿宋_GB2312" w:cs="Times New Roman"/>
          <w:sz w:val="28"/>
          <w:szCs w:val="28"/>
        </w:rPr>
      </w:pPr>
    </w:p>
    <w:p>
      <w:pPr>
        <w:spacing w:after="0" w:afterLines="0" w:line="120" w:lineRule="exact"/>
        <w:ind w:firstLine="280" w:firstLineChars="100"/>
        <w:jc w:val="left"/>
        <w:rPr>
          <w:rFonts w:hint="default" w:ascii="Times New Roman" w:eastAsia="仿宋_GB2312" w:cs="Times New Roman"/>
          <w:sz w:val="28"/>
          <w:szCs w:val="28"/>
        </w:rPr>
      </w:pPr>
    </w:p>
    <w:p>
      <w:pPr>
        <w:spacing w:after="0" w:afterLines="0" w:line="120" w:lineRule="exact"/>
        <w:ind w:firstLine="280" w:firstLineChars="100"/>
        <w:jc w:val="left"/>
        <w:rPr>
          <w:rFonts w:hint="default" w:ascii="Times New Roman" w:eastAsia="仿宋_GB2312" w:cs="Times New Roman"/>
          <w:sz w:val="28"/>
          <w:szCs w:val="28"/>
        </w:rPr>
      </w:pPr>
    </w:p>
    <w:p>
      <w:pPr>
        <w:spacing w:after="0" w:afterLines="0" w:line="500" w:lineRule="exact"/>
        <w:ind w:firstLine="280" w:firstLineChars="100"/>
        <w:jc w:val="lef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ascii="Times New Roman" w:eastAsia="仿宋_GB2312" w:cs="Times New Roman"/>
          <w:sz w:val="28"/>
          <w:szCs w:val="28"/>
        </w:rPr>
        <w:br w:type="page"/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1</w:t>
      </w:r>
    </w:p>
    <w:p>
      <w:pPr>
        <w:spacing w:after="0" w:afterLines="0" w:line="240" w:lineRule="auto"/>
        <w:ind w:firstLine="320" w:firstLineChars="100"/>
        <w:jc w:val="lef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2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年度部门整体支出绩效评价基础数据表</w:t>
      </w:r>
    </w:p>
    <w:tbl>
      <w:tblPr>
        <w:tblStyle w:val="3"/>
        <w:tblW w:w="96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1111"/>
        <w:gridCol w:w="1081"/>
        <w:gridCol w:w="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财政供养人员情况（人）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年实际在职人数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26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经费控制情况（万元）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年决算数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年预算数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三公经费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2.45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4.8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4.46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1、公务用车购置和维护经费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1.06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  其中：公车购置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        公车运行维护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1.06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3.32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2、出国经费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3、公务接待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1.39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1.8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1.14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731.5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1371.31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1371.31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1、业务工作经费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2、运行维护经费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3、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市级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专项资金（一个专项一行）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731.5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1371.31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1371.31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55.84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79.83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70.22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其中：办公经费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4.75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8.33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      水费、电费、差旅费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13.34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12.8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10.03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      会议费、培训费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2.74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2.22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部门基本支出预算调整 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3.3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3.3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楼堂馆所控制情况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（202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年完工项目）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批复规模</w:t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（㎡）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实际规模（㎡）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规模控制率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预算投资（万元）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实际投资（万元）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投资概算控制率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厉行节约保障措施</w:t>
            </w:r>
          </w:p>
        </w:tc>
        <w:tc>
          <w:tcPr>
            <w:tcW w:w="63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1、严控办公经费，推进无纸化办公。2、严控“三公”经费，加强公务接待管理。3、严控差旅费，对于超标准开支不予报销。4、严控培训费，充分运用网络、视频等信息化手段开展培训。5、加强财务监督，完善内控制度。　</w:t>
            </w:r>
          </w:p>
        </w:tc>
      </w:tr>
    </w:tbl>
    <w:p>
      <w:pPr>
        <w:widowControl/>
        <w:spacing w:afterLines="0" w:line="400" w:lineRule="exact"/>
        <w:ind w:left="660" w:hanging="660" w:hangingChars="300"/>
        <w:jc w:val="left"/>
        <w:rPr>
          <w:rFonts w:hint="default" w:ascii="Times New Roman" w:hAnsi="Times New Roman" w:eastAsia="仿宋_GB2312" w:cs="Times New Roman"/>
          <w:sz w:val="22"/>
          <w:highlight w:val="none"/>
        </w:rPr>
      </w:pPr>
      <w:r>
        <w:rPr>
          <w:rFonts w:hint="default" w:ascii="Times New Roman" w:hAnsi="Times New Roman" w:eastAsia="仿宋_GB2312" w:cs="Times New Roman"/>
          <w:sz w:val="22"/>
          <w:highlight w:val="none"/>
        </w:rPr>
        <w:t>说明：“项目支出”需要填报基本支出以外的所有项目支出情况，“公用经费”填报基本支出中的一般商品和服务支出。</w:t>
      </w:r>
    </w:p>
    <w:p>
      <w:pPr>
        <w:widowControl/>
        <w:spacing w:afterLines="0" w:line="400" w:lineRule="exact"/>
        <w:jc w:val="left"/>
        <w:rPr>
          <w:rFonts w:hint="default" w:ascii="Times New Roman" w:hAnsi="Times New Roman" w:eastAsia="仿宋_GB2312" w:cs="Times New Roman"/>
          <w:sz w:val="22"/>
          <w:highlight w:val="none"/>
        </w:rPr>
      </w:pPr>
    </w:p>
    <w:p>
      <w:pPr>
        <w:widowControl/>
        <w:spacing w:after="0" w:afterLines="0" w:line="400" w:lineRule="exact"/>
        <w:jc w:val="lef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2"/>
          <w:highlight w:val="none"/>
        </w:rPr>
        <w:t>填表人：</w:t>
      </w:r>
      <w:r>
        <w:rPr>
          <w:rFonts w:hint="eastAsia" w:eastAsia="仿宋_GB2312" w:cs="Times New Roman"/>
          <w:sz w:val="22"/>
          <w:highlight w:val="none"/>
          <w:lang w:eastAsia="zh-CN"/>
        </w:rPr>
        <w:t>杨晓洁</w:t>
      </w:r>
      <w:r>
        <w:rPr>
          <w:rFonts w:hint="default" w:ascii="Times New Roman" w:hAnsi="Times New Roman" w:eastAsia="仿宋_GB2312" w:cs="Times New Roman"/>
          <w:sz w:val="22"/>
          <w:highlight w:val="none"/>
        </w:rPr>
        <w:t xml:space="preserve">  填报日期：</w:t>
      </w:r>
      <w:r>
        <w:rPr>
          <w:rFonts w:hint="eastAsia" w:eastAsia="仿宋_GB2312" w:cs="Times New Roman"/>
          <w:sz w:val="22"/>
          <w:highlight w:val="none"/>
          <w:lang w:val="en-US" w:eastAsia="zh-CN"/>
        </w:rPr>
        <w:t xml:space="preserve">2025.6.27  </w:t>
      </w:r>
      <w:r>
        <w:rPr>
          <w:rFonts w:hint="default" w:ascii="Times New Roman" w:hAnsi="Times New Roman" w:eastAsia="仿宋_GB2312" w:cs="Times New Roman"/>
          <w:sz w:val="22"/>
          <w:highlight w:val="none"/>
        </w:rPr>
        <w:t xml:space="preserve"> 联系电话：</w:t>
      </w:r>
      <w:r>
        <w:rPr>
          <w:rFonts w:hint="eastAsia" w:eastAsia="仿宋_GB2312" w:cs="Times New Roman"/>
          <w:sz w:val="22"/>
          <w:highlight w:val="none"/>
          <w:lang w:val="en-US" w:eastAsia="zh-CN"/>
        </w:rPr>
        <w:t>8708336</w:t>
      </w:r>
      <w:r>
        <w:rPr>
          <w:rFonts w:hint="default" w:ascii="Times New Roman" w:hAnsi="Times New Roman" w:eastAsia="仿宋_GB2312" w:cs="Times New Roman"/>
          <w:sz w:val="22"/>
          <w:highlight w:val="none"/>
        </w:rPr>
        <w:t xml:space="preserve">   单位负责人签字：</w:t>
      </w:r>
      <w:r>
        <w:rPr>
          <w:rFonts w:hint="default" w:ascii="Times New Roman" w:hAnsi="Times New Roman" w:eastAsia="仿宋_GB2312" w:cs="Times New Roman"/>
          <w:sz w:val="22"/>
          <w:highlight w:val="none"/>
        </w:rPr>
        <w:br w:type="page"/>
      </w: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</w:t>
      </w:r>
    </w:p>
    <w:p>
      <w:pPr>
        <w:widowControl/>
        <w:spacing w:after="0" w:afterLines="0" w:line="400" w:lineRule="exact"/>
        <w:jc w:val="lef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widowControl/>
        <w:spacing w:after="120" w:afterLines="5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年度部门整体支出绩效自评表</w:t>
      </w:r>
    </w:p>
    <w:tbl>
      <w:tblPr>
        <w:tblStyle w:val="3"/>
        <w:tblW w:w="1007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34"/>
        <w:gridCol w:w="1270"/>
        <w:gridCol w:w="1311"/>
        <w:gridCol w:w="1269"/>
        <w:gridCol w:w="716"/>
        <w:gridCol w:w="873"/>
        <w:gridCol w:w="14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级预算部门名称</w:t>
            </w:r>
          </w:p>
        </w:tc>
        <w:tc>
          <w:tcPr>
            <w:tcW w:w="899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eastAsia="zh-CN"/>
              </w:rPr>
              <w:t>岳阳市残疾人联合会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算申请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（万元）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年初预算数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全年预算数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全年执行数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执行率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年度资金总额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489.25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2782.81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1955.95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70.29%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按收入性质分：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按支出性质分：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 xml:space="preserve">  其中：  一般公共预算：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2749.46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其中：基本支出：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541.73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800" w:firstLineChars="400"/>
              <w:jc w:val="left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政府性基金拨款：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600" w:firstLineChars="300"/>
              <w:jc w:val="left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项目支出：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1895.52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纳入专户管理的非税收入拨款：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1400" w:firstLineChars="700"/>
              <w:jc w:val="left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其他资金：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年度总体目标</w:t>
            </w:r>
          </w:p>
        </w:tc>
        <w:tc>
          <w:tcPr>
            <w:tcW w:w="46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预期目标</w:t>
            </w:r>
          </w:p>
        </w:tc>
        <w:tc>
          <w:tcPr>
            <w:tcW w:w="43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6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　　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为残疾人提供康复、就业、扶贫、教育、文化体育、助残宣传、维权信访等服务，切实改善残疾人生产、生活状况。　　</w:t>
            </w:r>
          </w:p>
        </w:tc>
        <w:tc>
          <w:tcPr>
            <w:tcW w:w="43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为残疾人提供康复、就业、扶贫、教育、文化体育、助残宣传、维权信访等服务，切实改善残疾人生产、生活状况。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一级指标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二级指标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三级指标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年度指标值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实际完成值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得分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(50分)</w:t>
            </w:r>
          </w:p>
        </w:tc>
        <w:tc>
          <w:tcPr>
            <w:tcW w:w="103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数量指标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完成残疾儿童康复训练；免费为残疾人配发万件辅助器具；帮助残疾人创业就业培训、居家托养、学前到大学的全方位的助学、残疾人家庭无障碍改造、扶贫等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完成省、市任务目标任务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已完成省、市任务目标任务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质量指标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为残疾人提供康复、就业、扶贫、教育、文化体育、助残宣传、维权信访等服务，切实改善残疾人生产、生活状况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完成省、市残疾人康复、就业、文化体育等任务，残疾人生活有所改善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有所改善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时效指标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完成时间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2024年底完成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2024年底已完成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部分项目跨年度拨付资金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成本指标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保障机关正常运转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2782.81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1955.952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eastAsia="zh-CN"/>
              </w:rPr>
              <w:t>部分项目跨年度拨付资金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效益指标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（30分）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3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经济效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对经济发展情况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切实减轻了残疾人家庭经济负担，经济效益良好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切实减轻了残疾人家庭经济负担，经济效益良好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社会效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对社会发展情况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3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通过项目的实施，全社会关心、理解、支持残疾人的社会氛围明显提高。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3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通过项目的实施，全社会关心、理解、支持残疾人的社会氛围明显提高。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生态效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对生态发展情况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有所改善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有所改善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可持续影响指标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是否可持续影响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（10分）</w:t>
            </w:r>
          </w:p>
        </w:tc>
        <w:tc>
          <w:tcPr>
            <w:tcW w:w="103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服务对象满意度指标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受助残疾人满意度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≥95%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≥95%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总分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</w:tbl>
    <w:p>
      <w:pPr>
        <w:widowControl/>
        <w:spacing w:line="600" w:lineRule="exact"/>
        <w:jc w:val="both"/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22"/>
          <w:highlight w:val="none"/>
        </w:rPr>
        <w:t>填表人：</w:t>
      </w:r>
      <w:r>
        <w:rPr>
          <w:rFonts w:hint="eastAsia" w:eastAsia="仿宋_GB2312" w:cs="Times New Roman"/>
          <w:sz w:val="22"/>
          <w:highlight w:val="none"/>
          <w:lang w:eastAsia="zh-CN"/>
        </w:rPr>
        <w:t>杨晓洁</w:t>
      </w:r>
      <w:r>
        <w:rPr>
          <w:rFonts w:hint="default" w:ascii="Times New Roman" w:hAnsi="Times New Roman" w:eastAsia="仿宋_GB2312" w:cs="Times New Roman"/>
          <w:sz w:val="22"/>
          <w:highlight w:val="none"/>
        </w:rPr>
        <w:t xml:space="preserve">  填报日期：</w:t>
      </w:r>
      <w:r>
        <w:rPr>
          <w:rFonts w:hint="eastAsia" w:eastAsia="仿宋_GB2312" w:cs="Times New Roman"/>
          <w:sz w:val="22"/>
          <w:highlight w:val="none"/>
          <w:lang w:val="en-US" w:eastAsia="zh-CN"/>
        </w:rPr>
        <w:t xml:space="preserve">2025.6.27  </w:t>
      </w:r>
      <w:r>
        <w:rPr>
          <w:rFonts w:hint="default" w:ascii="Times New Roman" w:hAnsi="Times New Roman" w:eastAsia="仿宋_GB2312" w:cs="Times New Roman"/>
          <w:sz w:val="22"/>
          <w:highlight w:val="none"/>
        </w:rPr>
        <w:t xml:space="preserve"> 联系电话：</w:t>
      </w:r>
      <w:r>
        <w:rPr>
          <w:rFonts w:hint="eastAsia" w:eastAsia="仿宋_GB2312" w:cs="Times New Roman"/>
          <w:sz w:val="22"/>
          <w:highlight w:val="none"/>
          <w:lang w:val="en-US" w:eastAsia="zh-CN"/>
        </w:rPr>
        <w:t>8708336</w:t>
      </w:r>
      <w:r>
        <w:rPr>
          <w:rFonts w:hint="default" w:ascii="Times New Roman" w:hAnsi="Times New Roman" w:eastAsia="仿宋_GB2312" w:cs="Times New Roman"/>
          <w:sz w:val="22"/>
          <w:highlight w:val="none"/>
        </w:rPr>
        <w:t xml:space="preserve">   单位负责人签字：</w:t>
      </w:r>
      <w:r>
        <w:rPr>
          <w:rFonts w:hint="default" w:ascii="Times New Roman" w:hAnsi="Times New Roman" w:eastAsia="仿宋_GB2312" w:cs="Times New Roman"/>
          <w:sz w:val="22"/>
          <w:highlight w:val="none"/>
        </w:rPr>
        <w:br w:type="page"/>
      </w: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3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年度项目支出绩效自评表</w:t>
      </w:r>
    </w:p>
    <w:tbl>
      <w:tblPr>
        <w:tblStyle w:val="3"/>
        <w:tblW w:w="985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224"/>
        <w:gridCol w:w="1134"/>
        <w:gridCol w:w="1134"/>
        <w:gridCol w:w="828"/>
        <w:gridCol w:w="873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残疾人就业保障金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岳阳市残疾人联合会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岳阳市残疾人联合会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项目资金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全年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2325.75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2254.84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1895.52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84%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8.4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2325.75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2254.84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1895.52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84%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8.4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1、困难残疾人家庭无障碍改造完成省重点实事任务970户；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2、残疾人托养服务901名；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3、残疾人助学补贴应补尽补；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4、就业创业技能培训（包含盲人按摩）567人；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5、乡村振兴人才培育30人；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6、残疾人创业扶持56人；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7、残疾人实用技术培训（阳光增收）170人；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8、0—17岁残疾儿童康复救助项目839人；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9、困难精神残疾人康复救助项目546人；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10、残疾人基本型辅具适配项目8367人。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1、困难残疾人家庭无障碍改造完成省重点实事任务970户；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2、残疾人托养服务901名；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3、残疾人助学补贴应补尽补；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4、就业创业技能培训（包含盲人按摩）567人；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5、乡村振兴人才培育30人；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6、残疾人创业扶持56人；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7、残疾人实用技术培训（阳光增收）170人；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8、0—17岁残疾儿童康复救助项目839人；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9、可能精神残疾人康复救助项目546人；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10、残疾人基本型辅具适配项目8367人。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一级指标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二级指标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三级指标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指标值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完成值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得分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(50分)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数量指标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困难残疾人家庭无障碍改造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省重点实事任务970户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970户</w:t>
            </w:r>
          </w:p>
        </w:tc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 xml:space="preserve"> 15</w:t>
            </w:r>
          </w:p>
        </w:tc>
        <w:tc>
          <w:tcPr>
            <w:tcW w:w="8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00" w:firstLineChars="1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残疾人托养服务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901名</w:t>
            </w: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残疾人助学补贴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应报尽报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应报尽报</w:t>
            </w: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乡村振兴人才培育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30人</w:t>
            </w: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就业创业技能培训（包含盲人按摩）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567人</w:t>
            </w: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残疾人创业扶持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56人</w:t>
            </w: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残疾人实用技术培训（阳光增收）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170人</w:t>
            </w: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0—17岁残疾儿童康复救助项目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完成人839人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完成人839人</w:t>
            </w: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困难精神残疾人康复救助项目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完成546人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完成546人</w:t>
            </w: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残疾人基本型辅具适配项目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适配数8367人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适配数8367人</w:t>
            </w: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质量指标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困难残疾人家庭无障碍改造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市辖区省重点民生实事任务970户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市辖区省重点民生实事任务970户</w:t>
            </w:r>
          </w:p>
        </w:tc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残疾人托养服务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按时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完成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901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人，托养效果好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按时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完成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901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人，托养效果好</w:t>
            </w: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残疾人助学补贴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应补尽补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应补尽补</w:t>
            </w: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乡村振兴人才培育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完成30人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完成30人</w:t>
            </w: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就业创业技能培训（包含盲人按摩）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567人</w:t>
            </w: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残疾人创业扶持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培训56人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培训56人</w:t>
            </w: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残疾人实用技术培训（阳光增收）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完成170人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完成170人</w:t>
            </w: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0—17岁残疾儿童康复救助项目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完成839人，康复效果良好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完成839人，康复效果良好</w:t>
            </w: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困难精神残疾人康复救助项目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完成546名贫困精神残疾人住院及服药治疗，治疗效果良好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完成546名贫困精神残疾人住院及服药治疗，治疗效果良好</w:t>
            </w: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残疾人基本型辅具适配项目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适配数8367人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适配数8367人</w:t>
            </w: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时效指标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困难残疾人家庭无障碍改造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2023年12月完成</w:t>
            </w:r>
          </w:p>
        </w:tc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残疾人托养服务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2023年12月完成</w:t>
            </w: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残疾人助学补贴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2023年12月完成</w:t>
            </w: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乡村振兴人才培育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2023年12月完成</w:t>
            </w: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就业创业技能培训（包含盲人按摩）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2023年12月完成</w:t>
            </w: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残疾人创业扶持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2023年12月完成</w:t>
            </w: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残疾人实用技术培训（阳光增收）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12月已全部完成</w:t>
            </w: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0—17岁残疾儿童康复救助项目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12月已全部完成</w:t>
            </w: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困难精神残疾人康复救助项目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2023年年底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2023年12月已全部完成</w:t>
            </w: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残疾人基本型辅具适配项目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2023年年底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2023年12月已全部完成</w:t>
            </w: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成本指标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困难残疾人家庭无障碍改造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145.5万元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145.5万元</w:t>
            </w:r>
          </w:p>
        </w:tc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残疾人托养服务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133.35万元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133.35万元</w:t>
            </w: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残疾人助学补贴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18.12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18.12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乡村振兴人才培育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6万元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6万元</w:t>
            </w: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就业创业技能培训（包含盲人按摩）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67.39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67.39</w:t>
            </w: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残疾人创业扶持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19.2万元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19.2万元</w:t>
            </w: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残疾人实用技术培训（阳光增收）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23.5万元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23.5万元</w:t>
            </w: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0—17岁残疾儿童康复救助项目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230.4万元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230.4万元</w:t>
            </w: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困难精神残疾人康复救助项目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62.9万元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62.9万元</w:t>
            </w: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残疾人基本型辅具适配项目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15.5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15.5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（30分）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困难残疾人家庭无障碍改造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切实减轻了残疾人家庭经济负担，经济效益良好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切实减轻了残疾人家庭经济负担，经济效益良好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00" w:firstLineChars="1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残疾人托养服务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残疾人助学补贴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乡村振兴人才培育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就业创业技能培训（包含盲人按摩）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残疾人创业扶持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残疾人实用技术培训（阳光增收）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0—17岁残疾儿童康复救助项目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困难精神残疾人康复救助项目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残疾人基本型辅具适配项目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困难残疾人家庭无障碍改造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体现党和政府对残疾人的关心和照顾，社会认可度95%以上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通过项目的实施，全社会关心、理解、支持残疾人的社会氛围明显提高。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残疾人托养服务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残疾人助学补贴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乡村振兴人才培育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就业创业技能培训（包含盲人按摩）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残疾人创业扶持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残疾人实用技术培训（阳光增收）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0—17岁残疾儿童康复救助项目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困难精神残疾人康复救助项目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残疾人基本型辅具适配项目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所有指标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无负面影响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无负面影响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可持续影响指标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所有指标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实现可持续发展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实现可持续发展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（10分）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服务对象满意度指标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困难残疾人家庭无障碍改造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受助残疾人满意度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95%以上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受助残疾人满意度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95%以上</w:t>
            </w:r>
          </w:p>
        </w:tc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残疾人托养服务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残疾人助学补贴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乡村振兴人才培育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就业创业技能培训（包含盲人按摩）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残疾人创业扶持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残疾人实用技术培训（阳光增收）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0—17岁残疾儿童康复救助项目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困难精神残疾人康复救助项目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残疾人基本型辅具适配项目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总分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98.4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</w:pPr>
    </w:p>
    <w:p>
      <w:pPr>
        <w:rPr>
          <w:rFonts w:hint="default" w:ascii="Times New Roman" w:hAnsi="Times New Roman" w:eastAsia="仿宋_GB2312" w:cs="Times New Roman"/>
          <w:szCs w:val="21"/>
          <w:highlight w:val="none"/>
        </w:rPr>
      </w:pP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备注：一个一级项目支出一张表。</w:t>
      </w:r>
      <w:r>
        <w:rPr>
          <w:rFonts w:hint="eastAsia" w:ascii="Times New Roman" w:hAnsi="Times New Roman" w:eastAsia="仿宋_GB2312" w:cs="Times New Roman"/>
          <w:sz w:val="18"/>
          <w:szCs w:val="18"/>
          <w:highlight w:val="none"/>
          <w:lang w:eastAsia="zh-CN"/>
        </w:rPr>
        <w:t>如，</w:t>
      </w: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业务工作经费</w:t>
      </w:r>
      <w:r>
        <w:rPr>
          <w:rFonts w:hint="eastAsia" w:ascii="Times New Roman" w:hAnsi="Times New Roman" w:eastAsia="仿宋_GB2312" w:cs="Times New Roman"/>
          <w:sz w:val="18"/>
          <w:szCs w:val="18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运行维护经费</w:t>
      </w:r>
      <w:r>
        <w:rPr>
          <w:rFonts w:hint="eastAsia" w:ascii="Times New Roman" w:hAnsi="Times New Roman" w:eastAsia="仿宋_GB2312" w:cs="Times New Roman"/>
          <w:sz w:val="18"/>
          <w:szCs w:val="18"/>
          <w:highlight w:val="none"/>
          <w:lang w:eastAsia="zh-CN"/>
        </w:rPr>
        <w:t>，其他事业发展类资金…各一张表。</w:t>
      </w:r>
    </w:p>
    <w:p>
      <w:pPr>
        <w:rPr>
          <w:rFonts w:hint="default" w:ascii="Times New Roman" w:hAnsi="Times New Roman" w:eastAsia="仿宋_GB2312" w:cs="Times New Roman"/>
          <w:sz w:val="2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40" w:firstLineChars="200"/>
        <w:jc w:val="both"/>
        <w:textAlignment w:val="auto"/>
      </w:pPr>
      <w:r>
        <w:rPr>
          <w:rFonts w:hint="default" w:ascii="Times New Roman" w:hAnsi="Times New Roman" w:eastAsia="仿宋_GB2312" w:cs="Times New Roman"/>
          <w:sz w:val="22"/>
          <w:highlight w:val="none"/>
        </w:rPr>
        <w:t>填表人：</w:t>
      </w:r>
      <w:r>
        <w:rPr>
          <w:rFonts w:hint="eastAsia" w:eastAsia="仿宋_GB2312" w:cs="Times New Roman"/>
          <w:sz w:val="22"/>
          <w:highlight w:val="none"/>
          <w:lang w:eastAsia="zh-CN"/>
        </w:rPr>
        <w:t>杨晓洁</w:t>
      </w:r>
      <w:r>
        <w:rPr>
          <w:rFonts w:hint="default" w:ascii="Times New Roman" w:hAnsi="Times New Roman" w:eastAsia="仿宋_GB2312" w:cs="Times New Roman"/>
          <w:sz w:val="22"/>
          <w:highlight w:val="none"/>
        </w:rPr>
        <w:t xml:space="preserve">  填报日期：</w:t>
      </w:r>
      <w:r>
        <w:rPr>
          <w:rFonts w:hint="eastAsia" w:eastAsia="仿宋_GB2312" w:cs="Times New Roman"/>
          <w:sz w:val="22"/>
          <w:highlight w:val="none"/>
          <w:lang w:val="en-US" w:eastAsia="zh-CN"/>
        </w:rPr>
        <w:t xml:space="preserve">2025.6.27  </w:t>
      </w:r>
      <w:r>
        <w:rPr>
          <w:rFonts w:hint="default" w:ascii="Times New Roman" w:hAnsi="Times New Roman" w:eastAsia="仿宋_GB2312" w:cs="Times New Roman"/>
          <w:sz w:val="22"/>
          <w:highlight w:val="none"/>
        </w:rPr>
        <w:t xml:space="preserve"> 联系电话：</w:t>
      </w:r>
      <w:r>
        <w:rPr>
          <w:rFonts w:hint="eastAsia" w:eastAsia="仿宋_GB2312" w:cs="Times New Roman"/>
          <w:sz w:val="22"/>
          <w:highlight w:val="none"/>
          <w:lang w:val="en-US" w:eastAsia="zh-CN"/>
        </w:rPr>
        <w:t>8708336</w:t>
      </w:r>
      <w:r>
        <w:rPr>
          <w:rFonts w:hint="default" w:ascii="Times New Roman" w:hAnsi="Times New Roman" w:eastAsia="仿宋_GB2312" w:cs="Times New Roman"/>
          <w:sz w:val="22"/>
          <w:highlight w:val="none"/>
        </w:rPr>
        <w:t xml:space="preserve">   单位负责人签字：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6168E6"/>
    <w:rsid w:val="09280533"/>
    <w:rsid w:val="0CF92DE5"/>
    <w:rsid w:val="11E84937"/>
    <w:rsid w:val="1B597354"/>
    <w:rsid w:val="1C6168E6"/>
    <w:rsid w:val="42735E5A"/>
    <w:rsid w:val="58167F31"/>
    <w:rsid w:val="72BE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2025-06-26T06:43:00Z</dcterms:created>
  <dc:creator>YXJ</dc:creator>
  <cp:lastModifiedBy>YXJ</cp:lastModifiedBy>
  <dcterms:modified xsi:type="dcterms:W3CDTF">2025-08-08T07:17:52Z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413FFD1F190C453ABAE82E4661AD286E</vt:lpwstr>
  </property>
</Properties>
</file>