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rFonts w:hint="eastAsia" w:eastAsia="黑体"/>
          <w:sz w:val="56"/>
          <w:szCs w:val="56"/>
          <w:lang w:val="en-US" w:eastAsia="zh-CN"/>
        </w:rPr>
      </w:pPr>
      <w:r>
        <w:rPr>
          <w:rFonts w:hint="eastAsia"/>
          <w:sz w:val="56"/>
          <w:szCs w:val="56"/>
          <w:lang w:val="en-US" w:eastAsia="zh-CN"/>
        </w:rPr>
        <w:t xml:space="preserve"> </w:t>
      </w:r>
    </w:p>
    <w:p>
      <w:pPr>
        <w:pStyle w:val="15"/>
        <w:jc w:val="center"/>
        <w:rPr>
          <w:sz w:val="56"/>
          <w:szCs w:val="56"/>
        </w:rPr>
      </w:pPr>
    </w:p>
    <w:p>
      <w:pPr>
        <w:pStyle w:val="15"/>
        <w:jc w:val="center"/>
        <w:rPr>
          <w:sz w:val="84"/>
          <w:szCs w:val="84"/>
        </w:rPr>
      </w:pPr>
    </w:p>
    <w:p>
      <w:pPr>
        <w:pStyle w:val="15"/>
        <w:jc w:val="center"/>
        <w:rPr>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岳阳市绿色建筑产业发展服务中心</w:t>
      </w:r>
      <w:r>
        <w:rPr>
          <w:rFonts w:hint="eastAsia" w:ascii="方正小标宋_GBK" w:hAnsi="方正小标宋_GBK" w:eastAsia="方正小标宋_GBK" w:cs="方正小标宋_GBK"/>
          <w:sz w:val="84"/>
          <w:szCs w:val="84"/>
        </w:rPr>
        <w:t>部门决算</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32"/>
          <w:szCs w:val="32"/>
        </w:rPr>
      </w:pPr>
    </w:p>
    <w:p>
      <w:pPr>
        <w:pStyle w:val="15"/>
        <w:spacing w:line="500" w:lineRule="exact"/>
        <w:jc w:val="center"/>
        <w:rPr>
          <w:b/>
          <w:sz w:val="36"/>
          <w:szCs w:val="28"/>
        </w:rPr>
      </w:pPr>
      <w:r>
        <w:rPr>
          <w:rFonts w:hint="eastAsia"/>
          <w:b/>
          <w:sz w:val="36"/>
          <w:szCs w:val="28"/>
        </w:rPr>
        <w:t>目录</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ascii="仿宋" w:hAnsi="仿宋" w:eastAsia="仿宋" w:cs="仿宋"/>
          <w:b/>
          <w:sz w:val="28"/>
          <w:szCs w:val="28"/>
          <w:lang w:eastAsia="zh-CN"/>
        </w:rPr>
        <w:t>绿色建筑产业发展服务中心</w:t>
      </w:r>
      <w:r>
        <w:rPr>
          <w:rFonts w:hint="eastAsia" w:ascii="黑体" w:hAnsi="黑体" w:eastAsia="黑体" w:cs="黑体"/>
          <w:b w:val="0"/>
          <w:bCs/>
          <w:sz w:val="28"/>
          <w:szCs w:val="28"/>
        </w:rPr>
        <w:t>概况</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5"/>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5"/>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5"/>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pPr>
        <w:pStyle w:val="15"/>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5"/>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eastAsia="zh-CN"/>
        </w:rPr>
        <w:t>绿色建筑产业发展服务中心</w:t>
      </w:r>
      <w:r>
        <w:rPr>
          <w:rFonts w:hint="eastAsia" w:ascii="方正小标宋_GBK" w:hAnsi="方正小标宋_GBK" w:eastAsia="方正小标宋_GBK" w:cs="方正小标宋_GBK"/>
          <w:sz w:val="84"/>
          <w:szCs w:val="84"/>
        </w:rPr>
        <w:t>概况</w:t>
      </w:r>
    </w:p>
    <w:p>
      <w:pPr>
        <w:pStyle w:val="8"/>
        <w:rPr>
          <w:rFonts w:hint="eastAsia" w:ascii="方正小标宋_GBK" w:hAnsi="方正小标宋_GBK" w:eastAsia="方正小标宋_GBK" w:cs="方正小标宋_GBK"/>
          <w:sz w:val="84"/>
          <w:szCs w:val="84"/>
        </w:rPr>
      </w:pPr>
    </w:p>
    <w:p>
      <w:pPr>
        <w:pStyle w:val="4"/>
        <w:rPr>
          <w:rFonts w:hint="eastAsia" w:ascii="方正小标宋_GBK" w:hAnsi="方正小标宋_GBK" w:eastAsia="方正小标宋_GBK" w:cs="方正小标宋_GBK"/>
          <w:sz w:val="84"/>
          <w:szCs w:val="84"/>
        </w:rPr>
      </w:pPr>
    </w:p>
    <w:p>
      <w:pPr>
        <w:pStyle w:val="4"/>
        <w:ind w:left="0" w:leftChars="0" w:firstLine="0" w:firstLineChars="0"/>
        <w:rPr>
          <w:rFonts w:hint="eastAsia" w:ascii="方正小标宋_GBK" w:hAnsi="方正小标宋_GBK" w:eastAsia="方正小标宋_GBK" w:cs="方正小标宋_GBK"/>
          <w:sz w:val="84"/>
          <w:szCs w:val="84"/>
        </w:rPr>
      </w:pPr>
    </w:p>
    <w:p>
      <w:pPr>
        <w:pStyle w:val="8"/>
        <w:rPr>
          <w:rFonts w:hint="eastAsia"/>
        </w:rPr>
      </w:pPr>
    </w:p>
    <w:p>
      <w:pPr>
        <w:pStyle w:val="4"/>
        <w:rPr>
          <w:rFonts w:hint="eastAsia"/>
        </w:rPr>
      </w:pPr>
    </w:p>
    <w:p>
      <w:pPr>
        <w:rPr>
          <w:rFonts w:hint="eastAsia"/>
        </w:rPr>
      </w:pPr>
    </w:p>
    <w:p>
      <w:pPr>
        <w:pStyle w:val="16"/>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1、参与拟订绿色建筑、建筑节能、新型墙体材料、散装水泥等地方性法规和规范性文件的行政辅助工作。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2、负责为绿色建筑、建筑节能、新型墙体材料、建筑垃圾资源化利用产品、散装水泥、装配式建筑部品部件等新型建筑材料(以下简称新型建筑材料)技术检查提供技术支撑；参与建筑工程绿色建材使用情况信息核查和竣工验收备案的行政辅助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3、负责新型建筑材料推广应用的工作；负责查处粘土砖的生产使用、现场搅拌混凝土和砂浆、装配式建筑等违法违规行为查处的行政辅助工作。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4、负责新型墙体材料，预拌混凝土，预拌砂浆，机制砂石新建、扩建项目的现场勘察、竣工报备的行政辅助工作</w:t>
      </w:r>
      <w:r>
        <w:rPr>
          <w:rFonts w:hint="eastAsia" w:ascii="Times New Roman" w:hAnsi="Times New Roman" w:eastAsia="仿宋_GB2312" w:cs="仿宋_GB2312"/>
          <w:bCs/>
          <w:kern w:val="0"/>
          <w:sz w:val="32"/>
          <w:szCs w:val="32"/>
          <w:lang w:val="zh-CN" w:eastAsia="zh-CN"/>
        </w:rPr>
        <w:t>。</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5、负责新型建筑材料产品质量抽检取样、生产情况监督检查的行政辅助工作。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6、负责新型墙体材料新技术、新工艺、新设备研制开发工作；负责新型墙体材料产品升级、认定、抽样、淘汰落后产能的事务性工作；负责全市新型建筑材料行业统计上报工作。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7、负责协调全市散装水泥的生产、出厂、使用以及运输核载定量的事务性工作。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 xml:space="preserve">8、负责组织全市新型建筑材料的课题研究、技术培训、信息交流、信息化建设、产品目录管理、情况统计以及政策宣传普及工作。 </w:t>
      </w:r>
    </w:p>
    <w:p>
      <w:pPr>
        <w:widowControl/>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val="en-US" w:eastAsia="zh-CN"/>
        </w:rPr>
        <w:t>9、完成市住房和城乡建设局交办的其他工作。</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spacing w:line="600" w:lineRule="exact"/>
        <w:rPr>
          <w:rFonts w:hint="eastAsia" w:ascii="仿宋" w:hAnsi="仿宋" w:eastAsia="仿宋" w:cs="仿宋"/>
          <w:sz w:val="28"/>
          <w:szCs w:val="28"/>
        </w:rPr>
      </w:pPr>
      <w:r>
        <w:rPr>
          <w:rFonts w:hint="eastAsia" w:ascii="Times New Roman" w:hAnsi="Times New Roman" w:eastAsia="仿宋_GB2312" w:cs="仿宋_GB2312"/>
          <w:bCs/>
          <w:kern w:val="0"/>
          <w:sz w:val="32"/>
          <w:szCs w:val="32"/>
        </w:rPr>
        <w:t>（一）内设机构设置。</w:t>
      </w:r>
    </w:p>
    <w:p>
      <w:pPr>
        <w:widowControl/>
        <w:spacing w:line="600" w:lineRule="exact"/>
        <w:ind w:firstLine="640" w:firstLineChars="200"/>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lang w:val="en-US" w:eastAsia="zh-CN"/>
        </w:rPr>
        <w:t>1、综合部。负责协调处理本中心日常工作；负责文秘、会务、保密、档案、组织人事、财务、工会等工作。</w:t>
      </w:r>
    </w:p>
    <w:p>
      <w:pPr>
        <w:widowControl/>
        <w:spacing w:line="600" w:lineRule="exact"/>
        <w:ind w:firstLine="640" w:firstLineChars="200"/>
        <w:rPr>
          <w:rFonts w:hint="eastAsia" w:ascii="Times New Roman" w:hAnsi="Times New Roman" w:eastAsia="仿宋_GB2312" w:cs="仿宋_GB2312"/>
          <w:bCs/>
          <w:kern w:val="0"/>
          <w:sz w:val="32"/>
          <w:szCs w:val="32"/>
          <w:lang w:val="en-US" w:eastAsia="zh-CN"/>
        </w:rPr>
      </w:pPr>
      <w:r>
        <w:rPr>
          <w:rFonts w:hint="eastAsia" w:ascii="Times New Roman" w:hAnsi="Times New Roman" w:eastAsia="仿宋_GB2312" w:cs="仿宋_GB2312"/>
          <w:bCs/>
          <w:kern w:val="0"/>
          <w:sz w:val="32"/>
          <w:szCs w:val="32"/>
          <w:lang w:val="en-US" w:eastAsia="zh-CN"/>
        </w:rPr>
        <w:t>2、</w:t>
      </w:r>
      <w:r>
        <w:rPr>
          <w:rFonts w:hint="eastAsia" w:ascii="仿宋" w:hAnsi="仿宋" w:eastAsia="仿宋" w:cs="仿宋"/>
          <w:sz w:val="28"/>
          <w:szCs w:val="28"/>
        </w:rPr>
        <w:t>绿色建材推广应用部</w:t>
      </w:r>
      <w:r>
        <w:rPr>
          <w:rFonts w:hint="eastAsia" w:ascii="Times New Roman" w:hAnsi="Times New Roman" w:eastAsia="仿宋_GB2312" w:cs="仿宋_GB2312"/>
          <w:bCs/>
          <w:kern w:val="0"/>
          <w:sz w:val="32"/>
          <w:szCs w:val="32"/>
          <w:lang w:val="en-US" w:eastAsia="zh-CN"/>
        </w:rPr>
        <w:t>。负责全市新型墙体材料改革和发展的具体工作；监督指导全市城市“限粘”和县城“禁实”工作；负责新型墙体材料、建筑节能材料、装配式建筑的推广应用及产品升级认定工作；指导企业利用废渣生产新型墙体材料和本行业淘汰落后产能工作；指导全市新建、改建、扩建新型墙体材料项目的产品研发、生产技术和工艺；监督检查新型墙体材料的产品质量和使用情况；负责全市新型墙体材料的统计工作；参与使用新型墙体材料的建筑工程竣工验收。</w:t>
      </w:r>
    </w:p>
    <w:p>
      <w:pPr>
        <w:widowControl/>
        <w:spacing w:line="600" w:lineRule="exact"/>
        <w:ind w:firstLine="640" w:firstLineChars="200"/>
        <w:rPr>
          <w:rFonts w:hint="eastAsia" w:ascii="Times New Roman" w:hAnsi="Times New Roman" w:eastAsia="仿宋_GB2312" w:cs="仿宋_GB2312"/>
          <w:bCs/>
          <w:kern w:val="0"/>
          <w:sz w:val="32"/>
          <w:szCs w:val="32"/>
          <w:lang w:val="zh-CN" w:eastAsia="zh-CN"/>
        </w:rPr>
      </w:pPr>
      <w:r>
        <w:rPr>
          <w:rFonts w:hint="eastAsia" w:ascii="Times New Roman" w:hAnsi="Times New Roman" w:eastAsia="仿宋_GB2312" w:cs="仿宋_GB2312"/>
          <w:bCs/>
          <w:kern w:val="0"/>
          <w:sz w:val="32"/>
          <w:szCs w:val="32"/>
          <w:lang w:val="en-US" w:eastAsia="zh-CN"/>
        </w:rPr>
        <w:t>3、散装水泥推广应用部。负责实施禁止施工现场搅拌混凝土和现场搅拌砂浆工作；负责新建、扩建预拌混凝土和预拌砂浆项目的核准工作；负责指导、协调全市散装水泥、预拌混凝土、预拌砂浆的生产、运输、使用的具体工作，指导新建、扩建预拌混凝土和预拌砂浆项目的产品研发、生产技术和工艺；负责预拌混凝土和预拌砂浆的合同备案管理；对预拌混凝土和预拌砂浆的生产质量进行监督检查；组织实施禁止将水泥生产企业的散装水泥进行包装后销售的具体工作；负责全市散装水泥、预拌混凝土、预拌砂浆的统计工作；参与使用预拌混凝土、预拌砂浆的建筑工程竣工验收</w:t>
      </w:r>
      <w:r>
        <w:rPr>
          <w:rFonts w:hint="eastAsia" w:ascii="Times New Roman" w:hAnsi="Times New Roman" w:eastAsia="仿宋_GB2312" w:cs="仿宋_GB2312"/>
          <w:bCs/>
          <w:kern w:val="0"/>
          <w:sz w:val="32"/>
          <w:szCs w:val="32"/>
          <w:lang w:val="zh-CN" w:eastAsia="zh-CN"/>
        </w:rPr>
        <w:t>。</w:t>
      </w:r>
    </w:p>
    <w:p>
      <w:pPr>
        <w:pStyle w:val="2"/>
        <w:rPr>
          <w:rFonts w:hint="eastAsia"/>
        </w:rPr>
      </w:pPr>
    </w:p>
    <w:p>
      <w:pPr>
        <w:pStyle w:val="2"/>
      </w:pPr>
      <w:r>
        <w:rPr>
          <w:rFonts w:hint="eastAsia" w:ascii="Times New Roman" w:hAnsi="Times New Roman" w:eastAsia="仿宋_GB2312" w:cs="仿宋_GB2312"/>
          <w:bCs/>
          <w:kern w:val="0"/>
          <w:sz w:val="32"/>
          <w:szCs w:val="32"/>
        </w:rPr>
        <w:t>（二）决算单位构成。本单位无独立核算的下属单位，202</w:t>
      </w:r>
      <w:r>
        <w:rPr>
          <w:rFonts w:hint="eastAsia" w:ascii="Times New Roman" w:hAnsi="Times New Roman" w:eastAsia="仿宋_GB2312" w:cs="仿宋_GB2312"/>
          <w:bCs/>
          <w:kern w:val="0"/>
          <w:sz w:val="32"/>
          <w:szCs w:val="32"/>
          <w:lang w:val="en-US" w:eastAsia="zh-CN"/>
        </w:rPr>
        <w:t>4</w:t>
      </w:r>
      <w:r>
        <w:rPr>
          <w:rFonts w:hint="eastAsia" w:ascii="Times New Roman" w:hAnsi="Times New Roman" w:eastAsia="仿宋_GB2312" w:cs="仿宋_GB2312"/>
          <w:bCs/>
          <w:kern w:val="0"/>
          <w:sz w:val="32"/>
          <w:szCs w:val="32"/>
        </w:rPr>
        <w:t>年度部门决算汇总公开单位仅包括</w:t>
      </w:r>
      <w:r>
        <w:rPr>
          <w:rFonts w:hint="eastAsia" w:ascii="Times New Roman" w:hAnsi="Times New Roman" w:eastAsia="仿宋_GB2312" w:cs="仿宋_GB2312"/>
          <w:bCs/>
          <w:kern w:val="0"/>
          <w:sz w:val="32"/>
          <w:szCs w:val="32"/>
          <w:lang w:val="en-US" w:eastAsia="zh-CN"/>
        </w:rPr>
        <w:t xml:space="preserve"> </w:t>
      </w:r>
      <w:r>
        <w:rPr>
          <w:rFonts w:hint="eastAsia" w:ascii="Times New Roman" w:hAnsi="Times New Roman" w:eastAsia="仿宋_GB2312" w:cs="仿宋_GB2312"/>
          <w:bCs/>
          <w:kern w:val="0"/>
          <w:sz w:val="32"/>
          <w:szCs w:val="32"/>
          <w:lang w:eastAsia="zh-CN"/>
        </w:rPr>
        <w:t>绿色建筑产业发展服务中心</w:t>
      </w:r>
      <w:r>
        <w:rPr>
          <w:rFonts w:hint="eastAsia" w:ascii="Times New Roman" w:hAnsi="Times New Roman" w:eastAsia="仿宋_GB2312" w:cs="仿宋_GB2312"/>
          <w:bCs/>
          <w:kern w:val="0"/>
          <w:sz w:val="32"/>
          <w:szCs w:val="32"/>
        </w:rPr>
        <w:t>单位本级</w:t>
      </w:r>
      <w:r>
        <w:rPr>
          <w:rFonts w:hint="eastAsia" w:ascii="Times New Roman" w:hAnsi="Times New Roman" w:eastAsia="仿宋_GB2312" w:cs="仿宋_GB2312"/>
          <w:bCs/>
          <w:kern w:val="0"/>
          <w:sz w:val="32"/>
          <w:szCs w:val="32"/>
          <w:lang w:val="zh-CN" w:eastAsia="zh-CN"/>
        </w:rPr>
        <w:t>。</w:t>
      </w:r>
      <w:r>
        <w:rPr>
          <w:rFonts w:hint="eastAsia" w:ascii="Times New Roman" w:hAnsi="Times New Roman" w:eastAsia="仿宋_GB2312" w:cs="仿宋_GB2312"/>
          <w:bCs/>
          <w:kern w:val="0"/>
          <w:sz w:val="32"/>
          <w:szCs w:val="32"/>
          <w:lang w:val="en-US" w:eastAsia="zh-CN"/>
        </w:rPr>
        <w:t xml:space="preserve"> </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5"/>
        <w:jc w:val="center"/>
        <w:rPr>
          <w:rFonts w:hint="eastAsia" w:ascii="方正小标宋_GBK" w:hAnsi="方正小标宋_GBK" w:eastAsia="方正小标宋_GBK" w:cs="方正小标宋_GBK"/>
          <w:sz w:val="84"/>
          <w:szCs w:val="84"/>
        </w:rPr>
      </w:pPr>
    </w:p>
    <w:p>
      <w:pPr>
        <w:pStyle w:val="15"/>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5"/>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仿宋_GB2312" w:hAnsi="仿宋_GB2312" w:eastAsia="仿宋_GB2312" w:cs="仿宋_GB2312"/>
          <w:b w:val="0"/>
          <w:bCs w:val="0"/>
          <w:sz w:val="72"/>
          <w:szCs w:val="72"/>
          <w:lang w:eastAsia="zh-CN"/>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both"/>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center"/>
        <w:rPr>
          <w:rFonts w:hint="eastAsia" w:ascii="方正小标宋_GBK" w:hAnsi="方正小标宋_GBK" w:eastAsia="方正小标宋_GBK" w:cs="方正小标宋_GBK"/>
          <w:sz w:val="70"/>
          <w:szCs w:val="70"/>
        </w:rPr>
      </w:pPr>
    </w:p>
    <w:p>
      <w:pPr>
        <w:pStyle w:val="15"/>
        <w:jc w:val="both"/>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i/>
          <w:iCs/>
          <w:color w:val="FF0000"/>
          <w:sz w:val="32"/>
          <w:szCs w:val="32"/>
          <w:highlight w:val="none"/>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280.30</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65.94</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30.76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主要是因为人员增加，基本支出相比上年度有所增长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新增可再生能源、绿色建筑产业发展配套工作经费，项目</w:t>
      </w:r>
      <w:r>
        <w:rPr>
          <w:rFonts w:hint="eastAsia" w:ascii="仿宋_GB2312" w:hAnsi="仿宋_GB2312" w:eastAsia="仿宋_GB2312" w:cs="仿宋_GB2312"/>
          <w:sz w:val="32"/>
          <w:szCs w:val="32"/>
          <w:highlight w:val="none"/>
        </w:rPr>
        <w:t>支出相比上年度有所增长。</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269.23</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269.21</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99.99</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0.02</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0.01</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280.30</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179.05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63.88</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101.25</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36.12</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5"/>
        <w:keepNext w:val="0"/>
        <w:keepLines w:val="0"/>
        <w:pageBreakBefore w:val="0"/>
        <w:widowControl w:val="0"/>
        <w:kinsoku/>
        <w:wordWrap/>
        <w:overflowPunct/>
        <w:topLinePunct w:val="0"/>
        <w:bidi w:val="0"/>
        <w:snapToGrid/>
        <w:spacing w:line="600" w:lineRule="exact"/>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269.21</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74.87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38.53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主要是因为人员增加，基本支出相比上年度有所增长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新增可再生能源、绿色建筑产业发展配套工作经费，项目</w:t>
      </w:r>
      <w:r>
        <w:rPr>
          <w:rFonts w:hint="eastAsia" w:ascii="仿宋_GB2312" w:hAnsi="仿宋_GB2312" w:eastAsia="仿宋_GB2312" w:cs="仿宋_GB2312"/>
          <w:sz w:val="32"/>
          <w:szCs w:val="32"/>
          <w:highlight w:val="none"/>
        </w:rPr>
        <w:t>支出相比上年度有所增长</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269.21</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96.04</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74.87</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38.53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主要是因为人员增加，基本支出相比上年度有所增长</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新增可再生能源、绿色建筑产业发展配套工作经费，项目</w:t>
      </w:r>
      <w:r>
        <w:rPr>
          <w:rFonts w:hint="eastAsia" w:ascii="仿宋_GB2312" w:hAnsi="仿宋_GB2312" w:eastAsia="仿宋_GB2312" w:cs="仿宋_GB2312"/>
          <w:sz w:val="32"/>
          <w:szCs w:val="32"/>
          <w:highlight w:val="none"/>
        </w:rPr>
        <w:t>支出相比上年度有所增长</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269.21</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lang w:val="en-US"/>
        </w:rPr>
        <w:t>社会保障和就业（类）支出14.67万元，占5.45%；城乡社区（类）支出133.05万元，占49.42%；资源勘探工业信息等（类）支出115.49万元，占42.9%；住房保障（类）支出6万元，占2.23%</w:t>
      </w:r>
      <w:r>
        <w:rPr>
          <w:rFonts w:hint="eastAsia" w:ascii="仿宋_GB2312" w:hAnsi="仿宋_GB2312" w:eastAsia="仿宋_GB2312" w:cs="仿宋_GB2312"/>
          <w:sz w:val="32"/>
          <w:szCs w:val="32"/>
        </w:rPr>
        <w:t>。</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188.15</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269.21</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143.08</w:t>
      </w:r>
      <w:r>
        <w:rPr>
          <w:rFonts w:hint="eastAsia" w:ascii="仿宋_GB2312" w:hAnsi="仿宋_GB2312" w:eastAsia="仿宋_GB2312" w:cs="仿宋_GB2312"/>
          <w:sz w:val="32"/>
          <w:szCs w:val="32"/>
        </w:rPr>
        <w:t>%，其中：</w:t>
      </w:r>
    </w:p>
    <w:p>
      <w:pPr>
        <w:pStyle w:val="15"/>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 w:hAnsi="仿宋" w:eastAsia="仿宋"/>
          <w:color w:val="auto"/>
          <w:sz w:val="32"/>
          <w:szCs w:val="24"/>
          <w:highlight w:val="none"/>
          <w:lang w:val="en-US"/>
        </w:rPr>
        <w:t>社会保障和就业支出（</w:t>
      </w:r>
      <w:r>
        <w:rPr>
          <w:rFonts w:hint="eastAsia" w:ascii="仿宋" w:hAnsi="仿宋" w:eastAsia="仿宋"/>
          <w:color w:val="auto"/>
          <w:sz w:val="32"/>
          <w:szCs w:val="24"/>
          <w:lang w:val="en-US"/>
        </w:rPr>
        <w:t>类）行政事业单位养老支出（款）机关事业单位基本养老保险缴费支出（项）。</w:t>
      </w:r>
    </w:p>
    <w:p>
      <w:pPr>
        <w:keepNext/>
        <w:keepLines/>
        <w:spacing w:beforeLines="0" w:afterLines="0"/>
        <w:ind w:firstLine="640"/>
        <w:rPr>
          <w:rFonts w:hint="eastAsia" w:ascii="仿宋" w:hAnsi="仿宋" w:eastAsia="仿宋"/>
          <w:color w:val="auto"/>
          <w:sz w:val="32"/>
          <w:szCs w:val="24"/>
          <w:lang w:val="en-US"/>
        </w:rPr>
      </w:pPr>
      <w:r>
        <w:rPr>
          <w:rFonts w:hint="eastAsia" w:ascii="仿宋" w:hAnsi="仿宋" w:eastAsia="仿宋"/>
          <w:color w:val="auto"/>
          <w:sz w:val="32"/>
          <w:szCs w:val="24"/>
          <w:lang w:val="en-US"/>
        </w:rPr>
        <w:t>年初预算为</w:t>
      </w:r>
      <w:r>
        <w:rPr>
          <w:rFonts w:hint="eastAsia" w:ascii="仿宋" w:hAnsi="仿宋" w:eastAsia="仿宋"/>
          <w:color w:val="auto"/>
          <w:sz w:val="32"/>
          <w:szCs w:val="24"/>
          <w:lang w:val="en-US" w:eastAsia="zh-CN"/>
        </w:rPr>
        <w:t>9.23</w:t>
      </w:r>
      <w:r>
        <w:rPr>
          <w:rFonts w:hint="eastAsia" w:ascii="仿宋" w:hAnsi="仿宋" w:eastAsia="仿宋"/>
          <w:color w:val="auto"/>
          <w:sz w:val="32"/>
          <w:szCs w:val="24"/>
          <w:lang w:val="en-US"/>
        </w:rPr>
        <w:t>万元，支出决算为9.23万元，完成年初预算的100%，决算数等于年初预算数的主要原因是：我单位严格按预算执行决算。</w:t>
      </w:r>
    </w:p>
    <w:p>
      <w:pPr>
        <w:pStyle w:val="15"/>
        <w:keepNext w:val="0"/>
        <w:keepLines w:val="0"/>
        <w:pageBreakBefore w:val="0"/>
        <w:widowControl w:val="0"/>
        <w:numPr>
          <w:ilvl w:val="0"/>
          <w:numId w:val="2"/>
        </w:numPr>
        <w:kinsoku/>
        <w:wordWrap/>
        <w:overflowPunct/>
        <w:topLinePunct w:val="0"/>
        <w:bidi w:val="0"/>
        <w:snapToGrid/>
        <w:spacing w:line="600" w:lineRule="exact"/>
        <w:ind w:firstLine="800" w:firstLineChars="250"/>
        <w:textAlignment w:val="auto"/>
        <w:rPr>
          <w:rFonts w:hint="eastAsia" w:ascii="仿宋" w:hAnsi="仿宋" w:eastAsia="仿宋"/>
          <w:color w:val="auto"/>
          <w:sz w:val="32"/>
          <w:szCs w:val="24"/>
          <w:lang w:val="en-US"/>
        </w:rPr>
      </w:pPr>
      <w:r>
        <w:rPr>
          <w:rFonts w:hint="eastAsia" w:ascii="仿宋" w:hAnsi="仿宋" w:eastAsia="仿宋"/>
          <w:color w:val="auto"/>
          <w:sz w:val="32"/>
          <w:szCs w:val="24"/>
          <w:lang w:val="en-US"/>
        </w:rPr>
        <w:t>社会保障和就业支出（类）残疾人事业（款）其他残疾人事业支出（项）。</w:t>
      </w:r>
    </w:p>
    <w:p>
      <w:pPr>
        <w:pStyle w:val="15"/>
        <w:keepNext w:val="0"/>
        <w:keepLines w:val="0"/>
        <w:pageBreakBefore w:val="0"/>
        <w:widowControl w:val="0"/>
        <w:numPr>
          <w:ilvl w:val="0"/>
          <w:numId w:val="0"/>
        </w:numPr>
        <w:kinsoku/>
        <w:wordWrap/>
        <w:overflowPunct/>
        <w:topLinePunct w:val="0"/>
        <w:bidi w:val="0"/>
        <w:snapToGrid/>
        <w:spacing w:line="600" w:lineRule="exact"/>
        <w:textAlignment w:val="auto"/>
        <w:rPr>
          <w:rFonts w:hint="default" w:ascii="仿宋" w:hAnsi="仿宋" w:eastAsia="仿宋"/>
          <w:color w:val="auto"/>
          <w:sz w:val="32"/>
          <w:szCs w:val="24"/>
          <w:lang w:val="en-US" w:eastAsia="zh-CN"/>
        </w:rPr>
      </w:pPr>
      <w:r>
        <w:rPr>
          <w:rFonts w:hint="eastAsia" w:ascii="仿宋" w:hAnsi="仿宋" w:eastAsia="仿宋"/>
          <w:color w:val="auto"/>
          <w:sz w:val="32"/>
          <w:szCs w:val="24"/>
          <w:lang w:val="en-US" w:eastAsia="zh-CN"/>
        </w:rPr>
        <w:t xml:space="preserve">    </w:t>
      </w:r>
      <w:r>
        <w:rPr>
          <w:rFonts w:hint="eastAsia" w:ascii="仿宋" w:hAnsi="仿宋" w:eastAsia="仿宋"/>
          <w:color w:val="auto"/>
          <w:sz w:val="32"/>
          <w:szCs w:val="24"/>
          <w:lang w:val="en-US"/>
        </w:rPr>
        <w:t>年初预算为</w:t>
      </w:r>
      <w:r>
        <w:rPr>
          <w:rFonts w:hint="eastAsia" w:ascii="仿宋" w:hAnsi="仿宋" w:eastAsia="仿宋"/>
          <w:color w:val="auto"/>
          <w:sz w:val="32"/>
          <w:szCs w:val="24"/>
          <w:lang w:val="en-US" w:eastAsia="zh-CN"/>
        </w:rPr>
        <w:t>0.69</w:t>
      </w:r>
      <w:r>
        <w:rPr>
          <w:rFonts w:hint="eastAsia" w:ascii="仿宋" w:hAnsi="仿宋" w:eastAsia="仿宋"/>
          <w:color w:val="auto"/>
          <w:sz w:val="32"/>
          <w:szCs w:val="24"/>
          <w:lang w:val="en-US"/>
        </w:rPr>
        <w:t>万元，支出决算为0.69万元，完成年初预算的100%，决算数等于年初预算数的主要原因是：我单位严格按预算执行决算。</w:t>
      </w:r>
    </w:p>
    <w:p>
      <w:pPr>
        <w:widowControl w:val="0"/>
        <w:numPr>
          <w:ilvl w:val="0"/>
          <w:numId w:val="2"/>
        </w:numPr>
        <w:autoSpaceDE w:val="0"/>
        <w:autoSpaceDN w:val="0"/>
        <w:adjustRightInd w:val="0"/>
        <w:ind w:left="0" w:leftChars="0" w:firstLine="800" w:firstLineChars="250"/>
        <w:rPr>
          <w:rFonts w:hint="eastAsia" w:ascii="仿宋" w:hAnsi="仿宋" w:eastAsia="仿宋"/>
          <w:color w:val="auto"/>
          <w:sz w:val="32"/>
          <w:szCs w:val="24"/>
          <w:lang w:val="en-US"/>
        </w:rPr>
      </w:pPr>
      <w:r>
        <w:rPr>
          <w:rFonts w:hint="eastAsia" w:ascii="仿宋" w:hAnsi="仿宋" w:eastAsia="仿宋"/>
          <w:color w:val="auto"/>
          <w:sz w:val="32"/>
          <w:szCs w:val="24"/>
          <w:lang w:val="en-US"/>
        </w:rPr>
        <w:t>社会保障和就业支出（类）其他社会保障和就业支出（款）其他社会保障和就业支出（项）。</w:t>
      </w:r>
    </w:p>
    <w:p>
      <w:pPr>
        <w:keepNext/>
        <w:keepLines/>
        <w:spacing w:beforeLines="0" w:afterLines="0"/>
        <w:ind w:firstLine="640"/>
        <w:rPr>
          <w:rFonts w:hint="eastAsia" w:ascii="仿宋" w:hAnsi="仿宋" w:eastAsia="仿宋"/>
          <w:color w:val="auto"/>
          <w:sz w:val="32"/>
          <w:szCs w:val="24"/>
          <w:lang w:val="en-US" w:eastAsia="zh-CN"/>
        </w:rPr>
      </w:pPr>
      <w:r>
        <w:rPr>
          <w:rFonts w:hint="eastAsia" w:ascii="仿宋" w:hAnsi="仿宋" w:eastAsia="仿宋"/>
          <w:color w:val="auto"/>
          <w:sz w:val="32"/>
          <w:szCs w:val="24"/>
          <w:lang w:val="en-US"/>
        </w:rPr>
        <w:t>年初预算为</w:t>
      </w:r>
      <w:r>
        <w:rPr>
          <w:rFonts w:hint="eastAsia" w:ascii="仿宋" w:hAnsi="仿宋" w:eastAsia="仿宋"/>
          <w:color w:val="auto"/>
          <w:sz w:val="32"/>
          <w:szCs w:val="24"/>
          <w:lang w:val="en-US" w:eastAsia="zh-CN"/>
        </w:rPr>
        <w:t>4.75</w:t>
      </w:r>
      <w:r>
        <w:rPr>
          <w:rFonts w:hint="eastAsia" w:ascii="仿宋" w:hAnsi="仿宋" w:eastAsia="仿宋"/>
          <w:color w:val="auto"/>
          <w:sz w:val="32"/>
          <w:szCs w:val="24"/>
          <w:lang w:val="en-US"/>
        </w:rPr>
        <w:t>万元，支出决算为4.75万元，完成年初预算的100%，决算数等于年初预算数的主要原因是：我单位严格按预算执行决算。</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lang w:val="en-US" w:eastAsia="zh-CN" w:bidi="ar-SA"/>
        </w:rPr>
        <w:t>4、</w:t>
      </w:r>
      <w:r>
        <w:rPr>
          <w:rFonts w:hint="eastAsia" w:ascii="仿宋" w:hAnsi="仿宋" w:eastAsia="仿宋"/>
          <w:color w:val="auto"/>
          <w:sz w:val="32"/>
          <w:szCs w:val="24"/>
          <w:lang w:val="en-US"/>
        </w:rPr>
        <w:t>城乡社区支出（类）城乡社区管理事务（款）其他城乡社区管理事务支出（项）</w:t>
      </w:r>
      <w:r>
        <w:rPr>
          <w:rFonts w:hint="eastAsia" w:ascii="仿宋_GB2312" w:hAnsi="仿宋_GB2312" w:eastAsia="仿宋_GB2312" w:cs="仿宋_GB2312"/>
          <w:color w:val="000000"/>
          <w:kern w:val="0"/>
          <w:sz w:val="32"/>
          <w:szCs w:val="32"/>
          <w:highlight w:val="none"/>
          <w:lang w:val="en-US" w:eastAsia="zh-CN" w:bidi="ar-SA"/>
        </w:rPr>
        <w:t>。</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highlight w:val="none"/>
          <w:lang w:val="en-US" w:eastAsia="zh-CN" w:bidi="ar-SA"/>
        </w:rPr>
      </w:pPr>
      <w:r>
        <w:rPr>
          <w:rFonts w:hint="eastAsia" w:ascii="仿宋" w:hAnsi="仿宋" w:eastAsia="仿宋"/>
          <w:color w:val="auto"/>
          <w:sz w:val="32"/>
          <w:szCs w:val="24"/>
          <w:highlight w:val="none"/>
          <w:lang w:val="en-US"/>
        </w:rPr>
        <w:t>年初预算为</w:t>
      </w:r>
      <w:r>
        <w:rPr>
          <w:rFonts w:hint="eastAsia" w:ascii="仿宋" w:hAnsi="仿宋" w:eastAsia="仿宋"/>
          <w:color w:val="auto"/>
          <w:sz w:val="32"/>
          <w:szCs w:val="24"/>
          <w:highlight w:val="none"/>
          <w:lang w:val="en-US" w:eastAsia="zh-CN"/>
        </w:rPr>
        <w:t>0</w:t>
      </w:r>
      <w:r>
        <w:rPr>
          <w:rFonts w:hint="eastAsia" w:ascii="仿宋" w:hAnsi="仿宋" w:eastAsia="仿宋"/>
          <w:color w:val="auto"/>
          <w:sz w:val="32"/>
          <w:szCs w:val="24"/>
          <w:highlight w:val="none"/>
          <w:lang w:val="en-US"/>
        </w:rPr>
        <w:t>万元，支出决算为11.99万元，</w:t>
      </w:r>
      <w:r>
        <w:rPr>
          <w:rFonts w:hint="eastAsia" w:ascii="仿宋_GB2312" w:hAnsi="仿宋_GB2312" w:eastAsia="仿宋_GB2312" w:cs="仿宋_GB2312"/>
          <w:color w:val="000000"/>
          <w:kern w:val="0"/>
          <w:sz w:val="32"/>
          <w:szCs w:val="32"/>
          <w:highlight w:val="none"/>
          <w:lang w:val="en-US" w:eastAsia="zh-CN" w:bidi="ar-SA"/>
        </w:rPr>
        <w:t>决算数大于年初预算数的主要原因是追加人员经费。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5、城乡社区支出（类）城乡社区规划与管理（款）城乡社区规划与管理（项）。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年初预算为50万元，支出决算为108.72万元，完成年初预算的217.44%，决算数大于年初预算数的主要原因是追加人员经费</w:t>
      </w:r>
      <w:r>
        <w:rPr>
          <w:rFonts w:hint="eastAsia" w:ascii="仿宋_GB2312" w:hAnsi="仿宋_GB2312" w:eastAsia="仿宋_GB2312" w:cs="仿宋_GB2312"/>
          <w:color w:val="000000"/>
          <w:kern w:val="0"/>
          <w:sz w:val="32"/>
          <w:szCs w:val="32"/>
          <w:lang w:val="en-US" w:eastAsia="zh-CN" w:bidi="ar-SA"/>
        </w:rPr>
        <w:t>及</w:t>
      </w:r>
      <w:r>
        <w:rPr>
          <w:rFonts w:hint="eastAsia" w:ascii="仿宋_GB2312" w:hAnsi="仿宋_GB2312" w:eastAsia="仿宋_GB2312" w:cs="仿宋_GB2312"/>
          <w:color w:val="000000"/>
          <w:kern w:val="0"/>
          <w:sz w:val="32"/>
          <w:szCs w:val="32"/>
          <w:highlight w:val="none"/>
          <w:lang w:val="en-US" w:eastAsia="zh-CN" w:bidi="ar-SA"/>
        </w:rPr>
        <w:t>上年结转</w:t>
      </w:r>
      <w:r>
        <w:rPr>
          <w:rFonts w:hint="eastAsia" w:ascii="仿宋_GB2312" w:hAnsi="仿宋_GB2312" w:eastAsia="仿宋_GB2312" w:cs="仿宋_GB2312"/>
          <w:color w:val="000000"/>
          <w:kern w:val="0"/>
          <w:sz w:val="32"/>
          <w:szCs w:val="32"/>
          <w:lang w:val="en-US" w:eastAsia="zh-CN" w:bidi="ar-SA"/>
        </w:rPr>
        <w:t>。</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6、城乡社区支出（类）其他城乡社区支出（款）其他城乡社区支出（项）。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年初预算为0万元，支出决算为12.34万元，决算数大于年初预算数的主要原因是增资绩效奖的发放从</w:t>
      </w:r>
      <w:r>
        <w:rPr>
          <w:rFonts w:hint="eastAsia" w:ascii="仿宋_GB2312" w:hAnsi="仿宋_GB2312" w:eastAsia="仿宋_GB2312" w:cs="仿宋_GB2312"/>
          <w:color w:val="000000"/>
          <w:kern w:val="0"/>
          <w:sz w:val="32"/>
          <w:szCs w:val="32"/>
          <w:lang w:val="en-US" w:eastAsia="zh-CN" w:bidi="ar-SA"/>
        </w:rPr>
        <w:t>而增加了经费。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7、资源勘探工业信息等支出（类）建筑业（款）行政运行（项）。</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年</w:t>
      </w:r>
      <w:r>
        <w:rPr>
          <w:rFonts w:hint="eastAsia" w:ascii="仿宋_GB2312" w:hAnsi="仿宋_GB2312" w:eastAsia="仿宋_GB2312" w:cs="仿宋_GB2312"/>
          <w:color w:val="000000"/>
          <w:kern w:val="0"/>
          <w:sz w:val="32"/>
          <w:szCs w:val="32"/>
          <w:highlight w:val="none"/>
          <w:lang w:val="en-US" w:eastAsia="zh-CN" w:bidi="ar-SA"/>
        </w:rPr>
        <w:t>初预算</w:t>
      </w:r>
      <w:r>
        <w:rPr>
          <w:rFonts w:hint="eastAsia" w:ascii="仿宋" w:hAnsi="仿宋" w:eastAsia="仿宋"/>
          <w:color w:val="auto"/>
          <w:sz w:val="32"/>
          <w:szCs w:val="24"/>
          <w:lang w:val="en-US" w:eastAsia="zh-CN"/>
        </w:rPr>
        <w:t>115.14</w:t>
      </w:r>
      <w:r>
        <w:rPr>
          <w:rFonts w:hint="eastAsia" w:ascii="仿宋" w:hAnsi="仿宋" w:eastAsia="仿宋"/>
          <w:color w:val="auto"/>
          <w:sz w:val="32"/>
          <w:szCs w:val="24"/>
          <w:lang w:val="en-US"/>
        </w:rPr>
        <w:t>万元，支出决算为115.49万元</w:t>
      </w:r>
      <w:r>
        <w:rPr>
          <w:rFonts w:hint="eastAsia" w:ascii="仿宋_GB2312" w:hAnsi="仿宋_GB2312" w:eastAsia="仿宋_GB2312" w:cs="仿宋_GB2312"/>
          <w:color w:val="000000"/>
          <w:kern w:val="0"/>
          <w:sz w:val="32"/>
          <w:szCs w:val="32"/>
          <w:lang w:val="en-US" w:eastAsia="zh-CN" w:bidi="ar-SA"/>
        </w:rPr>
        <w:t>，完成年初预算的100.30%，决算数大于年初预算数的主要原因是上年</w:t>
      </w:r>
      <w:r>
        <w:rPr>
          <w:rFonts w:hint="eastAsia" w:ascii="仿宋_GB2312" w:hAnsi="仿宋_GB2312" w:eastAsia="仿宋_GB2312" w:cs="仿宋_GB2312"/>
          <w:color w:val="000000"/>
          <w:kern w:val="0"/>
          <w:sz w:val="32"/>
          <w:szCs w:val="32"/>
          <w:highlight w:val="none"/>
          <w:lang w:val="en-US" w:eastAsia="zh-CN" w:bidi="ar-SA"/>
        </w:rPr>
        <w:t>结转</w:t>
      </w:r>
      <w:r>
        <w:rPr>
          <w:rFonts w:hint="eastAsia" w:ascii="仿宋_GB2312" w:hAnsi="仿宋_GB2312" w:eastAsia="仿宋_GB2312" w:cs="仿宋_GB2312"/>
          <w:color w:val="000000"/>
          <w:kern w:val="0"/>
          <w:sz w:val="32"/>
          <w:szCs w:val="32"/>
          <w:lang w:val="en-US" w:eastAsia="zh-CN" w:bidi="ar-SA"/>
        </w:rPr>
        <w:t>。</w:t>
      </w:r>
    </w:p>
    <w:p>
      <w:pPr>
        <w:widowControl w:val="0"/>
        <w:autoSpaceDE w:val="0"/>
        <w:autoSpaceDN w:val="0"/>
        <w:adjustRightInd w:val="0"/>
        <w:ind w:firstLine="800" w:firstLineChars="25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8、住房保障支出（类）住房改革支出（款）住房公积金（项）。</w:t>
      </w:r>
    </w:p>
    <w:p>
      <w:pPr>
        <w:widowControl w:val="0"/>
        <w:autoSpaceDE w:val="0"/>
        <w:autoSpaceDN w:val="0"/>
        <w:adjustRightInd w:val="0"/>
        <w:ind w:firstLine="800" w:firstLineChars="250"/>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bidi="ar-SA"/>
        </w:rPr>
        <w:t>年初预算为6.65万元，支出决算为6万元，完成年初预算的90.91%，决算数小于年初预算数的主要原因是严格执行预算。</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167.97</w:t>
      </w:r>
      <w:r>
        <w:rPr>
          <w:rFonts w:hint="eastAsia" w:ascii="仿宋_GB2312" w:hAnsi="仿宋_GB2312" w:eastAsia="仿宋_GB2312" w:cs="仿宋_GB2312"/>
          <w:sz w:val="32"/>
          <w:szCs w:val="32"/>
        </w:rPr>
        <w:t>万元，其中：</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lang w:val="en-US" w:eastAsia="zh-CN"/>
        </w:rPr>
        <w:t>148.53</w:t>
      </w:r>
      <w:r>
        <w:rPr>
          <w:rFonts w:hint="eastAsia" w:ascii="仿宋_GB2312" w:hAnsi="仿宋_GB2312" w:eastAsia="仿宋_GB2312" w:cs="仿宋_GB2312"/>
          <w:sz w:val="32"/>
          <w:szCs w:val="32"/>
        </w:rPr>
        <w:t>万元，占基本支出的</w:t>
      </w:r>
      <w:r>
        <w:rPr>
          <w:rFonts w:hint="eastAsia" w:ascii="仿宋_GB2312" w:hAnsi="仿宋_GB2312" w:eastAsia="仿宋_GB2312" w:cs="仿宋_GB2312"/>
          <w:sz w:val="32"/>
          <w:szCs w:val="32"/>
          <w:lang w:val="en-US" w:eastAsia="zh-CN"/>
        </w:rPr>
        <w:t>88.43</w:t>
      </w:r>
      <w:r>
        <w:rPr>
          <w:rFonts w:hint="eastAsia" w:ascii="仿宋_GB2312" w:hAnsi="仿宋_GB2312" w:eastAsia="仿宋_GB2312" w:cs="仿宋_GB2312"/>
          <w:sz w:val="32"/>
          <w:szCs w:val="32"/>
        </w:rPr>
        <w:t>%,主要包括基本工资</w:t>
      </w:r>
      <w:r>
        <w:rPr>
          <w:rFonts w:hint="eastAsia" w:ascii="仿宋_GB2312" w:hAnsi="仿宋_GB2312" w:eastAsia="仿宋_GB2312" w:cs="仿宋_GB2312"/>
          <w:sz w:val="32"/>
          <w:szCs w:val="32"/>
          <w:lang w:val="en-US"/>
        </w:rPr>
        <w:t>、津贴补贴、</w:t>
      </w:r>
      <w:r>
        <w:rPr>
          <w:rFonts w:hint="eastAsia" w:ascii="仿宋_GB2312" w:hAnsi="仿宋_GB2312" w:eastAsia="仿宋_GB2312" w:cs="仿宋_GB2312"/>
          <w:sz w:val="32"/>
          <w:szCs w:val="32"/>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_GB2312" w:hAnsi="仿宋_GB2312" w:eastAsia="仿宋_GB2312" w:cs="仿宋_GB2312"/>
          <w:sz w:val="32"/>
          <w:szCs w:val="32"/>
          <w:lang w:eastAsia="zh-CN"/>
        </w:rPr>
        <w:t>。</w:t>
      </w:r>
    </w:p>
    <w:p>
      <w:pPr>
        <w:keepNext/>
        <w:keepLines/>
        <w:spacing w:beforeLines="0" w:afterLines="0"/>
        <w:ind w:firstLine="643"/>
        <w:jc w:val="left"/>
        <w:rPr>
          <w:rFonts w:hint="eastAsia" w:ascii="仿宋_GB2312" w:hAnsi="仿宋_GB2312" w:eastAsia="仿宋_GB2312" w:cs="仿宋_GB2312"/>
          <w:sz w:val="32"/>
          <w:szCs w:val="32"/>
          <w:lang w:val="en-US"/>
        </w:rPr>
      </w:pPr>
      <w:r>
        <w:rPr>
          <w:rFonts w:hint="eastAsia" w:ascii="仿宋_GB2312" w:hAnsi="仿宋_GB2312" w:eastAsia="仿宋_GB2312" w:cs="仿宋_GB2312"/>
          <w:b/>
          <w:bCs/>
          <w:sz w:val="32"/>
          <w:szCs w:val="32"/>
        </w:rPr>
        <w:t>公用经费</w:t>
      </w:r>
      <w:r>
        <w:rPr>
          <w:rFonts w:hint="eastAsia" w:ascii="仿宋_GB2312" w:hAnsi="仿宋_GB2312" w:eastAsia="仿宋_GB2312" w:cs="仿宋_GB2312"/>
          <w:sz w:val="32"/>
          <w:szCs w:val="32"/>
          <w:lang w:val="en-US"/>
        </w:rPr>
        <w:t>19.44万元，</w:t>
      </w:r>
      <w:r>
        <w:rPr>
          <w:rFonts w:hint="eastAsia" w:ascii="仿宋_GB2312" w:hAnsi="仿宋_GB2312" w:eastAsia="仿宋_GB2312" w:cs="仿宋_GB2312"/>
          <w:sz w:val="32"/>
          <w:szCs w:val="32"/>
          <w:lang w:val="zh-CN"/>
        </w:rPr>
        <w:t>占基本支出的</w:t>
      </w:r>
      <w:r>
        <w:rPr>
          <w:rFonts w:hint="eastAsia" w:ascii="仿宋_GB2312" w:hAnsi="仿宋_GB2312" w:eastAsia="仿宋_GB2312" w:cs="仿宋_GB2312"/>
          <w:sz w:val="32"/>
          <w:szCs w:val="32"/>
          <w:lang w:val="en-US"/>
        </w:rPr>
        <w:t>11.57%，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黑体" w:hAnsi="黑体" w:eastAsia="黑体" w:cs="黑体"/>
          <w:b w:val="0"/>
          <w:bCs/>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年度政府性基金预算财政拨款收入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万元；年初结转和结余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万元，其中</w:t>
      </w:r>
      <w:r>
        <w:rPr>
          <w:rFonts w:hint="eastAsia" w:ascii="仿宋_GB2312" w:hAnsi="仿宋_GB2312" w:eastAsia="仿宋_GB2312" w:cs="仿宋_GB2312"/>
          <w:i w:val="0"/>
          <w:iCs/>
          <w:color w:val="000000" w:themeColor="text1"/>
          <w:kern w:val="0"/>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sz w:val="32"/>
          <w:szCs w:val="32"/>
        </w:rPr>
        <w:t>基本支出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万元，项目支出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万元；年末结转和结余</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sz w:val="32"/>
          <w:szCs w:val="32"/>
        </w:rPr>
      </w:pPr>
      <w:r>
        <w:rPr>
          <w:rFonts w:hint="eastAsia" w:ascii="仿宋_GB2312" w:hAnsi="仿宋_GB2312" w:eastAsia="仿宋_GB2312" w:cs="仿宋_GB2312"/>
          <w:color w:val="000000"/>
          <w:kern w:val="0"/>
          <w:sz w:val="32"/>
          <w:szCs w:val="32"/>
          <w:highlight w:val="none"/>
          <w:lang w:val="en-US" w:eastAsia="zh-CN" w:bidi="ar-SA"/>
        </w:rPr>
        <w:t>2024年度国有资本经营预算财政拨款收入0万元；年初结转和结余0万；支出0万元，</w:t>
      </w:r>
      <w:r>
        <w:rPr>
          <w:rFonts w:hint="eastAsia" w:ascii="仿宋_GB2312" w:hAnsi="仿宋_GB2312" w:eastAsia="仿宋_GB2312" w:cs="仿宋_GB2312"/>
          <w:i w:val="0"/>
          <w:iCs/>
          <w:color w:val="000000" w:themeColor="text1"/>
          <w:kern w:val="0"/>
          <w:sz w:val="32"/>
          <w:szCs w:val="32"/>
          <w:highlight w:val="none"/>
          <w:lang w:val="en-US" w:eastAsia="zh-CN" w:bidi="ar-SA"/>
          <w14:textFill>
            <w14:solidFill>
              <w14:schemeClr w14:val="tx1"/>
            </w14:solidFill>
          </w14:textFill>
        </w:rPr>
        <w:t>其中：基本支出0万元，项目支出0万元</w:t>
      </w:r>
      <w:r>
        <w:rPr>
          <w:rFonts w:hint="eastAsia" w:ascii="仿宋_GB2312" w:hAnsi="仿宋_GB2312" w:eastAsia="仿宋_GB2312" w:cs="仿宋_GB2312"/>
          <w:color w:val="000000"/>
          <w:kern w:val="0"/>
          <w:sz w:val="32"/>
          <w:szCs w:val="32"/>
          <w:highlight w:val="none"/>
          <w:lang w:val="en-US" w:eastAsia="zh-CN" w:bidi="ar-SA"/>
        </w:rPr>
        <w:t>；年末结转和结余0万元。</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hAnsi="黑体" w:cs="黑体"/>
          <w:b w:val="0"/>
          <w:bCs/>
          <w:sz w:val="32"/>
          <w:szCs w:val="32"/>
          <w:lang w:eastAsia="zh-CN"/>
        </w:rPr>
        <w:t>九、</w:t>
      </w:r>
      <w:r>
        <w:rPr>
          <w:rFonts w:hint="eastAsia" w:ascii="黑体" w:hAnsi="黑体" w:eastAsia="黑体" w:cs="黑体"/>
          <w:b w:val="0"/>
          <w:bCs/>
          <w:sz w:val="32"/>
          <w:szCs w:val="32"/>
        </w:rPr>
        <w:t>财政拨款三公经费支出决算情况说明</w:t>
      </w:r>
    </w:p>
    <w:p>
      <w:pPr>
        <w:pStyle w:val="15"/>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经费财政拨款支出决算总体情况说明</w:t>
      </w:r>
    </w:p>
    <w:p>
      <w:pPr>
        <w:pStyle w:val="15"/>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2024年度“三公”经费财政拨款支出预算为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决算数等于预算数，主要原因是我单位严格按预算执行决算；与上年一致，无增减变动，主要原因是按有关政策厉行节约，严控“三公经费”支出。</w:t>
      </w:r>
    </w:p>
    <w:p>
      <w:pPr>
        <w:pStyle w:val="15"/>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经费财政拨款支出决算具体情况说明</w:t>
      </w:r>
    </w:p>
    <w:p>
      <w:pPr>
        <w:pStyle w:val="15"/>
        <w:overflowPunct w:val="0"/>
        <w:autoSpaceDE/>
        <w:autoSpaceDN/>
        <w:spacing w:line="600" w:lineRule="exact"/>
        <w:ind w:firstLine="640" w:firstLineChars="200"/>
        <w:jc w:val="both"/>
        <w:rPr>
          <w:rFonts w:ascii="Times New Roman" w:hAnsi="Times New Roman" w:eastAsia="楷体" w:cs="Times New Roman"/>
          <w:b/>
          <w:bCs/>
          <w:i/>
          <w:color w:val="auto"/>
          <w:sz w:val="32"/>
          <w:szCs w:val="32"/>
        </w:rPr>
      </w:pPr>
      <w:r>
        <w:rPr>
          <w:rFonts w:ascii="Times New Roman" w:hAnsi="Times New Roman" w:eastAsia="仿宋_GB2312" w:cs="Times New Roman"/>
          <w:sz w:val="32"/>
          <w:szCs w:val="32"/>
        </w:rPr>
        <w:t>1.因公出国（境）费支出预算为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决算数等于预算数，主要原因是我单位严格按预算执行决算；与上年一致，无增减变动，主要原因是未安排因公出国（境）活动。2024年度安排因公出国（境）团组0个，累计0人次。</w:t>
      </w:r>
    </w:p>
    <w:p>
      <w:pPr>
        <w:pStyle w:val="15"/>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2.公务用车购置费及运行维护费支出预算为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决算数等于预算数；与上年一致，无增减变动。</w:t>
      </w:r>
      <w:r>
        <w:rPr>
          <w:rFonts w:ascii="Times New Roman" w:hAnsi="Times New Roman" w:eastAsia="仿宋_GB2312" w:cs="Times New Roman"/>
          <w:sz w:val="32"/>
          <w:szCs w:val="32"/>
        </w:rPr>
        <w:t>其中：</w:t>
      </w:r>
    </w:p>
    <w:p>
      <w:pPr>
        <w:pStyle w:val="15"/>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公务用车购置费支出预算为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决算数等于预算数，主要原因是我单位严格按预算执行决算；与上年一致，无增减变动，主要原因是两年均未购置公务用车。本单位更新公务用车0辆</w:t>
      </w:r>
      <w:r>
        <w:rPr>
          <w:rFonts w:ascii="Times New Roman" w:hAnsi="Times New Roman" w:eastAsia="仿宋_GB2312" w:cs="Times New Roman"/>
          <w:color w:val="000000" w:themeColor="text1"/>
          <w:sz w:val="32"/>
          <w:szCs w:val="32"/>
          <w14:textFill>
            <w14:solidFill>
              <w14:schemeClr w14:val="tx1"/>
            </w14:solidFill>
          </w14:textFill>
        </w:rPr>
        <w:t>。</w:t>
      </w:r>
    </w:p>
    <w:p>
      <w:pPr>
        <w:pStyle w:val="15"/>
        <w:overflowPunct w:val="0"/>
        <w:autoSpaceDE/>
        <w:autoSpaceDN/>
        <w:spacing w:line="600" w:lineRule="exact"/>
        <w:ind w:firstLine="640" w:firstLineChars="200"/>
        <w:jc w:val="both"/>
        <w:rPr>
          <w:rFonts w:ascii="Times New Roman" w:hAnsi="Times New Roman" w:eastAsia="楷体" w:cs="Times New Roman"/>
          <w:b/>
          <w:bCs/>
          <w:i/>
          <w:color w:val="FF0000"/>
          <w:sz w:val="32"/>
          <w:szCs w:val="32"/>
        </w:rPr>
      </w:pPr>
      <w:r>
        <w:rPr>
          <w:rFonts w:ascii="Times New Roman" w:hAnsi="Times New Roman" w:eastAsia="仿宋_GB2312" w:cs="Times New Roman"/>
          <w:sz w:val="32"/>
          <w:szCs w:val="32"/>
        </w:rPr>
        <w:t>公务用车运行维护费支出预算为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决算数等于预算数，主要原因是我单位严格按预算执行决算；与上年一致，无增减变动，主要原因是两年均无公务用车需要运行维护。 截止到2024年12月31日，我单位开支财政拨款的公务用车保有量为0辆。</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cs="Times New Roman"/>
          <w:sz w:val="32"/>
          <w:szCs w:val="32"/>
        </w:rPr>
      </w:pPr>
      <w:r>
        <w:rPr>
          <w:rFonts w:ascii="Times New Roman" w:hAnsi="Times New Roman" w:eastAsia="仿宋_GB2312" w:cs="Times New Roman"/>
          <w:sz w:val="32"/>
          <w:szCs w:val="32"/>
        </w:rPr>
        <w:t>公务接待费支出预算为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w:t>
      </w:r>
      <w:r>
        <w:rPr>
          <w:rFonts w:ascii="Times New Roman" w:hAnsi="Times New Roman" w:eastAsia="仿宋_GB2312" w:cs="Times New Roman"/>
          <w:sz w:val="32"/>
          <w:szCs w:val="32"/>
        </w:rPr>
        <w:t>万元，</w:t>
      </w:r>
      <w:r>
        <w:rPr>
          <w:rFonts w:hint="eastAsia" w:ascii="Times New Roman" w:hAnsi="Times New Roman" w:eastAsia="仿宋_GB2312" w:cs="Times New Roman"/>
          <w:sz w:val="32"/>
          <w:szCs w:val="32"/>
        </w:rPr>
        <w:t>决算数等于预算数，主要原因是严格执行中央八项规定；与上年一致，无增减变动，主要原因是按有关政策厉行节约，严控公务接待支出。2024年度共接待来访团组0个、来宾0人次。</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5"/>
        <w:ind w:firstLine="640" w:firstLineChars="200"/>
        <w:rPr>
          <w:rFonts w:ascii="Times New Roman" w:hAnsi="Times New Roman" w:eastAsia="仿宋_GB2312"/>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w:t>
      </w:r>
      <w:r>
        <w:rPr>
          <w:rFonts w:hint="eastAsia" w:ascii="仿宋" w:hAnsi="仿宋" w:eastAsia="仿宋"/>
          <w:color w:val="auto"/>
          <w:sz w:val="32"/>
          <w:szCs w:val="24"/>
          <w:highlight w:val="white"/>
          <w:lang w:val="en-US"/>
        </w:rPr>
        <w:t>19.44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比年初预算数（减少</w:t>
      </w:r>
      <w:r>
        <w:rPr>
          <w:rFonts w:hint="eastAsia" w:ascii="仿宋_GB2312" w:hAnsi="仿宋_GB2312" w:eastAsia="仿宋_GB2312" w:cs="仿宋_GB2312"/>
          <w:sz w:val="32"/>
          <w:szCs w:val="32"/>
          <w:highlight w:val="none"/>
          <w:lang w:val="en-US" w:eastAsia="zh-CN"/>
        </w:rPr>
        <w:t>0.01</w:t>
      </w:r>
      <w:r>
        <w:rPr>
          <w:rFonts w:hint="eastAsia" w:ascii="仿宋_GB2312" w:hAnsi="仿宋_GB2312" w:eastAsia="仿宋_GB2312" w:cs="仿宋_GB2312"/>
          <w:sz w:val="32"/>
          <w:szCs w:val="32"/>
          <w:highlight w:val="none"/>
        </w:rPr>
        <w:t xml:space="preserve"> 万元，降低</w:t>
      </w:r>
      <w:r>
        <w:rPr>
          <w:rFonts w:hint="eastAsia" w:ascii="仿宋_GB2312" w:hAnsi="仿宋_GB2312" w:eastAsia="仿宋_GB2312" w:cs="仿宋_GB2312"/>
          <w:sz w:val="32"/>
          <w:szCs w:val="32"/>
          <w:highlight w:val="none"/>
          <w:lang w:val="en-US" w:eastAsia="zh-CN"/>
        </w:rPr>
        <w:t>0.05</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color w:val="000000"/>
          <w:kern w:val="0"/>
          <w:sz w:val="32"/>
          <w:szCs w:val="32"/>
          <w:lang w:val="en-US" w:eastAsia="zh-CN" w:bidi="ar-SA"/>
        </w:rPr>
        <w:t>严格执行预算</w:t>
      </w:r>
      <w:r>
        <w:rPr>
          <w:rFonts w:hint="eastAsia" w:ascii="楷体" w:hAnsi="楷体" w:eastAsia="楷体" w:cs="楷体"/>
          <w:sz w:val="32"/>
          <w:szCs w:val="32"/>
        </w:rPr>
        <w:t>。</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widowControl w:val="0"/>
        <w:autoSpaceDE w:val="0"/>
        <w:autoSpaceDN w:val="0"/>
        <w:adjustRightInd w:val="0"/>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年度，会议费年初预算0万元，支出决算为0万元，本单位无会议费的预算和支出决算数</w:t>
      </w:r>
      <w:r>
        <w:rPr>
          <w:rFonts w:hint="eastAsia" w:ascii="仿宋_GB2312" w:hAnsi="仿宋_GB2312" w:eastAsia="仿宋_GB2312" w:cs="仿宋_GB2312"/>
          <w:color w:val="000000"/>
          <w:kern w:val="0"/>
          <w:sz w:val="32"/>
          <w:szCs w:val="32"/>
          <w:lang w:val="en-US" w:eastAsia="zh-CN" w:bidi="ar-SA"/>
        </w:rPr>
        <w:t>。</w:t>
      </w:r>
    </w:p>
    <w:p>
      <w:pPr>
        <w:widowControl w:val="0"/>
        <w:autoSpaceDE w:val="0"/>
        <w:autoSpaceDN w:val="0"/>
        <w:adjustRightInd w:val="0"/>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培训费年初预算0万元，支出决算为0万元，本单位无培训费的预算和支出决算数。</w:t>
      </w:r>
    </w:p>
    <w:p>
      <w:pPr>
        <w:widowControl w:val="0"/>
        <w:autoSpaceDE w:val="0"/>
        <w:autoSpaceDN w:val="0"/>
        <w:adjustRightInd w:val="0"/>
        <w:ind w:firstLine="640" w:firstLineChars="200"/>
        <w:rPr>
          <w:rFonts w:hint="eastAsia" w:ascii="仿宋_GB2312" w:hAnsi="仿宋_GB2312" w:eastAsia="仿宋_GB2312" w:cs="仿宋_GB2312"/>
          <w:b/>
          <w:bCs/>
          <w:i/>
          <w:color w:val="FF0000"/>
          <w:kern w:val="0"/>
          <w:sz w:val="32"/>
          <w:szCs w:val="32"/>
          <w:highlight w:val="yellow"/>
          <w:lang w:val="en-US" w:eastAsia="zh-CN" w:bidi="ar-SA"/>
        </w:rPr>
      </w:pPr>
      <w:r>
        <w:rPr>
          <w:rFonts w:hint="eastAsia" w:ascii="仿宋_GB2312" w:hAnsi="仿宋_GB2312" w:eastAsia="仿宋_GB2312" w:cs="仿宋_GB2312"/>
          <w:color w:val="000000"/>
          <w:kern w:val="0"/>
          <w:sz w:val="32"/>
          <w:szCs w:val="32"/>
          <w:lang w:val="en-US" w:eastAsia="zh-CN" w:bidi="ar-SA"/>
        </w:rPr>
        <w:t>举办节庆、晚会、论坛、赛事活动年初预算0万元，支出决算为0万元，本单位无举办节庆、晚会、论坛、赛事等活动的预算和支出决算数。</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二</w:t>
      </w:r>
      <w:r>
        <w:rPr>
          <w:rFonts w:hint="eastAsia" w:ascii="黑体" w:hAnsi="黑体" w:eastAsia="黑体" w:cs="黑体"/>
          <w:b w:val="0"/>
          <w:bCs/>
          <w:sz w:val="32"/>
          <w:szCs w:val="32"/>
        </w:rPr>
        <w:t>、关于政府采购支出说明</w:t>
      </w:r>
    </w:p>
    <w:p>
      <w:pPr>
        <w:pStyle w:val="15"/>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年度政府采购支出总额</w:t>
      </w:r>
      <w:r>
        <w:rPr>
          <w:rFonts w:hint="eastAsia" w:ascii="仿宋_GB2312" w:hAnsi="仿宋_GB2312" w:eastAsia="仿宋_GB2312" w:cs="仿宋_GB2312"/>
          <w:sz w:val="32"/>
          <w:szCs w:val="32"/>
          <w:lang w:val="en-US" w:eastAsia="zh-CN"/>
        </w:rPr>
        <w:t>49.54</w:t>
      </w:r>
      <w:r>
        <w:rPr>
          <w:rFonts w:hint="eastAsia" w:ascii="仿宋_GB2312" w:hAnsi="仿宋_GB2312" w:eastAsia="仿宋_GB2312" w:cs="仿宋_GB2312"/>
          <w:sz w:val="32"/>
          <w:szCs w:val="32"/>
        </w:rPr>
        <w:t>万元，其中：政府采购货物支出</w:t>
      </w:r>
      <w:r>
        <w:rPr>
          <w:rFonts w:hint="eastAsia" w:ascii="仿宋_GB2312" w:hAnsi="仿宋_GB2312" w:eastAsia="仿宋_GB2312" w:cs="仿宋_GB2312"/>
          <w:sz w:val="32"/>
          <w:szCs w:val="32"/>
          <w:lang w:val="en-US" w:eastAsia="zh-CN"/>
        </w:rPr>
        <w:t>12.44</w:t>
      </w:r>
      <w:r>
        <w:rPr>
          <w:rFonts w:hint="eastAsia" w:ascii="仿宋_GB2312" w:hAnsi="仿宋_GB2312" w:eastAsia="仿宋_GB2312" w:cs="仿宋_GB2312"/>
          <w:sz w:val="32"/>
          <w:szCs w:val="32"/>
        </w:rPr>
        <w:t xml:space="preserve"> 万元、政府采购工程支出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万元、政府采购服务支出</w:t>
      </w:r>
      <w:r>
        <w:rPr>
          <w:rFonts w:hint="eastAsia" w:ascii="仿宋_GB2312" w:hAnsi="仿宋_GB2312" w:eastAsia="仿宋_GB2312" w:cs="仿宋_GB2312"/>
          <w:sz w:val="32"/>
          <w:szCs w:val="32"/>
          <w:lang w:val="en-US" w:eastAsia="zh-CN"/>
        </w:rPr>
        <w:t>37.1</w:t>
      </w:r>
      <w:r>
        <w:rPr>
          <w:rFonts w:hint="eastAsia" w:ascii="仿宋_GB2312" w:hAnsi="仿宋_GB2312" w:eastAsia="仿宋_GB2312" w:cs="仿宋_GB2312"/>
          <w:sz w:val="32"/>
          <w:szCs w:val="32"/>
        </w:rPr>
        <w:t>万元。授予中小企业合同金额</w:t>
      </w:r>
      <w:r>
        <w:rPr>
          <w:rFonts w:hint="eastAsia" w:ascii="仿宋_GB2312" w:hAnsi="仿宋_GB2312" w:eastAsia="仿宋_GB2312" w:cs="仿宋_GB2312"/>
          <w:sz w:val="32"/>
          <w:szCs w:val="32"/>
          <w:lang w:val="en-US" w:eastAsia="zh-CN"/>
        </w:rPr>
        <w:t>49.54</w:t>
      </w:r>
      <w:r>
        <w:rPr>
          <w:rFonts w:hint="eastAsia" w:ascii="仿宋_GB2312" w:hAnsi="仿宋_GB2312" w:eastAsia="仿宋_GB2312" w:cs="仿宋_GB2312"/>
          <w:sz w:val="32"/>
          <w:szCs w:val="32"/>
        </w:rPr>
        <w:t>万元，占政府采购支出总额的</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%，其中：授予小微企业合同金额</w:t>
      </w:r>
      <w:r>
        <w:rPr>
          <w:rFonts w:hint="eastAsia" w:ascii="仿宋_GB2312" w:hAnsi="仿宋_GB2312" w:eastAsia="仿宋_GB2312" w:cs="仿宋_GB2312"/>
          <w:sz w:val="32"/>
          <w:szCs w:val="32"/>
          <w:lang w:val="en-US" w:eastAsia="zh-CN"/>
        </w:rPr>
        <w:t>49.54</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auto"/>
          <w:sz w:val="32"/>
          <w:szCs w:val="32"/>
        </w:rPr>
        <w:t>占</w:t>
      </w:r>
      <w:r>
        <w:rPr>
          <w:rFonts w:hint="eastAsia" w:ascii="仿宋_GB2312" w:hAnsi="仿宋_GB2312" w:eastAsia="仿宋_GB2312" w:cs="仿宋_GB2312"/>
          <w:color w:val="auto"/>
          <w:sz w:val="32"/>
          <w:szCs w:val="32"/>
          <w:lang w:eastAsia="zh-CN"/>
        </w:rPr>
        <w:t>授予中小企业合同金额</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%。货物采购授予中小</w:t>
      </w:r>
      <w:r>
        <w:rPr>
          <w:rFonts w:hint="eastAsia" w:ascii="Times New Roman" w:hAnsi="Times New Roman" w:eastAsia="仿宋_GB2312"/>
          <w:color w:val="auto"/>
          <w:sz w:val="32"/>
          <w:szCs w:val="32"/>
        </w:rPr>
        <w:t>企业合同金</w:t>
      </w:r>
      <w:r>
        <w:rPr>
          <w:rFonts w:hint="eastAsia" w:ascii="仿宋_GB2312" w:hAnsi="仿宋_GB2312" w:eastAsia="仿宋_GB2312" w:cs="仿宋_GB2312"/>
          <w:color w:val="auto"/>
          <w:sz w:val="32"/>
          <w:szCs w:val="32"/>
        </w:rPr>
        <w:t>额占货物支出金额的</w:t>
      </w:r>
      <w:r>
        <w:rPr>
          <w:rFonts w:hint="eastAsia" w:ascii="仿宋_GB2312" w:hAnsi="仿宋_GB2312" w:eastAsia="仿宋_GB2312" w:cs="仿宋_GB2312"/>
          <w:color w:val="auto"/>
          <w:sz w:val="32"/>
          <w:szCs w:val="32"/>
          <w:lang w:val="en-US" w:eastAsia="zh-CN"/>
        </w:rPr>
        <w:t>25.11</w:t>
      </w:r>
      <w:r>
        <w:rPr>
          <w:rFonts w:hint="eastAsia" w:ascii="仿宋_GB2312" w:hAnsi="仿宋_GB2312" w:eastAsia="仿宋_GB2312" w:cs="仿宋_GB2312"/>
          <w:color w:val="auto"/>
          <w:sz w:val="32"/>
          <w:szCs w:val="32"/>
        </w:rPr>
        <w:t>%，工程采购授予中小企业合同金额占工程支出金额的</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%，服务采购授予中小企业合同金额占服务支出金额的</w:t>
      </w:r>
      <w:r>
        <w:rPr>
          <w:rFonts w:hint="eastAsia" w:ascii="仿宋_GB2312" w:hAnsi="仿宋_GB2312" w:eastAsia="仿宋_GB2312" w:cs="仿宋_GB2312"/>
          <w:color w:val="auto"/>
          <w:sz w:val="32"/>
          <w:szCs w:val="32"/>
          <w:lang w:val="en-US" w:eastAsia="zh-CN"/>
        </w:rPr>
        <w:t>74.89</w:t>
      </w:r>
      <w:r>
        <w:rPr>
          <w:rFonts w:hint="eastAsia" w:ascii="仿宋_GB2312" w:hAnsi="仿宋_GB2312" w:eastAsia="仿宋_GB2312" w:cs="仿宋_GB2312"/>
          <w:color w:val="auto"/>
          <w:sz w:val="32"/>
          <w:szCs w:val="32"/>
        </w:rPr>
        <w:t>%。</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黑体" w:hAnsi="黑体" w:eastAsia="黑体" w:cs="黑体"/>
          <w:b w:val="0"/>
          <w:bCs/>
          <w:color w:val="auto"/>
          <w:sz w:val="32"/>
          <w:szCs w:val="32"/>
        </w:rPr>
        <w:t>十</w:t>
      </w:r>
      <w:r>
        <w:rPr>
          <w:rFonts w:hint="eastAsia" w:hAnsi="黑体" w:cs="黑体"/>
          <w:b w:val="0"/>
          <w:bCs/>
          <w:color w:val="auto"/>
          <w:sz w:val="32"/>
          <w:szCs w:val="32"/>
          <w:lang w:eastAsia="zh-CN"/>
        </w:rPr>
        <w:t>三</w:t>
      </w:r>
      <w:r>
        <w:rPr>
          <w:rFonts w:hint="eastAsia" w:ascii="黑体" w:hAnsi="黑体" w:eastAsia="黑体" w:cs="黑体"/>
          <w:b w:val="0"/>
          <w:bCs/>
          <w:color w:val="auto"/>
          <w:sz w:val="32"/>
          <w:szCs w:val="32"/>
        </w:rPr>
        <w:t>、关于国有资产占用情况说明</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截至202</w:t>
      </w: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年12月31日，</w:t>
      </w:r>
      <w:r>
        <w:rPr>
          <w:rFonts w:hint="eastAsia" w:ascii="仿宋_GB2312" w:hAnsi="仿宋_GB2312" w:eastAsia="仿宋_GB2312" w:cs="仿宋_GB2312"/>
          <w:color w:val="auto"/>
          <w:sz w:val="32"/>
          <w:szCs w:val="32"/>
          <w:lang w:eastAsia="zh-CN"/>
        </w:rPr>
        <w:t>部门（单位）</w:t>
      </w:r>
      <w:r>
        <w:rPr>
          <w:rFonts w:hint="eastAsia" w:ascii="仿宋_GB2312" w:hAnsi="仿宋_GB2312" w:eastAsia="仿宋_GB2312" w:cs="仿宋_GB2312"/>
          <w:color w:val="auto"/>
          <w:sz w:val="32"/>
          <w:szCs w:val="32"/>
        </w:rPr>
        <w:t>共有车辆</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辆，其中</w:t>
      </w:r>
      <w:r>
        <w:rPr>
          <w:rFonts w:hint="eastAsia" w:ascii="仿宋_GB2312" w:hAnsi="仿宋_GB2312" w:eastAsia="仿宋_GB2312" w:cs="仿宋_GB2312"/>
          <w:color w:val="auto"/>
          <w:sz w:val="32"/>
          <w:szCs w:val="32"/>
          <w:lang w:eastAsia="zh-CN"/>
        </w:rPr>
        <w:t>，副部（省）级及以上领导用车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主要</w:t>
      </w:r>
      <w:r>
        <w:rPr>
          <w:rFonts w:hint="eastAsia" w:ascii="仿宋_GB2312" w:hAnsi="仿宋_GB2312" w:eastAsia="仿宋_GB2312" w:cs="仿宋_GB2312"/>
          <w:color w:val="auto"/>
          <w:sz w:val="32"/>
          <w:szCs w:val="32"/>
          <w:lang w:eastAsia="zh-CN"/>
        </w:rPr>
        <w:t>负责人</w:t>
      </w:r>
      <w:r>
        <w:rPr>
          <w:rFonts w:hint="eastAsia" w:ascii="仿宋_GB2312" w:hAnsi="仿宋_GB2312" w:eastAsia="仿宋_GB2312" w:cs="仿宋_GB2312"/>
          <w:color w:val="auto"/>
          <w:sz w:val="32"/>
          <w:szCs w:val="32"/>
        </w:rPr>
        <w:t>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机要通信用车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辆、应急保障用车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辆、执法执勤用车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辆、特种专业技术用车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w:t>
      </w:r>
      <w:r>
        <w:rPr>
          <w:rFonts w:hint="eastAsia" w:ascii="仿宋_GB2312" w:hAnsi="仿宋_GB2312" w:eastAsia="仿宋_GB2312" w:cs="仿宋_GB2312"/>
          <w:color w:val="auto"/>
          <w:sz w:val="32"/>
          <w:szCs w:val="32"/>
          <w:lang w:eastAsia="zh-CN"/>
        </w:rPr>
        <w:t>离退休干部服务用车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辆、其他用车</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辆，价值100万元以上设备</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rPr>
        <w:t>台。</w:t>
      </w:r>
    </w:p>
    <w:p>
      <w:pPr>
        <w:pStyle w:val="15"/>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（一）绩效评价工作开展情况</w:t>
      </w:r>
    </w:p>
    <w:p>
      <w:pPr>
        <w:overflowPunct w:val="0"/>
        <w:spacing w:line="60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lang w:val="en-US" w:eastAsia="zh-CN"/>
        </w:rPr>
        <w:t>绩</w:t>
      </w:r>
      <w:r>
        <w:rPr>
          <w:rFonts w:ascii="Times New Roman" w:hAnsi="Times New Roman" w:eastAsia="仿宋_GB2312" w:cs="Times New Roman"/>
          <w:b/>
          <w:bCs/>
          <w:kern w:val="0"/>
          <w:sz w:val="32"/>
          <w:szCs w:val="32"/>
        </w:rPr>
        <w:t>效自评开展情况。</w:t>
      </w:r>
      <w:r>
        <w:rPr>
          <w:rFonts w:ascii="Times New Roman" w:hAnsi="Times New Roman" w:eastAsia="仿宋_GB2312" w:cs="Times New Roman"/>
          <w:kern w:val="0"/>
          <w:sz w:val="32"/>
          <w:szCs w:val="32"/>
        </w:rPr>
        <w:t>组织对2024年度本部门（单位）整体支出开展绩效自评，涉及项目</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个，共涉及资金</w:t>
      </w:r>
      <w:r>
        <w:rPr>
          <w:rFonts w:hint="eastAsia" w:ascii="Times New Roman" w:hAnsi="Times New Roman" w:eastAsia="仿宋_GB2312" w:cs="Times New Roman"/>
          <w:kern w:val="0"/>
          <w:sz w:val="32"/>
          <w:szCs w:val="32"/>
          <w:lang w:val="en-US" w:eastAsia="zh-CN"/>
        </w:rPr>
        <w:t>280.30</w:t>
      </w:r>
      <w:r>
        <w:rPr>
          <w:rFonts w:ascii="Times New Roman" w:hAnsi="Times New Roman" w:eastAsia="仿宋_GB2312" w:cs="Times New Roman"/>
          <w:kern w:val="0"/>
          <w:sz w:val="32"/>
          <w:szCs w:val="32"/>
        </w:rPr>
        <w:t>万元。其中，一般公共预算项目</w:t>
      </w: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280.30</w:t>
      </w:r>
      <w:r>
        <w:rPr>
          <w:rFonts w:ascii="Times New Roman" w:hAnsi="Times New Roman" w:eastAsia="仿宋_GB2312" w:cs="Times New Roman"/>
          <w:kern w:val="0"/>
          <w:sz w:val="32"/>
          <w:szCs w:val="32"/>
        </w:rPr>
        <w:t>万元，占一般公共预算支出总额的</w:t>
      </w:r>
      <w:r>
        <w:rPr>
          <w:rFonts w:hint="eastAsia" w:ascii="Times New Roman" w:hAnsi="Times New Roman" w:eastAsia="仿宋_GB2312" w:cs="Times New Roman"/>
          <w:kern w:val="0"/>
          <w:sz w:val="32"/>
          <w:szCs w:val="32"/>
          <w:lang w:val="en-US" w:eastAsia="zh-CN"/>
        </w:rPr>
        <w:t>100</w:t>
      </w:r>
      <w:r>
        <w:rPr>
          <w:rFonts w:ascii="Times New Roman" w:hAnsi="Times New Roman" w:eastAsia="仿宋_GB2312" w:cs="Times New Roman"/>
          <w:kern w:val="0"/>
          <w:sz w:val="32"/>
          <w:szCs w:val="32"/>
        </w:rPr>
        <w:t>%；政府性基金预算项目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万元，占政府性基金预算支出总额的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%；国有资本经营预算项目</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 xml:space="preserve"> 个</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万元，占国有资本经营预算支出总额的</w:t>
      </w:r>
      <w:r>
        <w:rPr>
          <w:rFonts w:hint="eastAsia" w:ascii="Times New Roman" w:hAnsi="Times New Roman" w:eastAsia="仿宋_GB2312" w:cs="Times New Roman"/>
          <w:kern w:val="0"/>
          <w:sz w:val="32"/>
          <w:szCs w:val="32"/>
          <w:lang w:val="en-US" w:eastAsia="zh-CN"/>
        </w:rPr>
        <w:t>0</w:t>
      </w:r>
      <w:r>
        <w:rPr>
          <w:rFonts w:ascii="Times New Roman" w:hAnsi="Times New Roman" w:eastAsia="仿宋_GB2312" w:cs="Times New Roman"/>
          <w:kern w:val="0"/>
          <w:sz w:val="32"/>
          <w:szCs w:val="32"/>
        </w:rPr>
        <w:t>%；</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万元，占社会保险基金预算支出总额的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w:t>
      </w:r>
    </w:p>
    <w:p>
      <w:pPr>
        <w:overflowPunct w:val="0"/>
        <w:spacing w:line="600" w:lineRule="exact"/>
        <w:ind w:firstLine="640" w:firstLineChars="200"/>
        <w:rPr>
          <w:rFonts w:hint="eastAsia" w:ascii="Times New Roman" w:hAnsi="Times New Roman" w:eastAsia="仿宋_GB2312" w:cs="Times New Roman"/>
          <w:kern w:val="0"/>
          <w:sz w:val="32"/>
          <w:szCs w:val="32"/>
          <w:highlight w:val="none"/>
          <w:lang w:eastAsia="zh-CN"/>
        </w:rPr>
      </w:pPr>
      <w:r>
        <w:rPr>
          <w:rFonts w:hint="eastAsia" w:ascii="Times New Roman" w:hAnsi="Times New Roman" w:eastAsia="仿宋_GB2312" w:cs="Times New Roman"/>
          <w:color w:val="000000"/>
          <w:kern w:val="0"/>
          <w:sz w:val="32"/>
          <w:szCs w:val="32"/>
          <w:lang w:val="en-US" w:eastAsia="zh-CN" w:bidi="ar-SA"/>
        </w:rPr>
        <w:t>2024年，我</w:t>
      </w:r>
      <w:r>
        <w:rPr>
          <w:rFonts w:hint="eastAsia" w:ascii="仿宋" w:hAnsi="仿宋" w:eastAsia="仿宋" w:cs="仿宋"/>
          <w:spacing w:val="14"/>
          <w:sz w:val="32"/>
          <w:szCs w:val="32"/>
          <w:lang w:val="en-US" w:eastAsia="zh-CN"/>
        </w:rPr>
        <w:t>中心</w:t>
      </w:r>
      <w:r>
        <w:rPr>
          <w:rFonts w:hint="eastAsia" w:ascii="Times New Roman" w:hAnsi="Times New Roman" w:eastAsia="仿宋_GB2312" w:cs="Times New Roman"/>
          <w:color w:val="000000"/>
          <w:kern w:val="0"/>
          <w:sz w:val="32"/>
          <w:szCs w:val="32"/>
          <w:lang w:val="en-US" w:eastAsia="zh-CN" w:bidi="ar-SA"/>
        </w:rPr>
        <w:t>在市委市政府的坚强领导下，以习近平新时代中国特色社会主义思想为指导，紧扣落实省政府真抓实干督查激励措施，践行为民服务宗旨，全面履职尽责，守正创新，真抓实干，较好的完成了各项绩效目标。财政供养人员控制在预算编制以内。预算执行方面：根据“总量控制、计划管理”的要求从严控制行政经费，压缩公务费开支，严格控制“三公”经费，支出总额控制在预算总额以内。预算管理方面：切实有效地执行了各项财务管理制度、车辆、资产内部管理制度，资产配置严格政府采购，按照预算科目规定使用财政资金，保障资金支出的规范化、制度化，项目资金坚持按专项资金管理制度有效执行，确保专款专用，</w:t>
      </w:r>
      <w:r>
        <w:rPr>
          <w:rFonts w:hint="eastAsia" w:ascii="仿宋_GB2312" w:hAnsi="仿宋_GB2312" w:eastAsia="仿宋_GB2312" w:cs="仿宋_GB2312"/>
          <w:sz w:val="32"/>
          <w:szCs w:val="32"/>
          <w:lang w:eastAsia="zh-CN"/>
        </w:rPr>
        <w:t>积极推进</w:t>
      </w:r>
      <w:r>
        <w:rPr>
          <w:rFonts w:hint="eastAsia" w:ascii="仿宋_GB2312" w:hAnsi="仿宋_GB2312" w:eastAsia="仿宋_GB2312" w:cs="仿宋_GB2312"/>
          <w:sz w:val="32"/>
          <w:szCs w:val="32"/>
          <w:lang w:val="en-US" w:eastAsia="zh-CN"/>
        </w:rPr>
        <w:t>我</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lang w:val="en-US" w:eastAsia="zh-CN"/>
        </w:rPr>
        <w:t>散装水泥和墙体材料改革工作走深走实</w:t>
      </w:r>
      <w:r>
        <w:rPr>
          <w:rFonts w:hint="eastAsia" w:ascii="Times New Roman" w:hAnsi="Times New Roman" w:eastAsia="仿宋_GB2312" w:cs="Times New Roman"/>
          <w:color w:val="000000"/>
          <w:kern w:val="0"/>
          <w:sz w:val="32"/>
          <w:szCs w:val="32"/>
          <w:lang w:val="en-US" w:eastAsia="zh-CN" w:bidi="ar-SA"/>
        </w:rPr>
        <w:t>。</w:t>
      </w:r>
    </w:p>
    <w:p>
      <w:pPr>
        <w:overflowPunct w:val="0"/>
        <w:spacing w:line="600" w:lineRule="exact"/>
        <w:ind w:firstLine="640" w:firstLineChars="200"/>
        <w:rPr>
          <w:rFonts w:ascii="Times New Roman" w:hAnsi="Times New Roman" w:eastAsia="仿宋_GB2312" w:cs="Times New Roman"/>
          <w:b/>
          <w:bCs/>
          <w:kern w:val="0"/>
          <w:sz w:val="32"/>
          <w:szCs w:val="32"/>
        </w:rPr>
      </w:pPr>
      <w:r>
        <w:rPr>
          <w:rFonts w:hint="eastAsia" w:ascii="Times New Roman" w:hAnsi="Times New Roman" w:eastAsia="仿宋_GB2312" w:cs="Times New Roman"/>
          <w:kern w:val="0"/>
          <w:sz w:val="32"/>
          <w:szCs w:val="32"/>
          <w:highlight w:val="none"/>
          <w:lang w:val="en-US" w:eastAsia="zh-CN"/>
        </w:rPr>
        <w:t>2.</w:t>
      </w:r>
      <w:r>
        <w:rPr>
          <w:rFonts w:ascii="Times New Roman" w:hAnsi="Times New Roman" w:eastAsia="仿宋_GB2312" w:cs="Times New Roman"/>
          <w:b/>
          <w:bCs/>
          <w:kern w:val="0"/>
          <w:sz w:val="32"/>
          <w:szCs w:val="32"/>
        </w:rPr>
        <w:t>部门评价开展情况</w:t>
      </w:r>
    </w:p>
    <w:p>
      <w:pPr>
        <w:overflowPunct w:val="0"/>
        <w:spacing w:line="600" w:lineRule="exact"/>
        <w:ind w:firstLine="640" w:firstLineChars="200"/>
        <w:rPr>
          <w:rFonts w:hint="eastAsia" w:ascii="Times New Roman" w:hAnsi="Times New Roman" w:eastAsia="仿宋_GB2312" w:cs="Times New Roman"/>
          <w:color w:val="FF0000"/>
          <w:kern w:val="0"/>
          <w:sz w:val="32"/>
          <w:szCs w:val="32"/>
          <w:lang w:eastAsia="zh-CN"/>
        </w:rPr>
      </w:pPr>
      <w:r>
        <w:rPr>
          <w:rFonts w:hint="eastAsia" w:ascii="仿宋_GB2312" w:hAnsi="仿宋_GB2312" w:eastAsia="仿宋_GB2312" w:cs="仿宋_GB2312"/>
          <w:b w:val="0"/>
          <w:bCs w:val="0"/>
          <w:sz w:val="32"/>
          <w:szCs w:val="32"/>
          <w:highlight w:val="none"/>
          <w:lang w:val="en-US" w:eastAsia="zh-CN"/>
        </w:rPr>
        <w:t>本单位为二级预算单位，部门评价开展情况可详见上级部门决算公开说明。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Times New Roman" w:hAnsi="Times New Roman" w:eastAsia="仿宋_GB2312" w:cs="Times New Roman"/>
          <w:b/>
          <w:bCs/>
          <w:kern w:val="0"/>
          <w:sz w:val="32"/>
          <w:szCs w:val="32"/>
        </w:rPr>
      </w:pP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b/>
          <w:bCs/>
          <w:kern w:val="0"/>
          <w:sz w:val="32"/>
          <w:szCs w:val="32"/>
        </w:rPr>
        <w:t>事前绩效评估开展情况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Times New Roman" w:hAnsi="Times New Roman" w:eastAsia="楷体" w:cs="Times New Roman"/>
          <w:b/>
          <w:bCs/>
          <w:sz w:val="32"/>
          <w:szCs w:val="32"/>
        </w:rPr>
      </w:pPr>
      <w:r>
        <w:rPr>
          <w:rFonts w:hint="eastAsia" w:ascii="仿宋_GB2312" w:hAnsi="仿宋_GB2312" w:eastAsia="仿宋_GB2312" w:cs="仿宋_GB2312"/>
          <w:b w:val="0"/>
          <w:bCs w:val="0"/>
          <w:sz w:val="32"/>
          <w:szCs w:val="32"/>
          <w:highlight w:val="none"/>
          <w:lang w:val="en-US" w:eastAsia="zh-CN"/>
        </w:rPr>
        <w:t>本单位为二级预算单位，事前绩效评估开展情况可详见上级部门决算公开说明。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Times New Roman" w:hAnsi="Times New Roman" w:eastAsia="仿宋_GB2312" w:cs="Times New Roman"/>
          <w:b/>
          <w:bCs/>
          <w:kern w:val="0"/>
          <w:sz w:val="32"/>
          <w:szCs w:val="32"/>
        </w:rPr>
      </w:pPr>
      <w:r>
        <w:rPr>
          <w:rFonts w:hint="eastAsia" w:ascii="Times New Roman" w:hAnsi="Times New Roman" w:eastAsia="仿宋_GB2312" w:cs="Times New Roman"/>
          <w:kern w:val="0"/>
          <w:sz w:val="32"/>
          <w:szCs w:val="32"/>
          <w:lang w:val="en-US" w:eastAsia="zh-CN"/>
        </w:rPr>
        <w:t>1.</w:t>
      </w:r>
      <w:r>
        <w:rPr>
          <w:rFonts w:ascii="Times New Roman" w:hAnsi="Times New Roman" w:eastAsia="仿宋_GB2312" w:cs="Times New Roman"/>
          <w:b/>
          <w:bCs/>
          <w:kern w:val="0"/>
          <w:sz w:val="32"/>
          <w:szCs w:val="32"/>
        </w:rPr>
        <w:t>绩效自评结果。</w:t>
      </w:r>
    </w:p>
    <w:p>
      <w:pPr>
        <w:pStyle w:val="9"/>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Times New Roman"/>
          <w:color w:val="000000"/>
          <w:kern w:val="0"/>
          <w:sz w:val="32"/>
          <w:szCs w:val="32"/>
          <w:lang w:val="en-US" w:eastAsia="zh-CN" w:bidi="ar-SA"/>
        </w:rPr>
        <w:t>2024年，我</w:t>
      </w:r>
      <w:r>
        <w:rPr>
          <w:rFonts w:hint="eastAsia" w:ascii="仿宋" w:hAnsi="仿宋" w:eastAsia="仿宋" w:cs="仿宋"/>
          <w:spacing w:val="14"/>
          <w:sz w:val="32"/>
          <w:szCs w:val="32"/>
          <w:lang w:val="en-US" w:eastAsia="zh-CN"/>
        </w:rPr>
        <w:t>中心</w:t>
      </w:r>
      <w:r>
        <w:rPr>
          <w:rFonts w:hint="eastAsia" w:ascii="Times New Roman" w:hAnsi="Times New Roman" w:eastAsia="仿宋_GB2312" w:cs="Times New Roman"/>
          <w:color w:val="000000"/>
          <w:kern w:val="0"/>
          <w:sz w:val="32"/>
          <w:szCs w:val="32"/>
          <w:lang w:val="en-US" w:eastAsia="zh-CN" w:bidi="ar-SA"/>
        </w:rPr>
        <w:t>在市委市政府的坚强领导下，以习近平新时代中国特色社会主义思想为指导，紧扣落实省政府真抓实干督查激励措施，践行为民服务宗旨，全面履职尽责，守正创新，真抓实干，较好的完成了各项绩效目标。预算控制率97.54%，财政供养人员控制在预算编制以内。预算执行方面：根据“总量控制、计划管理”的要求从严控制行政经费，压缩公务费开支，严格控制“三公”经费，支出总额控制在预算总额以内。预算管理方面：切实有效地执行了各项财务管理制度、车辆、资产内部管理制度，资产配置严格政府采购，按照预算科目规定使用财政资金，保障资金支出的规范化、制度化，项目资金坚持按专项资金管理制度有效执行，确保专款专用。履职效能方面</w:t>
      </w:r>
      <w:bookmarkStart w:id="0" w:name="_GoBack"/>
      <w:bookmarkEnd w:id="0"/>
      <w:r>
        <w:rPr>
          <w:rFonts w:hint="eastAsia" w:ascii="Times New Roman" w:hAnsi="Times New Roman" w:eastAsia="仿宋_GB2312" w:cs="Times New Roman"/>
          <w:color w:val="000000"/>
          <w:kern w:val="0"/>
          <w:sz w:val="32"/>
          <w:szCs w:val="32"/>
          <w:lang w:val="en-US" w:eastAsia="zh-CN" w:bidi="ar-SA"/>
        </w:rPr>
        <w:t>：</w:t>
      </w:r>
      <w:r>
        <w:rPr>
          <w:rFonts w:hint="eastAsia" w:ascii="仿宋" w:hAnsi="仿宋" w:eastAsia="仿宋" w:cs="仿宋"/>
          <w:spacing w:val="13"/>
          <w:sz w:val="32"/>
          <w:szCs w:val="32"/>
          <w:lang w:eastAsia="zh-CN"/>
        </w:rPr>
        <w:t>一是</w:t>
      </w:r>
      <w:r>
        <w:rPr>
          <w:rFonts w:hint="eastAsia" w:ascii="仿宋" w:hAnsi="仿宋" w:eastAsia="仿宋" w:cs="仿宋"/>
          <w:b w:val="0"/>
          <w:bCs/>
          <w:sz w:val="32"/>
          <w:szCs w:val="32"/>
          <w:lang w:val="en-US" w:eastAsia="zh-CN"/>
        </w:rPr>
        <w:t>大力开展普法宣传，</w:t>
      </w:r>
      <w:r>
        <w:rPr>
          <w:rFonts w:hint="eastAsia" w:ascii="仿宋" w:hAnsi="仿宋" w:eastAsia="仿宋" w:cs="仿宋"/>
          <w:sz w:val="32"/>
          <w:szCs w:val="32"/>
        </w:rPr>
        <w:t>贯彻“谁执法谁普法”工作责任制</w:t>
      </w:r>
      <w:r>
        <w:rPr>
          <w:rFonts w:hint="eastAsia" w:ascii="仿宋" w:hAnsi="仿宋" w:eastAsia="仿宋" w:cs="仿宋"/>
          <w:i w:val="0"/>
          <w:iCs w:val="0"/>
          <w:caps w:val="0"/>
          <w:color w:val="3B3B3B"/>
          <w:spacing w:val="0"/>
          <w:sz w:val="32"/>
          <w:szCs w:val="32"/>
          <w:shd w:val="clear" w:color="auto" w:fill="FFFFFF"/>
        </w:rPr>
        <w:t>，</w:t>
      </w:r>
      <w:r>
        <w:rPr>
          <w:rFonts w:hint="eastAsia" w:ascii="仿宋" w:hAnsi="仿宋" w:eastAsia="仿宋" w:cs="仿宋"/>
          <w:sz w:val="32"/>
          <w:szCs w:val="32"/>
        </w:rPr>
        <w:t>推动</w:t>
      </w:r>
      <w:r>
        <w:rPr>
          <w:rFonts w:hint="eastAsia" w:ascii="仿宋" w:hAnsi="仿宋" w:eastAsia="仿宋" w:cs="仿宋"/>
          <w:sz w:val="32"/>
          <w:szCs w:val="32"/>
          <w:lang w:val="en-US" w:eastAsia="zh-CN"/>
        </w:rPr>
        <w:t>我市散墙系统法治</w:t>
      </w:r>
      <w:r>
        <w:rPr>
          <w:rFonts w:hint="eastAsia" w:ascii="仿宋" w:hAnsi="仿宋" w:eastAsia="仿宋" w:cs="仿宋"/>
          <w:sz w:val="32"/>
          <w:szCs w:val="32"/>
        </w:rPr>
        <w:t>建设，按照省工信厅工作要求</w:t>
      </w:r>
      <w:r>
        <w:rPr>
          <w:rFonts w:hint="eastAsia" w:ascii="仿宋" w:hAnsi="仿宋" w:eastAsia="仿宋" w:cs="仿宋"/>
          <w:sz w:val="32"/>
          <w:szCs w:val="32"/>
          <w:lang w:val="en-US" w:eastAsia="zh-CN"/>
        </w:rPr>
        <w:t>和</w:t>
      </w:r>
      <w:r>
        <w:rPr>
          <w:rFonts w:hint="eastAsia" w:ascii="仿宋" w:hAnsi="仿宋" w:eastAsia="仿宋" w:cs="仿宋"/>
          <w:sz w:val="32"/>
          <w:szCs w:val="32"/>
        </w:rPr>
        <w:t>省散墙办</w:t>
      </w:r>
      <w:r>
        <w:rPr>
          <w:rFonts w:hint="eastAsia" w:ascii="仿宋" w:hAnsi="仿宋" w:eastAsia="仿宋" w:cs="仿宋"/>
          <w:sz w:val="32"/>
          <w:szCs w:val="32"/>
          <w:lang w:val="en-US" w:eastAsia="zh-CN"/>
        </w:rPr>
        <w:t>的统一</w:t>
      </w:r>
      <w:r>
        <w:rPr>
          <w:rFonts w:hint="eastAsia" w:ascii="仿宋" w:hAnsi="仿宋" w:eastAsia="仿宋" w:cs="仿宋"/>
          <w:sz w:val="32"/>
          <w:szCs w:val="32"/>
        </w:rPr>
        <w:t>安排部署</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围绕主职主责，</w:t>
      </w:r>
      <w:r>
        <w:rPr>
          <w:rFonts w:hint="eastAsia" w:ascii="仿宋" w:hAnsi="仿宋" w:eastAsia="仿宋" w:cs="仿宋"/>
          <w:sz w:val="32"/>
          <w:szCs w:val="32"/>
        </w:rPr>
        <w:t>在全</w:t>
      </w:r>
      <w:r>
        <w:rPr>
          <w:rFonts w:hint="eastAsia" w:ascii="仿宋" w:hAnsi="仿宋" w:eastAsia="仿宋" w:cs="仿宋"/>
          <w:sz w:val="32"/>
          <w:szCs w:val="32"/>
          <w:lang w:val="en-US" w:eastAsia="zh-CN"/>
        </w:rPr>
        <w:t>市</w:t>
      </w:r>
      <w:r>
        <w:rPr>
          <w:rFonts w:hint="eastAsia" w:ascii="仿宋" w:hAnsi="仿宋" w:eastAsia="仿宋" w:cs="仿宋"/>
          <w:sz w:val="32"/>
          <w:szCs w:val="32"/>
        </w:rPr>
        <w:t>范围内</w:t>
      </w:r>
      <w:r>
        <w:rPr>
          <w:rFonts w:hint="eastAsia" w:ascii="仿宋" w:hAnsi="仿宋" w:eastAsia="仿宋" w:cs="仿宋"/>
          <w:sz w:val="32"/>
          <w:szCs w:val="32"/>
          <w:lang w:val="en-US" w:eastAsia="zh-CN"/>
        </w:rPr>
        <w:t>深入</w:t>
      </w:r>
      <w:r>
        <w:rPr>
          <w:rFonts w:hint="eastAsia" w:ascii="仿宋" w:hAnsi="仿宋" w:eastAsia="仿宋" w:cs="仿宋"/>
          <w:sz w:val="32"/>
          <w:szCs w:val="32"/>
        </w:rPr>
        <w:t>开展《湖南省新型墙体材料推广应用条例》、《湖南省散装水泥条例》</w:t>
      </w:r>
      <w:r>
        <w:rPr>
          <w:rFonts w:hint="eastAsia" w:ascii="仿宋" w:hAnsi="仿宋" w:eastAsia="仿宋" w:cs="仿宋"/>
          <w:sz w:val="32"/>
          <w:szCs w:val="32"/>
          <w:lang w:val="en-US" w:eastAsia="zh-CN"/>
        </w:rPr>
        <w:t>202</w:t>
      </w:r>
      <w:r>
        <w:rPr>
          <w:rFonts w:hint="eastAsia" w:eastAsia="仿宋" w:cs="仿宋"/>
          <w:sz w:val="32"/>
          <w:szCs w:val="32"/>
          <w:lang w:val="en-US" w:eastAsia="zh-CN"/>
        </w:rPr>
        <w:t>4</w:t>
      </w:r>
      <w:r>
        <w:rPr>
          <w:rFonts w:hint="eastAsia" w:ascii="仿宋" w:hAnsi="仿宋" w:eastAsia="仿宋" w:cs="仿宋"/>
          <w:sz w:val="32"/>
          <w:szCs w:val="32"/>
          <w:lang w:val="en-US" w:eastAsia="zh-CN"/>
        </w:rPr>
        <w:t>年</w:t>
      </w:r>
      <w:r>
        <w:rPr>
          <w:rFonts w:hint="eastAsia" w:ascii="仿宋" w:hAnsi="仿宋" w:eastAsia="仿宋" w:cs="仿宋"/>
          <w:sz w:val="32"/>
          <w:szCs w:val="32"/>
        </w:rPr>
        <w:t>普法宣传工作</w:t>
      </w:r>
      <w:r>
        <w:rPr>
          <w:rFonts w:hint="eastAsia" w:ascii="仿宋" w:hAnsi="仿宋" w:eastAsia="仿宋" w:cs="仿宋"/>
          <w:sz w:val="32"/>
          <w:szCs w:val="32"/>
          <w:lang w:eastAsia="zh-CN"/>
        </w:rPr>
        <w:t>，</w:t>
      </w:r>
      <w:r>
        <w:rPr>
          <w:rFonts w:hint="eastAsia" w:ascii="仿宋" w:hAnsi="仿宋" w:eastAsia="仿宋" w:cs="仿宋"/>
          <w:i w:val="0"/>
          <w:iCs w:val="0"/>
          <w:caps w:val="0"/>
          <w:color w:val="333333"/>
          <w:spacing w:val="0"/>
          <w:kern w:val="0"/>
          <w:sz w:val="32"/>
          <w:szCs w:val="32"/>
          <w:shd w:val="clear" w:color="auto" w:fill="FFFFFF"/>
          <w:lang w:val="en-US" w:eastAsia="zh-CN" w:bidi="ar"/>
        </w:rPr>
        <w:t>深入企业、工地，采取点对点”、“面对面”的方式，并利用日常执法、专业培训等时机，向企业和建设工地发送法律事务宣传手册，</w:t>
      </w:r>
      <w:r>
        <w:rPr>
          <w:rFonts w:hint="eastAsia" w:ascii="仿宋" w:hAnsi="仿宋" w:eastAsia="仿宋" w:cs="仿宋"/>
          <w:sz w:val="32"/>
          <w:szCs w:val="32"/>
          <w:lang w:val="en-US" w:eastAsia="zh-CN"/>
        </w:rPr>
        <w:t>大力宣传发展新型墙体材料和散装水泥节约资源、保护环境、保证施工质量、提升施工水平、促进绿色建筑发展的重大意义</w:t>
      </w:r>
      <w:r>
        <w:rPr>
          <w:rFonts w:hint="eastAsia" w:ascii="仿宋" w:hAnsi="仿宋" w:eastAsia="仿宋" w:cs="仿宋"/>
          <w:i w:val="0"/>
          <w:iCs w:val="0"/>
          <w:caps w:val="0"/>
          <w:color w:val="auto"/>
          <w:spacing w:val="0"/>
          <w:kern w:val="0"/>
          <w:sz w:val="32"/>
          <w:szCs w:val="32"/>
          <w:shd w:val="clear" w:color="auto" w:fill="FFFFFF"/>
          <w:lang w:val="en-US" w:eastAsia="zh-CN" w:bidi="ar"/>
        </w:rPr>
        <w:t>。</w:t>
      </w:r>
      <w:r>
        <w:rPr>
          <w:rStyle w:val="21"/>
          <w:rFonts w:hint="eastAsia" w:ascii="仿宋_GB2312" w:hAnsi="仿宋_GB2312" w:eastAsia="仿宋_GB2312" w:cs="仿宋_GB2312"/>
          <w:b w:val="0"/>
          <w:bCs/>
          <w:color w:val="auto"/>
          <w:sz w:val="32"/>
          <w:szCs w:val="32"/>
          <w:lang w:val="en-US" w:eastAsia="zh-CN"/>
        </w:rPr>
        <w:t>二是</w:t>
      </w:r>
      <w:r>
        <w:rPr>
          <w:rStyle w:val="21"/>
          <w:rFonts w:hint="eastAsia" w:ascii="仿宋_GB2312" w:hAnsi="仿宋_GB2312" w:eastAsia="仿宋_GB2312" w:cs="仿宋_GB2312"/>
          <w:b w:val="0"/>
          <w:bCs/>
          <w:color w:val="auto"/>
          <w:sz w:val="32"/>
          <w:szCs w:val="32"/>
        </w:rPr>
        <w:t>大力</w:t>
      </w:r>
      <w:r>
        <w:rPr>
          <w:rStyle w:val="21"/>
          <w:rFonts w:hint="eastAsia" w:ascii="仿宋_GB2312" w:hAnsi="仿宋_GB2312" w:eastAsia="仿宋_GB2312" w:cs="仿宋_GB2312"/>
          <w:b w:val="0"/>
          <w:bCs/>
          <w:color w:val="auto"/>
          <w:sz w:val="32"/>
          <w:szCs w:val="32"/>
          <w:lang w:val="en-US" w:eastAsia="zh-CN"/>
        </w:rPr>
        <w:t>提升行业发展</w:t>
      </w:r>
      <w:r>
        <w:rPr>
          <w:rFonts w:hint="eastAsia" w:ascii="仿宋_GB2312" w:hAnsi="仿宋_GB2312" w:eastAsia="仿宋_GB2312" w:cs="仿宋_GB2312"/>
          <w:sz w:val="32"/>
          <w:szCs w:val="32"/>
          <w:lang w:val="en-US" w:eastAsia="zh-CN"/>
        </w:rPr>
        <w:t>。</w:t>
      </w:r>
      <w:r>
        <w:rPr>
          <w:rFonts w:hint="eastAsia" w:ascii="仿宋_GB2312" w:eastAsia="仿宋_GB2312"/>
          <w:b w:val="0"/>
          <w:bCs w:val="0"/>
          <w:color w:val="auto"/>
          <w:sz w:val="32"/>
          <w:szCs w:val="32"/>
        </w:rPr>
        <w:t>三是</w:t>
      </w:r>
      <w:r>
        <w:rPr>
          <w:rFonts w:hint="eastAsia" w:ascii="仿宋_GB2312" w:eastAsia="仿宋_GB2312"/>
          <w:b w:val="0"/>
          <w:bCs w:val="0"/>
          <w:color w:val="auto"/>
          <w:sz w:val="32"/>
          <w:szCs w:val="32"/>
          <w:lang w:val="en-US" w:eastAsia="zh-CN"/>
        </w:rPr>
        <w:t>大力</w:t>
      </w:r>
      <w:r>
        <w:rPr>
          <w:rStyle w:val="21"/>
          <w:rFonts w:hint="eastAsia" w:ascii="仿宋_GB2312" w:hAnsi="仿宋_GB2312" w:eastAsia="仿宋_GB2312" w:cs="仿宋_GB2312"/>
          <w:b w:val="0"/>
          <w:bCs w:val="0"/>
          <w:color w:val="auto"/>
          <w:sz w:val="32"/>
          <w:szCs w:val="32"/>
          <w:lang w:val="en-US" w:eastAsia="zh-CN"/>
        </w:rPr>
        <w:t>培植</w:t>
      </w:r>
      <w:r>
        <w:rPr>
          <w:rStyle w:val="21"/>
          <w:rFonts w:hint="eastAsia" w:ascii="仿宋_GB2312" w:hAnsi="仿宋_GB2312" w:eastAsia="仿宋_GB2312" w:cs="仿宋_GB2312"/>
          <w:b w:val="0"/>
          <w:bCs w:val="0"/>
          <w:color w:val="auto"/>
          <w:sz w:val="32"/>
          <w:szCs w:val="32"/>
        </w:rPr>
        <w:t>绿色建材</w:t>
      </w:r>
      <w:r>
        <w:rPr>
          <w:rStyle w:val="21"/>
          <w:rFonts w:hint="eastAsia" w:ascii="仿宋_GB2312" w:hAnsi="仿宋_GB2312" w:eastAsia="仿宋_GB2312" w:cs="仿宋_GB2312"/>
          <w:b w:val="0"/>
          <w:bCs w:val="0"/>
          <w:color w:val="auto"/>
          <w:sz w:val="32"/>
          <w:szCs w:val="32"/>
          <w:lang w:eastAsia="zh-CN"/>
        </w:rPr>
        <w:t>。</w:t>
      </w:r>
      <w:r>
        <w:rPr>
          <w:rFonts w:hint="eastAsia" w:ascii="仿宋_GB2312" w:eastAsia="仿宋_GB2312"/>
          <w:color w:val="auto"/>
          <w:sz w:val="32"/>
          <w:szCs w:val="32"/>
        </w:rPr>
        <w:t>围绕装配式建筑、绿色建筑、建筑节能产业链，积极培育绿色建材，</w:t>
      </w:r>
      <w:r>
        <w:rPr>
          <w:rFonts w:hint="eastAsia" w:ascii="仿宋_GB2312" w:eastAsia="仿宋_GB2312"/>
          <w:color w:val="auto"/>
          <w:sz w:val="32"/>
          <w:szCs w:val="32"/>
          <w:lang w:val="en-US" w:eastAsia="zh-CN"/>
        </w:rPr>
        <w:t>指导</w:t>
      </w:r>
      <w:r>
        <w:rPr>
          <w:rFonts w:hint="eastAsia" w:ascii="仿宋_GB2312" w:eastAsia="仿宋_GB2312"/>
          <w:color w:val="auto"/>
          <w:sz w:val="32"/>
          <w:szCs w:val="32"/>
        </w:rPr>
        <w:t>企业申报绿色建材</w:t>
      </w:r>
      <w:r>
        <w:rPr>
          <w:rFonts w:hint="eastAsia" w:ascii="仿宋_GB2312" w:eastAsia="仿宋_GB2312"/>
          <w:color w:val="auto"/>
          <w:sz w:val="32"/>
          <w:szCs w:val="32"/>
          <w:lang w:val="en-US" w:eastAsia="zh-CN"/>
        </w:rPr>
        <w:t>产品认证</w:t>
      </w:r>
      <w:r>
        <w:rPr>
          <w:rFonts w:hint="eastAsia" w:ascii="Times New Roman" w:hAnsi="Times New Roman" w:eastAsia="仿宋_GB2312" w:cs="Times New Roman"/>
          <w:color w:val="000000"/>
          <w:kern w:val="0"/>
          <w:sz w:val="32"/>
          <w:szCs w:val="32"/>
          <w:lang w:val="en-US" w:eastAsia="zh-CN" w:bidi="ar-SA"/>
        </w:rPr>
        <w:t>，四是坚持问题导向，全面加强自身建设，群众满意度达到95%以上</w:t>
      </w:r>
      <w:r>
        <w:rPr>
          <w:rFonts w:hint="eastAsia" w:ascii="仿宋_GB2312" w:eastAsia="仿宋_GB2312" w:cs="仿宋_GB2312"/>
          <w:b w:val="0"/>
          <w:bCs w:val="0"/>
          <w:sz w:val="32"/>
          <w:szCs w:val="32"/>
          <w:lang w:val="en-US" w:eastAsia="zh-CN"/>
        </w:rPr>
        <w:t>。</w:t>
      </w:r>
    </w:p>
    <w:p>
      <w:pPr>
        <w:overflowPunct w:val="0"/>
        <w:spacing w:line="600" w:lineRule="exact"/>
        <w:ind w:firstLine="640" w:firstLineChars="200"/>
        <w:rPr>
          <w:rFonts w:ascii="Times New Roman" w:hAnsi="Times New Roman" w:eastAsia="仿宋_GB2312" w:cs="Times New Roman"/>
          <w:b/>
          <w:bCs/>
          <w:kern w:val="0"/>
          <w:sz w:val="32"/>
          <w:szCs w:val="32"/>
        </w:rPr>
      </w:pP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b/>
          <w:bCs/>
          <w:kern w:val="0"/>
          <w:sz w:val="32"/>
          <w:szCs w:val="32"/>
        </w:rPr>
        <w:t>部门评价结果</w:t>
      </w:r>
    </w:p>
    <w:p>
      <w:pPr>
        <w:overflowPunct w:val="0"/>
        <w:spacing w:line="600" w:lineRule="exact"/>
        <w:ind w:firstLine="640" w:firstLineChars="200"/>
        <w:rPr>
          <w:rFonts w:hint="default"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本单位为二级预算单位，部门评价结果可详见上级部门决算公开说明。</w:t>
      </w:r>
    </w:p>
    <w:p>
      <w:pPr>
        <w:overflowPunct w:val="0"/>
        <w:spacing w:line="600" w:lineRule="exact"/>
        <w:ind w:firstLine="640" w:firstLineChars="200"/>
        <w:rPr>
          <w:rFonts w:ascii="Times New Roman" w:hAnsi="Times New Roman" w:eastAsia="仿宋_GB2312" w:cs="Times New Roman"/>
          <w:b/>
          <w:bCs/>
          <w:kern w:val="0"/>
          <w:sz w:val="32"/>
          <w:szCs w:val="32"/>
          <w:highlight w:val="none"/>
        </w:rPr>
      </w:pP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b/>
          <w:bCs/>
          <w:kern w:val="0"/>
          <w:sz w:val="32"/>
          <w:szCs w:val="32"/>
          <w:highlight w:val="none"/>
          <w:lang w:val="en-US" w:eastAsia="zh-CN"/>
        </w:rPr>
        <w:t>事</w:t>
      </w:r>
      <w:r>
        <w:rPr>
          <w:rFonts w:ascii="Times New Roman" w:hAnsi="Times New Roman" w:eastAsia="仿宋_GB2312" w:cs="Times New Roman"/>
          <w:b/>
          <w:bCs/>
          <w:kern w:val="0"/>
          <w:sz w:val="32"/>
          <w:szCs w:val="32"/>
          <w:highlight w:val="none"/>
        </w:rPr>
        <w:t>前绩效评估结果</w:t>
      </w:r>
    </w:p>
    <w:p>
      <w:pPr>
        <w:overflowPunct w:val="0"/>
        <w:spacing w:line="600" w:lineRule="exact"/>
        <w:ind w:firstLine="640" w:firstLineChars="200"/>
        <w:rPr>
          <w:rFonts w:ascii="Times New Roman" w:hAnsi="Times New Roman" w:eastAsia="仿宋_GB2312" w:cs="Times New Roman"/>
          <w:kern w:val="0"/>
          <w:sz w:val="32"/>
          <w:szCs w:val="32"/>
        </w:rPr>
      </w:pPr>
      <w:r>
        <w:rPr>
          <w:rFonts w:hint="eastAsia" w:ascii="仿宋_GB2312" w:hAnsi="仿宋_GB2312" w:eastAsia="仿宋_GB2312" w:cs="仿宋_GB2312"/>
          <w:b w:val="0"/>
          <w:bCs w:val="0"/>
          <w:sz w:val="32"/>
          <w:szCs w:val="32"/>
          <w:highlight w:val="none"/>
          <w:lang w:val="en-US" w:eastAsia="zh-CN"/>
        </w:rPr>
        <w:t>本单位为二级预算单位，事前绩效评估结果可详见上级部门决算公开说明。</w:t>
      </w:r>
    </w:p>
    <w:p>
      <w:pPr>
        <w:numPr>
          <w:ilvl w:val="0"/>
          <w:numId w:val="3"/>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ascii="Times New Roman" w:hAnsi="Times New Roman" w:eastAsia="楷体_GB2312" w:cs="Times New Roman"/>
          <w:b/>
          <w:bCs/>
          <w:color w:val="auto"/>
          <w:kern w:val="2"/>
          <w:sz w:val="32"/>
          <w:szCs w:val="32"/>
          <w:highlight w:val="none"/>
        </w:rPr>
        <w:t>评价结果应用情况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2024年度我中心在市委市政府的坚强领导下，以习近平新时代中国特色社会主义思想为指导，紧扣落实省政府真抓实干督查激励措施，践行为民服务宗旨，全面履职尽责，守正创新，真抓实干，较好的完成了各项绩效目标。</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2025年度我中心将继续严格安排预算，对各项目支出结构进行科学调整，进一步提高资金管理水平，完善相关制度建设。</w:t>
      </w:r>
    </w:p>
    <w:p>
      <w:pPr>
        <w:autoSpaceDE w:val="0"/>
        <w:autoSpaceDN w:val="0"/>
        <w:adjustRightInd w:val="0"/>
        <w:ind w:firstLine="640" w:firstLineChars="200"/>
        <w:jc w:val="left"/>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8"/>
        <w:rPr>
          <w:rFonts w:hint="eastAsia"/>
          <w:lang w:val="en-US" w:eastAsia="zh-CN"/>
        </w:rPr>
      </w:pPr>
    </w:p>
    <w:p>
      <w:pPr>
        <w:pStyle w:val="15"/>
        <w:jc w:val="both"/>
        <w:rPr>
          <w:rFonts w:hint="eastAsia" w:ascii="方正小标宋_GBK" w:hAnsi="方正小标宋_GBK" w:eastAsia="方正小标宋_GBK" w:cs="方正小标宋_GBK"/>
          <w:sz w:val="24"/>
          <w:szCs w:val="24"/>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ind w:firstLine="640" w:firstLineChars="200"/>
        <w:jc w:val="left"/>
        <w:rPr>
          <w:rFonts w:hint="eastAsia" w:ascii="仿宋_GB2312" w:hAnsi="仿宋_GB2312" w:eastAsia="仿宋_GB2312" w:cs="仿宋_GB2312"/>
          <w:color w:val="000000"/>
          <w:kern w:val="0"/>
          <w:sz w:val="32"/>
          <w:szCs w:val="32"/>
        </w:rPr>
      </w:pPr>
    </w:p>
    <w:p>
      <w:pPr>
        <w:pStyle w:val="2"/>
        <w:rPr>
          <w:rFonts w:hint="eastAsia" w:ascii="仿宋_GB2312" w:hAnsi="仿宋_GB2312" w:eastAsia="仿宋_GB2312" w:cs="仿宋_GB2312"/>
          <w:color w:val="000000"/>
          <w:kern w:val="0"/>
          <w:sz w:val="32"/>
          <w:szCs w:val="32"/>
        </w:rPr>
      </w:pPr>
    </w:p>
    <w:p>
      <w:pPr>
        <w:pStyle w:val="2"/>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pStyle w:val="8"/>
        <w:rPr>
          <w:rFonts w:hint="eastAsia"/>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pStyle w:val="15"/>
        <w:jc w:val="center"/>
        <w:rPr>
          <w:rFonts w:hint="eastAsia" w:ascii="仿宋_GB2312" w:hAnsi="仿宋_GB2312" w:eastAsia="仿宋_GB2312" w:cs="仿宋_GB2312"/>
          <w:sz w:val="32"/>
          <w:szCs w:val="32"/>
        </w:rPr>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Pr>
        <w:pStyle w:val="8"/>
      </w:pPr>
    </w:p>
    <w:p>
      <w:pPr>
        <w:pStyle w:val="4"/>
      </w:pPr>
    </w:p>
    <w:p/>
    <w:p/>
    <w:p>
      <w:pPr>
        <w:pStyle w:val="8"/>
      </w:pPr>
    </w:p>
    <w:p>
      <w:pPr>
        <w:pStyle w:val="15"/>
        <w:jc w:val="both"/>
        <w:rPr>
          <w:rFonts w:hint="eastAsia" w:ascii="方正小标宋_GBK" w:hAnsi="方正小标宋_GBK" w:eastAsia="方正小标宋_GBK" w:cs="方正小标宋_GBK"/>
          <w:sz w:val="72"/>
          <w:szCs w:val="72"/>
        </w:rPr>
      </w:pPr>
    </w:p>
    <w:p>
      <w:pPr>
        <w:pStyle w:val="15"/>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5"/>
        <w:jc w:val="both"/>
        <w:rPr>
          <w:rFonts w:hint="eastAsia" w:ascii="方正小标宋_GBK" w:hAnsi="方正小标宋_GBK" w:eastAsia="方正小标宋_GBK" w:cs="方正小标宋_GBK"/>
          <w:sz w:val="70"/>
          <w:szCs w:val="70"/>
          <w:lang w:eastAsia="zh-CN"/>
        </w:rPr>
      </w:pPr>
    </w:p>
    <w:p>
      <w:pPr>
        <w:pStyle w:val="15"/>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pPr>
        <w:ind w:firstLine="640" w:firstLineChars="200"/>
        <w:jc w:val="left"/>
        <w:rPr>
          <w:rFonts w:ascii="宋体" w:hAnsi="宋体" w:eastAsia="宋体" w:cs="黑体"/>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岳阳市绿色建筑产业发展服务中心</w:t>
      </w:r>
      <w:r>
        <w:rPr>
          <w:rFonts w:hint="eastAsia" w:ascii="方正小标宋简体" w:hAnsi="方正小标宋简体" w:eastAsia="方正小标宋简体" w:cs="方正小标宋简体"/>
          <w:sz w:val="44"/>
          <w:szCs w:val="44"/>
          <w:highlight w:val="none"/>
        </w:rPr>
        <w:t>部门（单位）整体支出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jc w:val="center"/>
        <w:rPr>
          <w:rFonts w:hint="default" w:ascii="Times New Roman" w:hAnsi="Times New Roman" w:eastAsia="方正小标宋_GBK" w:cs="Times New Roman"/>
          <w:b/>
          <w:sz w:val="52"/>
          <w:szCs w:val="5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楷体_GB2312" w:cs="Times New Roman"/>
          <w:b/>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jc w:val="center"/>
        <w:rPr>
          <w:rFonts w:hint="default" w:ascii="Times New Roman" w:hAnsi="Times New Roman" w:eastAsia="黑体" w:cs="Times New Roman"/>
          <w:sz w:val="32"/>
          <w:szCs w:val="32"/>
          <w:highlight w:val="none"/>
        </w:rPr>
      </w:pPr>
    </w:p>
    <w:p>
      <w:pPr>
        <w:spacing w:line="600" w:lineRule="exact"/>
        <w:jc w:val="center"/>
        <w:rPr>
          <w:rFonts w:hint="default" w:ascii="Times New Roman" w:hAnsi="Times New Roman" w:eastAsia="仿宋_GB2312" w:cs="Times New Roman"/>
          <w:sz w:val="32"/>
          <w:szCs w:val="32"/>
          <w:highlight w:val="none"/>
          <w:u w:val="single"/>
        </w:rPr>
      </w:pPr>
      <w:r>
        <w:rPr>
          <w:rFonts w:hint="default" w:ascii="Times New Roman" w:hAnsi="Times New Roman" w:eastAsia="仿宋_GB2312" w:cs="Times New Roman"/>
          <w:sz w:val="32"/>
          <w:szCs w:val="32"/>
          <w:highlight w:val="none"/>
        </w:rPr>
        <w:t>部门（单位）名称：</w:t>
      </w:r>
      <w:r>
        <w:rPr>
          <w:rFonts w:hint="default" w:ascii="Times New Roman" w:hAnsi="Times New Roman" w:eastAsia="仿宋_GB2312" w:cs="Times New Roman"/>
          <w:sz w:val="32"/>
          <w:szCs w:val="32"/>
          <w:highlight w:val="none"/>
          <w:u w:val="single"/>
        </w:rPr>
        <w:t>（盖章）</w:t>
      </w:r>
    </w:p>
    <w:p>
      <w:pPr>
        <w:spacing w:line="600" w:lineRule="exact"/>
        <w:jc w:val="center"/>
        <w:rPr>
          <w:rFonts w:hint="default" w:ascii="Times New Roman" w:hAnsi="Times New Roman" w:eastAsia="楷体_GB2312" w:cs="Times New Roman"/>
          <w:sz w:val="32"/>
          <w:szCs w:val="32"/>
          <w:highlight w:val="none"/>
        </w:rPr>
      </w:pPr>
      <w:r>
        <w:rPr>
          <w:rFonts w:hint="eastAsia" w:eastAsia="楷体_GB2312" w:cs="Times New Roman"/>
          <w:sz w:val="32"/>
          <w:szCs w:val="32"/>
          <w:highlight w:val="none"/>
          <w:lang w:val="en-US" w:eastAsia="zh-CN"/>
        </w:rPr>
        <w:t>2025</w:t>
      </w:r>
      <w:r>
        <w:rPr>
          <w:rFonts w:hint="default" w:ascii="Times New Roman" w:hAnsi="Times New Roman" w:eastAsia="楷体_GB2312" w:cs="Times New Roman"/>
          <w:sz w:val="32"/>
          <w:szCs w:val="32"/>
          <w:highlight w:val="none"/>
        </w:rPr>
        <w:t xml:space="preserve">年  </w:t>
      </w:r>
      <w:r>
        <w:rPr>
          <w:rFonts w:hint="eastAsia" w:eastAsia="楷体_GB2312" w:cs="Times New Roman"/>
          <w:sz w:val="32"/>
          <w:szCs w:val="32"/>
          <w:highlight w:val="none"/>
          <w:lang w:val="en-US" w:eastAsia="zh-CN"/>
        </w:rPr>
        <w:t>5</w:t>
      </w:r>
      <w:r>
        <w:rPr>
          <w:rFonts w:hint="default" w:ascii="Times New Roman" w:hAnsi="Times New Roman" w:eastAsia="楷体_GB2312" w:cs="Times New Roman"/>
          <w:sz w:val="32"/>
          <w:szCs w:val="32"/>
          <w:highlight w:val="none"/>
        </w:rPr>
        <w:t xml:space="preserve">月 </w:t>
      </w:r>
      <w:r>
        <w:rPr>
          <w:rFonts w:hint="eastAsia" w:eastAsia="楷体_GB2312" w:cs="Times New Roman"/>
          <w:sz w:val="32"/>
          <w:szCs w:val="32"/>
          <w:highlight w:val="none"/>
          <w:lang w:val="en-US" w:eastAsia="zh-CN"/>
        </w:rPr>
        <w:t>15</w:t>
      </w:r>
      <w:r>
        <w:rPr>
          <w:rFonts w:hint="default" w:ascii="Times New Roman" w:hAnsi="Times New Roman" w:eastAsia="楷体_GB2312" w:cs="Times New Roman"/>
          <w:sz w:val="32"/>
          <w:szCs w:val="32"/>
          <w:highlight w:val="none"/>
        </w:rPr>
        <w:t xml:space="preserve"> 日</w:t>
      </w:r>
    </w:p>
    <w:p>
      <w:pPr>
        <w:jc w:val="center"/>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（此页为封面）</w:t>
      </w:r>
    </w:p>
    <w:p>
      <w:pPr>
        <w:jc w:val="center"/>
        <w:rPr>
          <w:rFonts w:hint="default" w:ascii="Times New Roman" w:hAnsi="Times New Roman" w:eastAsia="仿宋_GB2312" w:cs="Times New Roman"/>
          <w:sz w:val="32"/>
          <w:szCs w:val="32"/>
          <w:highlight w:val="none"/>
        </w:rPr>
      </w:pPr>
    </w:p>
    <w:p>
      <w:pPr>
        <w:jc w:val="center"/>
        <w:rPr>
          <w:rFonts w:hint="default" w:ascii="Times New Roman" w:hAnsi="Times New Roman" w:eastAsia="仿宋_GB2312" w:cs="Times New Roman"/>
          <w:sz w:val="32"/>
          <w:szCs w:val="32"/>
          <w:highlight w:val="none"/>
        </w:rPr>
      </w:pPr>
    </w:p>
    <w:p>
      <w:pPr>
        <w:jc w:val="center"/>
        <w:rPr>
          <w:rFonts w:hint="default" w:ascii="Times New Roman" w:hAnsi="Times New Roman" w:eastAsia="仿宋_GB2312" w:cs="Times New Roman"/>
          <w:sz w:val="32"/>
          <w:szCs w:val="32"/>
          <w:highlight w:val="none"/>
        </w:rPr>
      </w:pPr>
    </w:p>
    <w:p>
      <w:pPr>
        <w:jc w:val="center"/>
        <w:rPr>
          <w:rFonts w:hint="default" w:ascii="Times New Roman" w:hAnsi="Times New Roman" w:eastAsia="仿宋_GB2312" w:cs="Times New Roman"/>
          <w:sz w:val="32"/>
          <w:szCs w:val="32"/>
          <w:highlight w:val="none"/>
        </w:rPr>
      </w:pPr>
    </w:p>
    <w:p>
      <w:pPr>
        <w:pStyle w:val="2"/>
        <w:rPr>
          <w:rFonts w:hint="default"/>
        </w:rPr>
      </w:pPr>
    </w:p>
    <w:p>
      <w:pPr>
        <w:jc w:val="center"/>
        <w:rPr>
          <w:rFonts w:hint="default" w:ascii="Times New Roman" w:hAnsi="Times New Roman" w:eastAsia="仿宋_GB2312" w:cs="Times New Roman"/>
          <w:sz w:val="32"/>
          <w:szCs w:val="32"/>
          <w:highlight w:val="none"/>
        </w:rPr>
      </w:pPr>
    </w:p>
    <w:p>
      <w:pPr>
        <w:ind w:firstLine="880" w:firstLineChars="200"/>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202</w:t>
      </w:r>
      <w:r>
        <w:rPr>
          <w:rFonts w:hint="eastAsia" w:ascii="方正小标宋简体" w:hAnsi="方正小标宋简体" w:eastAsia="方正小标宋简体" w:cs="方正小标宋简体"/>
          <w:sz w:val="44"/>
          <w:szCs w:val="44"/>
          <w:highlight w:val="none"/>
          <w:lang w:val="en-US" w:eastAsia="zh-CN"/>
        </w:rPr>
        <w:t>4</w:t>
      </w:r>
      <w:r>
        <w:rPr>
          <w:rFonts w:hint="eastAsia" w:ascii="方正小标宋简体" w:hAnsi="方正小标宋简体" w:eastAsia="方正小标宋简体" w:cs="方正小标宋简体"/>
          <w:sz w:val="44"/>
          <w:szCs w:val="44"/>
          <w:highlight w:val="none"/>
        </w:rPr>
        <w:t>年度</w:t>
      </w:r>
      <w:r>
        <w:rPr>
          <w:rFonts w:hint="eastAsia" w:ascii="方正小标宋简体" w:hAnsi="方正小标宋简体" w:eastAsia="方正小标宋简体" w:cs="方正小标宋简体"/>
          <w:sz w:val="44"/>
          <w:szCs w:val="44"/>
          <w:highlight w:val="none"/>
          <w:lang w:eastAsia="zh-CN"/>
        </w:rPr>
        <w:t>岳阳市绿色建筑产业发展服务中心</w:t>
      </w:r>
      <w:r>
        <w:rPr>
          <w:rFonts w:hint="eastAsia" w:ascii="方正小标宋简体" w:hAnsi="方正小标宋简体" w:eastAsia="方正小标宋简体" w:cs="方正小标宋简体"/>
          <w:sz w:val="44"/>
          <w:szCs w:val="44"/>
          <w:highlight w:val="none"/>
        </w:rPr>
        <w:t>部门（单位）整体支出</w:t>
      </w:r>
    </w:p>
    <w:p>
      <w:pPr>
        <w:jc w:val="center"/>
        <w:rPr>
          <w:rFonts w:hint="eastAsia" w:ascii="方正小标宋简体" w:hAnsi="方正小标宋简体" w:eastAsia="方正小标宋简体" w:cs="方正小标宋简体"/>
          <w:sz w:val="44"/>
          <w:szCs w:val="44"/>
          <w:highlight w:val="none"/>
        </w:rPr>
      </w:pPr>
      <w:r>
        <w:rPr>
          <w:rFonts w:hint="eastAsia" w:ascii="方正小标宋简体" w:hAnsi="方正小标宋简体" w:eastAsia="方正小标宋简体" w:cs="方正小标宋简体"/>
          <w:sz w:val="44"/>
          <w:szCs w:val="44"/>
          <w:highlight w:val="none"/>
        </w:rPr>
        <w:t>绩效自评报告</w:t>
      </w:r>
    </w:p>
    <w:p>
      <w:pPr>
        <w:keepNext w:val="0"/>
        <w:keepLines w:val="0"/>
        <w:pageBreakBefore w:val="0"/>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仿宋_GB2312" w:cs="Times New Roman"/>
          <w:sz w:val="32"/>
          <w:szCs w:val="32"/>
          <w:highlight w:val="none"/>
        </w:rPr>
      </w:pPr>
    </w:p>
    <w:p>
      <w:pPr>
        <w:keepNext w:val="0"/>
        <w:keepLines w:val="0"/>
        <w:pageBreakBefore w:val="0"/>
        <w:numPr>
          <w:ilvl w:val="0"/>
          <w:numId w:val="4"/>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部门（单位）基本情况</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b/>
          <w:bCs/>
          <w:sz w:val="32"/>
          <w:szCs w:val="32"/>
          <w:lang w:val="en-US"/>
        </w:rPr>
      </w:pPr>
      <w:r>
        <w:rPr>
          <w:rFonts w:hint="eastAsia" w:ascii="仿宋_GB2312" w:hAnsi="Times New Roman" w:eastAsia="仿宋_GB2312" w:cs="仿宋_GB2312"/>
          <w:b/>
          <w:bCs/>
          <w:snapToGrid w:val="0"/>
          <w:color w:val="000000"/>
          <w:kern w:val="2"/>
          <w:sz w:val="32"/>
          <w:szCs w:val="32"/>
          <w:lang w:val="en-US" w:eastAsia="zh-CN" w:bidi="ar"/>
        </w:rPr>
        <w:t>1.为局机关提供支持保障的职能：</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①贯彻执行《湖南省绿色建筑发展条例》、《湖南省民用建筑节能条例》、《湖南省新型墙体材料推广应用条例》、《湖南省散装水泥条例》等法律法规和政策规定，结合岳阳市实际情况，拟定本市相关政策措施。</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②承担绿色建筑、建筑节能、新型墙体材料、散装水泥（含预拌混凝土、预拌砂浆、水泥制品）的技术检查工作及相关政策标准执行过程中违法违规行为查处的事务性工作。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③负责绿色建筑、新型墙体材料、散装水泥（预拌混凝土、预拌砂浆、水泥制品）、建筑节能的推广应用、质量监督、绿色发展及参与建筑工程竣工验收等事务性工作。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④负责工程建设领域内部新型墙体材料、散装水泥推广应用工作，承担新型墙体材料、预拌混凝土、预拌砂浆认证认定事务性工作。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⑤负责组织全市绿色建筑及相关的建筑节能、推广散装水泥、墙体材料革新和推广装配式建筑的技术培训、信息交流、情况统计及宣传普及工作。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⑥指导全市各县市区墙体材料改革、散装水泥、绿色建筑、建筑节能、装配式建筑等行业工作。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b/>
          <w:bCs/>
          <w:sz w:val="32"/>
          <w:szCs w:val="32"/>
          <w:lang w:val="en-US"/>
        </w:rPr>
      </w:pPr>
      <w:r>
        <w:rPr>
          <w:rFonts w:hint="eastAsia" w:ascii="仿宋_GB2312" w:hAnsi="Times New Roman" w:eastAsia="仿宋_GB2312" w:cs="仿宋_GB2312"/>
          <w:b/>
          <w:bCs/>
          <w:snapToGrid w:val="0"/>
          <w:color w:val="000000"/>
          <w:kern w:val="2"/>
          <w:sz w:val="32"/>
          <w:szCs w:val="32"/>
          <w:lang w:val="en-US" w:eastAsia="zh-CN" w:bidi="ar"/>
        </w:rPr>
        <w:t>2.面向社会提供公益服务的职能：</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①负责监督指导全市新型墙体材料、散装水泥、预拌混凝土、预拌砂浆、装配式建筑、建筑节能等新型建筑材料的产品质量建设；</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②负责指导全市新建、改建、扩建新型墙体材料项目产品研发、生产技术和工艺；指导全市新型墙体材料产品升级认定和淘汰落后产能工作；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sz w:val="32"/>
          <w:szCs w:val="32"/>
          <w:lang w:val="en-US"/>
        </w:rPr>
      </w:pPr>
      <w:r>
        <w:rPr>
          <w:rFonts w:hint="eastAsia" w:ascii="仿宋_GB2312" w:hAnsi="Times New Roman" w:eastAsia="仿宋_GB2312" w:cs="仿宋_GB2312"/>
          <w:snapToGrid w:val="0"/>
          <w:color w:val="000000"/>
          <w:kern w:val="2"/>
          <w:sz w:val="32"/>
          <w:szCs w:val="32"/>
          <w:lang w:val="en-US" w:eastAsia="zh-CN" w:bidi="ar"/>
        </w:rPr>
        <w:t>③负责指导协调全市散装水泥的生产、运输、使用以及新建、扩建预拌混凝土和预拌砂浆项目工作。</w:t>
      </w:r>
    </w:p>
    <w:p>
      <w:pPr>
        <w:keepNext w:val="0"/>
        <w:keepLines w:val="0"/>
        <w:widowControl w:val="0"/>
        <w:suppressLineNumbers w:val="0"/>
        <w:spacing w:before="0" w:beforeAutospacing="0" w:after="0" w:afterAutospacing="0" w:line="600" w:lineRule="exact"/>
        <w:ind w:left="0" w:right="0" w:firstLine="640" w:firstLineChars="200"/>
        <w:jc w:val="both"/>
        <w:rPr>
          <w:rFonts w:hint="eastAsia" w:ascii="仿宋_GB2312" w:eastAsia="仿宋_GB2312" w:cs="仿宋_GB2312"/>
          <w:b/>
          <w:bCs/>
          <w:sz w:val="32"/>
          <w:szCs w:val="32"/>
          <w:lang w:val="en-US"/>
        </w:rPr>
      </w:pPr>
      <w:r>
        <w:rPr>
          <w:rFonts w:hint="eastAsia" w:ascii="仿宋_GB2312" w:hAnsi="Times New Roman" w:eastAsia="仿宋_GB2312" w:cs="仿宋_GB2312"/>
          <w:b/>
          <w:bCs/>
          <w:snapToGrid w:val="0"/>
          <w:color w:val="000000"/>
          <w:kern w:val="2"/>
          <w:sz w:val="32"/>
          <w:szCs w:val="32"/>
          <w:lang w:val="en-US" w:eastAsia="zh-CN" w:bidi="ar"/>
        </w:rPr>
        <w:t>3.完成市住房和城乡建设局交办的其他任务。</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二、一般公共预算支出情况</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（一）基本支出情况</w:t>
      </w:r>
    </w:p>
    <w:p>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202</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年度财政拨款基本支出</w:t>
      </w:r>
      <w:r>
        <w:rPr>
          <w:rFonts w:hint="eastAsia" w:ascii="仿宋" w:hAnsi="仿宋" w:eastAsia="仿宋" w:cs="仿宋"/>
          <w:color w:val="auto"/>
          <w:sz w:val="32"/>
          <w:szCs w:val="32"/>
          <w:highlight w:val="none"/>
          <w:lang w:val="en-US" w:eastAsia="zh-CN"/>
        </w:rPr>
        <w:t>167.97</w:t>
      </w:r>
      <w:r>
        <w:rPr>
          <w:rFonts w:hint="eastAsia" w:ascii="仿宋" w:hAnsi="仿宋" w:eastAsia="仿宋" w:cs="仿宋"/>
          <w:color w:val="auto"/>
          <w:sz w:val="32"/>
          <w:szCs w:val="32"/>
          <w:highlight w:val="none"/>
        </w:rPr>
        <w:t>万元，其中：人员经费</w:t>
      </w:r>
      <w:r>
        <w:rPr>
          <w:rFonts w:hint="eastAsia" w:ascii="仿宋" w:hAnsi="仿宋" w:eastAsia="仿宋" w:cs="仿宋"/>
          <w:color w:val="auto"/>
          <w:sz w:val="32"/>
          <w:szCs w:val="32"/>
          <w:highlight w:val="none"/>
          <w:lang w:val="en-US" w:eastAsia="zh-CN"/>
        </w:rPr>
        <w:t>148.53</w:t>
      </w:r>
      <w:r>
        <w:rPr>
          <w:rFonts w:hint="eastAsia" w:ascii="仿宋" w:hAnsi="仿宋" w:eastAsia="仿宋" w:cs="仿宋"/>
          <w:color w:val="auto"/>
          <w:sz w:val="32"/>
          <w:szCs w:val="32"/>
          <w:highlight w:val="none"/>
        </w:rPr>
        <w:t>万元，占基本支出的</w:t>
      </w:r>
      <w:r>
        <w:rPr>
          <w:rFonts w:hint="eastAsia" w:ascii="仿宋" w:hAnsi="仿宋" w:eastAsia="仿宋" w:cs="仿宋"/>
          <w:color w:val="auto"/>
          <w:sz w:val="32"/>
          <w:szCs w:val="32"/>
          <w:highlight w:val="none"/>
          <w:lang w:val="en-US" w:eastAsia="zh-CN"/>
        </w:rPr>
        <w:t>88.43%</w:t>
      </w:r>
      <w:r>
        <w:rPr>
          <w:rFonts w:hint="eastAsia" w:ascii="仿宋" w:hAnsi="仿宋" w:eastAsia="仿宋" w:cs="仿宋"/>
          <w:color w:val="auto"/>
          <w:sz w:val="32"/>
          <w:szCs w:val="32"/>
          <w:highlight w:val="none"/>
        </w:rPr>
        <w:t>,主要包括主要包括基本工资、津贴补贴、</w:t>
      </w:r>
      <w:r>
        <w:rPr>
          <w:rFonts w:hint="eastAsia" w:ascii="仿宋" w:hAnsi="仿宋" w:eastAsia="仿宋" w:cs="仿宋"/>
          <w:color w:val="auto"/>
          <w:sz w:val="32"/>
          <w:szCs w:val="32"/>
          <w:highlight w:val="none"/>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 w:hAnsi="仿宋" w:eastAsia="仿宋" w:cs="仿宋"/>
          <w:color w:val="auto"/>
          <w:sz w:val="32"/>
          <w:szCs w:val="32"/>
          <w:highlight w:val="none"/>
        </w:rPr>
        <w:t>；</w:t>
      </w:r>
    </w:p>
    <w:p>
      <w:pPr>
        <w:pStyle w:val="15"/>
        <w:keepNext w:val="0"/>
        <w:keepLines w:val="0"/>
        <w:pageBreakBefore w:val="0"/>
        <w:widowControl w:val="0"/>
        <w:kinsoku/>
        <w:wordWrap/>
        <w:overflowPunct/>
        <w:topLinePunct w:val="0"/>
        <w:autoSpaceDE w:val="0"/>
        <w:autoSpaceDN w:val="0"/>
        <w:bidi w:val="0"/>
        <w:adjustRightInd w:val="0"/>
        <w:snapToGrid/>
        <w:spacing w:line="360" w:lineRule="auto"/>
        <w:ind w:firstLine="640" w:firstLineChars="200"/>
        <w:textAlignment w:val="auto"/>
        <w:rPr>
          <w:rFonts w:hint="eastAsia" w:ascii="仿宋" w:hAnsi="仿宋" w:eastAsia="仿宋" w:cs="仿宋"/>
          <w:b/>
          <w:bCs/>
          <w:color w:val="auto"/>
          <w:spacing w:val="18"/>
          <w:position w:val="23"/>
          <w:sz w:val="32"/>
          <w:szCs w:val="32"/>
          <w:highlight w:val="none"/>
        </w:rPr>
      </w:pPr>
      <w:r>
        <w:rPr>
          <w:rFonts w:hint="eastAsia" w:ascii="仿宋" w:hAnsi="仿宋" w:eastAsia="仿宋" w:cs="仿宋"/>
          <w:color w:val="auto"/>
          <w:sz w:val="32"/>
          <w:szCs w:val="32"/>
          <w:highlight w:val="none"/>
          <w:lang w:val="zh-CN"/>
        </w:rPr>
        <w:t>公用经费</w:t>
      </w:r>
      <w:r>
        <w:rPr>
          <w:rFonts w:hint="eastAsia" w:ascii="仿宋" w:hAnsi="仿宋" w:eastAsia="仿宋" w:cs="仿宋"/>
          <w:color w:val="auto"/>
          <w:sz w:val="32"/>
          <w:szCs w:val="32"/>
          <w:highlight w:val="none"/>
          <w:lang w:val="en-US" w:eastAsia="zh-CN"/>
        </w:rPr>
        <w:t>19.44</w:t>
      </w:r>
      <w:r>
        <w:rPr>
          <w:rFonts w:hint="eastAsia" w:ascii="仿宋" w:hAnsi="仿宋" w:eastAsia="仿宋" w:cs="仿宋"/>
          <w:color w:val="auto"/>
          <w:sz w:val="32"/>
          <w:szCs w:val="32"/>
          <w:highlight w:val="none"/>
          <w:lang w:val="zh-CN"/>
        </w:rPr>
        <w:t>万元，占基本支出的</w:t>
      </w:r>
      <w:r>
        <w:rPr>
          <w:rFonts w:hint="eastAsia" w:ascii="仿宋" w:hAnsi="仿宋" w:eastAsia="仿宋" w:cs="仿宋"/>
          <w:color w:val="auto"/>
          <w:sz w:val="32"/>
          <w:szCs w:val="32"/>
          <w:highlight w:val="none"/>
          <w:lang w:val="en-US" w:eastAsia="zh-CN"/>
        </w:rPr>
        <w:t>11.57%</w:t>
      </w:r>
      <w:r>
        <w:rPr>
          <w:rFonts w:hint="eastAsia" w:ascii="仿宋" w:hAnsi="仿宋" w:eastAsia="仿宋" w:cs="仿宋"/>
          <w:color w:val="auto"/>
          <w:sz w:val="32"/>
          <w:szCs w:val="32"/>
          <w:highlight w:val="none"/>
          <w:lang w:val="zh-CN"/>
        </w:rPr>
        <w:t>，主要包括办公费、印刷费</w:t>
      </w:r>
      <w:r>
        <w:rPr>
          <w:rFonts w:hint="eastAsia" w:ascii="仿宋" w:hAnsi="仿宋" w:eastAsia="仿宋" w:cs="仿宋"/>
          <w:color w:val="auto"/>
          <w:sz w:val="32"/>
          <w:szCs w:val="32"/>
          <w:highlight w:val="none"/>
          <w:lang w:val="en-US" w:eastAsia="zh-CN"/>
        </w:rPr>
        <w:t>等。</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（二）项目支出情况</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kern w:val="0"/>
          <w:sz w:val="32"/>
          <w:szCs w:val="32"/>
          <w:lang w:val="en-US" w:eastAsia="zh-CN" w:bidi="ar"/>
        </w:rPr>
        <w:t>1、项目资金收支情况分析</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kern w:val="0"/>
          <w:sz w:val="32"/>
          <w:szCs w:val="32"/>
          <w:lang w:val="en-US" w:eastAsia="zh-CN" w:bidi="ar"/>
        </w:rPr>
      </w:pPr>
      <w:r>
        <w:rPr>
          <w:rFonts w:hint="eastAsia" w:ascii="仿宋_GB2312" w:hAnsi="仿宋_GB2312" w:eastAsia="仿宋_GB2312" w:cs="仿宋_GB2312"/>
          <w:color w:val="000000"/>
          <w:kern w:val="0"/>
          <w:sz w:val="32"/>
          <w:szCs w:val="32"/>
          <w:lang w:val="en-US" w:eastAsia="zh-CN" w:bidi="ar"/>
        </w:rPr>
        <w:t>2024年年初市财政共安排专项资金50万，其中：可再生能源、绿色建筑产业发展配套资金50万元，主要用于可再生能源、绿色建筑产业发展配套资金等方面。</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kern w:val="0"/>
          <w:sz w:val="32"/>
          <w:szCs w:val="32"/>
          <w:lang w:val="en-US" w:eastAsia="zh-CN" w:bidi="ar"/>
        </w:rPr>
        <w:t>2、专项资金实际使用情况分析</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kern w:val="0"/>
          <w:sz w:val="32"/>
          <w:szCs w:val="32"/>
          <w:lang w:val="en-US" w:eastAsia="zh-CN" w:bidi="ar"/>
        </w:rPr>
        <w:t>2024年共支出专项资金101.25万，主要是可再生能源、绿色建筑产业发展配套资金</w:t>
      </w:r>
      <w:r>
        <w:rPr>
          <w:rFonts w:hint="eastAsia" w:ascii="仿宋_GB2312" w:hAnsi="仿宋_GB2312" w:eastAsia="仿宋_GB2312" w:cs="仿宋_GB2312"/>
          <w:color w:val="000000"/>
          <w:kern w:val="0"/>
          <w:sz w:val="36"/>
          <w:szCs w:val="36"/>
          <w:lang w:val="en-US" w:eastAsia="zh-CN" w:bidi="ar"/>
        </w:rPr>
        <w:t>41.25</w:t>
      </w:r>
      <w:r>
        <w:rPr>
          <w:rFonts w:hint="eastAsia" w:ascii="仿宋_GB2312" w:hAnsi="仿宋_GB2312" w:eastAsia="仿宋_GB2312" w:cs="仿宋_GB2312"/>
          <w:color w:val="000000"/>
          <w:kern w:val="0"/>
          <w:sz w:val="32"/>
          <w:szCs w:val="32"/>
          <w:lang w:val="en-US" w:eastAsia="zh-CN" w:bidi="ar"/>
        </w:rPr>
        <w:t>万元等，严格落实“过紧日子”压缩一般性支出的要求，部分专项经费进行了部分压缩和指标冻结造成项目经费未执行完毕。</w:t>
      </w:r>
    </w:p>
    <w:p>
      <w:pPr>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000000"/>
          <w:sz w:val="32"/>
          <w:szCs w:val="32"/>
          <w:lang w:val="en-US"/>
        </w:rPr>
      </w:pPr>
      <w:r>
        <w:rPr>
          <w:rFonts w:hint="eastAsia" w:ascii="仿宋_GB2312" w:hAnsi="仿宋_GB2312" w:eastAsia="仿宋_GB2312" w:cs="仿宋_GB2312"/>
          <w:color w:val="000000"/>
          <w:kern w:val="0"/>
          <w:sz w:val="32"/>
          <w:szCs w:val="32"/>
          <w:lang w:val="en-US" w:eastAsia="zh-CN" w:bidi="ar"/>
        </w:rPr>
        <w:t>3、专项资金管理情况分析</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楷体_GB2312" w:cs="Times New Roman"/>
          <w:b/>
          <w:sz w:val="32"/>
          <w:szCs w:val="32"/>
          <w:highlight w:val="none"/>
        </w:rPr>
      </w:pPr>
      <w:r>
        <w:rPr>
          <w:rFonts w:hint="eastAsia" w:ascii="仿宋_GB2312" w:hAnsi="仿宋_GB2312" w:eastAsia="仿宋_GB2312" w:cs="仿宋_GB2312"/>
          <w:color w:val="000000"/>
          <w:kern w:val="0"/>
          <w:sz w:val="32"/>
          <w:szCs w:val="32"/>
          <w:lang w:val="en-US" w:eastAsia="zh-CN" w:bidi="ar"/>
        </w:rPr>
        <w:t>专项资金实行综合预算，量入为出，专款专用，确保工作顺利开展。制定专项资金管理办法，规范专项资金使用；严格政府采购程序，做到按章办事，规范操作。</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三、政府性基金预算支出情况</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   我中心无政府性基金预算支出</w:t>
      </w:r>
    </w:p>
    <w:p>
      <w:pPr>
        <w:pStyle w:val="16"/>
        <w:keepNext w:val="0"/>
        <w:keepLines w:val="0"/>
        <w:pageBreakBefore w:val="0"/>
        <w:widowControl/>
        <w:numPr>
          <w:ilvl w:val="0"/>
          <w:numId w:val="5"/>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国有资本经营预算支出情况</w:t>
      </w:r>
    </w:p>
    <w:p>
      <w:pPr>
        <w:pStyle w:val="16"/>
        <w:keepNext w:val="0"/>
        <w:keepLines w:val="0"/>
        <w:pageBreakBefore w:val="0"/>
        <w:widowControl/>
        <w:numPr>
          <w:ilvl w:val="0"/>
          <w:numId w:val="0"/>
        </w:numPr>
        <w:kinsoku/>
        <w:wordWrap/>
        <w:overflowPunct/>
        <w:topLinePunct w:val="0"/>
        <w:autoSpaceDE/>
        <w:autoSpaceDN/>
        <w:bidi w:val="0"/>
        <w:adjustRightInd/>
        <w:snapToGrid/>
        <w:spacing w:line="640" w:lineRule="exact"/>
        <w:ind w:firstLine="0" w:firstLineChars="0"/>
        <w:jc w:val="both"/>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       我中心无国有资本经营预算支出</w:t>
      </w:r>
    </w:p>
    <w:p>
      <w:pPr>
        <w:pStyle w:val="16"/>
        <w:keepNext w:val="0"/>
        <w:keepLines w:val="0"/>
        <w:pageBreakBefore w:val="0"/>
        <w:widowControl/>
        <w:numPr>
          <w:ilvl w:val="0"/>
          <w:numId w:val="5"/>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社会保险基金预算支出情况</w:t>
      </w:r>
    </w:p>
    <w:p>
      <w:pPr>
        <w:pStyle w:val="16"/>
        <w:keepNext w:val="0"/>
        <w:keepLines w:val="0"/>
        <w:pageBreakBefore w:val="0"/>
        <w:widowControl/>
        <w:numPr>
          <w:ilvl w:val="0"/>
          <w:numId w:val="0"/>
        </w:numPr>
        <w:kinsoku/>
        <w:wordWrap/>
        <w:overflowPunct/>
        <w:topLinePunct w:val="0"/>
        <w:autoSpaceDE/>
        <w:autoSpaceDN/>
        <w:bidi w:val="0"/>
        <w:adjustRightInd/>
        <w:snapToGrid/>
        <w:spacing w:line="640" w:lineRule="exact"/>
        <w:ind w:firstLine="0" w:firstLineChars="0"/>
        <w:jc w:val="both"/>
        <w:textAlignment w:val="auto"/>
        <w:rPr>
          <w:rFonts w:hint="default"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 xml:space="preserve">       我中心无社会保险基金预算支出</w:t>
      </w:r>
    </w:p>
    <w:p>
      <w:pPr>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六、部门整体支出绩效情况</w:t>
      </w:r>
    </w:p>
    <w:p>
      <w:pPr>
        <w:pStyle w:val="9"/>
        <w:keepNext w:val="0"/>
        <w:keepLines w:val="0"/>
        <w:widowControl/>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color w:val="auto"/>
          <w:sz w:val="32"/>
          <w:szCs w:val="32"/>
          <w:lang w:val="en-US" w:eastAsia="zh-CN"/>
        </w:rPr>
      </w:pPr>
      <w:r>
        <w:rPr>
          <w:rFonts w:hint="eastAsia" w:ascii="Times New Roman" w:hAnsi="Times New Roman" w:eastAsia="仿宋_GB2312" w:cs="Times New Roman"/>
          <w:color w:val="000000"/>
          <w:kern w:val="0"/>
          <w:sz w:val="32"/>
          <w:szCs w:val="32"/>
          <w:lang w:val="en-US" w:eastAsia="zh-CN" w:bidi="ar-SA"/>
        </w:rPr>
        <w:t>2024年，我</w:t>
      </w:r>
      <w:r>
        <w:rPr>
          <w:rFonts w:hint="eastAsia" w:ascii="仿宋" w:hAnsi="仿宋" w:eastAsia="仿宋" w:cs="仿宋"/>
          <w:spacing w:val="14"/>
          <w:sz w:val="32"/>
          <w:szCs w:val="32"/>
          <w:lang w:val="en-US" w:eastAsia="zh-CN"/>
        </w:rPr>
        <w:t>中心</w:t>
      </w:r>
      <w:r>
        <w:rPr>
          <w:rFonts w:hint="eastAsia" w:ascii="Times New Roman" w:hAnsi="Times New Roman" w:eastAsia="仿宋_GB2312" w:cs="Times New Roman"/>
          <w:color w:val="000000"/>
          <w:kern w:val="0"/>
          <w:sz w:val="32"/>
          <w:szCs w:val="32"/>
          <w:lang w:val="en-US" w:eastAsia="zh-CN" w:bidi="ar-SA"/>
        </w:rPr>
        <w:t>在市委市政府的坚强领导下，以习近平新时代中国特色社会主义思想为指导，紧扣落实省政府真抓实干督查激励措施，践行为民服务宗旨，全面履职尽责，守正创新，真抓实干，较好的完成了各项绩效目标。预算控制率97.54%，财政供养人员控制在预算编制以内。预算执行方面：根据“总量控制、计划管理”的要求从严控制行政经费，压缩公务费开支，严格控制“三公”经费，支出总额控制在预算总额以内。预算管理方面：切实有效地执行了各项财务管理制度、车辆、资产内部管理制度，资产配置严格政府采购，按照预算科目规定使用财政资金，保障资金支出的规范化、制度化，项目资金坚持按专项资金管理制度有效执行，确保专款专用；履职效能方面：</w:t>
      </w:r>
      <w:r>
        <w:rPr>
          <w:rFonts w:hint="eastAsia" w:ascii="仿宋" w:hAnsi="仿宋" w:eastAsia="仿宋" w:cs="仿宋"/>
          <w:spacing w:val="13"/>
          <w:sz w:val="32"/>
          <w:szCs w:val="32"/>
          <w:lang w:eastAsia="zh-CN"/>
        </w:rPr>
        <w:t>一是</w:t>
      </w:r>
      <w:r>
        <w:rPr>
          <w:rFonts w:hint="eastAsia" w:ascii="仿宋" w:hAnsi="仿宋" w:eastAsia="仿宋" w:cs="仿宋"/>
          <w:b w:val="0"/>
          <w:bCs/>
          <w:sz w:val="32"/>
          <w:szCs w:val="32"/>
          <w:lang w:val="en-US" w:eastAsia="zh-CN"/>
        </w:rPr>
        <w:t>大力开展普法宣传，</w:t>
      </w:r>
      <w:r>
        <w:rPr>
          <w:rFonts w:hint="eastAsia" w:ascii="仿宋" w:hAnsi="仿宋" w:eastAsia="仿宋" w:cs="仿宋"/>
          <w:sz w:val="32"/>
          <w:szCs w:val="32"/>
        </w:rPr>
        <w:t>贯彻“谁执法谁普法”工作责任制</w:t>
      </w:r>
      <w:r>
        <w:rPr>
          <w:rFonts w:hint="eastAsia" w:ascii="仿宋" w:hAnsi="仿宋" w:eastAsia="仿宋" w:cs="仿宋"/>
          <w:i w:val="0"/>
          <w:iCs w:val="0"/>
          <w:caps w:val="0"/>
          <w:color w:val="3B3B3B"/>
          <w:spacing w:val="0"/>
          <w:sz w:val="32"/>
          <w:szCs w:val="32"/>
          <w:shd w:val="clear" w:color="auto" w:fill="FFFFFF"/>
        </w:rPr>
        <w:t>，</w:t>
      </w:r>
      <w:r>
        <w:rPr>
          <w:rFonts w:hint="eastAsia" w:ascii="仿宋" w:hAnsi="仿宋" w:eastAsia="仿宋" w:cs="仿宋"/>
          <w:sz w:val="32"/>
          <w:szCs w:val="32"/>
        </w:rPr>
        <w:t>推动</w:t>
      </w:r>
      <w:r>
        <w:rPr>
          <w:rFonts w:hint="eastAsia" w:ascii="仿宋" w:hAnsi="仿宋" w:eastAsia="仿宋" w:cs="仿宋"/>
          <w:sz w:val="32"/>
          <w:szCs w:val="32"/>
          <w:lang w:val="en-US" w:eastAsia="zh-CN"/>
        </w:rPr>
        <w:t>我市散墙系统法治</w:t>
      </w:r>
      <w:r>
        <w:rPr>
          <w:rFonts w:hint="eastAsia" w:ascii="仿宋" w:hAnsi="仿宋" w:eastAsia="仿宋" w:cs="仿宋"/>
          <w:sz w:val="32"/>
          <w:szCs w:val="32"/>
        </w:rPr>
        <w:t>建设，按照省工信厅工作要求</w:t>
      </w:r>
      <w:r>
        <w:rPr>
          <w:rFonts w:hint="eastAsia" w:ascii="仿宋" w:hAnsi="仿宋" w:eastAsia="仿宋" w:cs="仿宋"/>
          <w:sz w:val="32"/>
          <w:szCs w:val="32"/>
          <w:lang w:val="en-US" w:eastAsia="zh-CN"/>
        </w:rPr>
        <w:t>和</w:t>
      </w:r>
      <w:r>
        <w:rPr>
          <w:rFonts w:hint="eastAsia" w:ascii="仿宋" w:hAnsi="仿宋" w:eastAsia="仿宋" w:cs="仿宋"/>
          <w:sz w:val="32"/>
          <w:szCs w:val="32"/>
        </w:rPr>
        <w:t>省散墙办</w:t>
      </w:r>
      <w:r>
        <w:rPr>
          <w:rFonts w:hint="eastAsia" w:ascii="仿宋" w:hAnsi="仿宋" w:eastAsia="仿宋" w:cs="仿宋"/>
          <w:sz w:val="32"/>
          <w:szCs w:val="32"/>
          <w:lang w:val="en-US" w:eastAsia="zh-CN"/>
        </w:rPr>
        <w:t>的统一</w:t>
      </w:r>
      <w:r>
        <w:rPr>
          <w:rFonts w:hint="eastAsia" w:ascii="仿宋" w:hAnsi="仿宋" w:eastAsia="仿宋" w:cs="仿宋"/>
          <w:sz w:val="32"/>
          <w:szCs w:val="32"/>
        </w:rPr>
        <w:t>安排部署</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围绕主职主责，</w:t>
      </w:r>
      <w:r>
        <w:rPr>
          <w:rFonts w:hint="eastAsia" w:ascii="仿宋" w:hAnsi="仿宋" w:eastAsia="仿宋" w:cs="仿宋"/>
          <w:sz w:val="32"/>
          <w:szCs w:val="32"/>
        </w:rPr>
        <w:t>在全</w:t>
      </w:r>
      <w:r>
        <w:rPr>
          <w:rFonts w:hint="eastAsia" w:ascii="仿宋" w:hAnsi="仿宋" w:eastAsia="仿宋" w:cs="仿宋"/>
          <w:sz w:val="32"/>
          <w:szCs w:val="32"/>
          <w:lang w:val="en-US" w:eastAsia="zh-CN"/>
        </w:rPr>
        <w:t>市</w:t>
      </w:r>
      <w:r>
        <w:rPr>
          <w:rFonts w:hint="eastAsia" w:ascii="仿宋" w:hAnsi="仿宋" w:eastAsia="仿宋" w:cs="仿宋"/>
          <w:sz w:val="32"/>
          <w:szCs w:val="32"/>
        </w:rPr>
        <w:t>范围内</w:t>
      </w:r>
      <w:r>
        <w:rPr>
          <w:rFonts w:hint="eastAsia" w:ascii="仿宋" w:hAnsi="仿宋" w:eastAsia="仿宋" w:cs="仿宋"/>
          <w:sz w:val="32"/>
          <w:szCs w:val="32"/>
          <w:lang w:val="en-US" w:eastAsia="zh-CN"/>
        </w:rPr>
        <w:t>深入</w:t>
      </w:r>
      <w:r>
        <w:rPr>
          <w:rFonts w:hint="eastAsia" w:ascii="仿宋" w:hAnsi="仿宋" w:eastAsia="仿宋" w:cs="仿宋"/>
          <w:sz w:val="32"/>
          <w:szCs w:val="32"/>
        </w:rPr>
        <w:t>开展《湖南省新型墙体材料推广应用条例》、《湖南省散装水泥条例》</w:t>
      </w:r>
      <w:r>
        <w:rPr>
          <w:rFonts w:hint="eastAsia" w:ascii="仿宋" w:hAnsi="仿宋" w:eastAsia="仿宋" w:cs="仿宋"/>
          <w:sz w:val="32"/>
          <w:szCs w:val="32"/>
          <w:lang w:val="en-US" w:eastAsia="zh-CN"/>
        </w:rPr>
        <w:t>202</w:t>
      </w:r>
      <w:r>
        <w:rPr>
          <w:rFonts w:hint="eastAsia" w:eastAsia="仿宋" w:cs="仿宋"/>
          <w:sz w:val="32"/>
          <w:szCs w:val="32"/>
          <w:lang w:val="en-US" w:eastAsia="zh-CN"/>
        </w:rPr>
        <w:t>4</w:t>
      </w:r>
      <w:r>
        <w:rPr>
          <w:rFonts w:hint="eastAsia" w:ascii="仿宋" w:hAnsi="仿宋" w:eastAsia="仿宋" w:cs="仿宋"/>
          <w:sz w:val="32"/>
          <w:szCs w:val="32"/>
          <w:lang w:val="en-US" w:eastAsia="zh-CN"/>
        </w:rPr>
        <w:t>年</w:t>
      </w:r>
      <w:r>
        <w:rPr>
          <w:rFonts w:hint="eastAsia" w:ascii="仿宋" w:hAnsi="仿宋" w:eastAsia="仿宋" w:cs="仿宋"/>
          <w:sz w:val="32"/>
          <w:szCs w:val="32"/>
        </w:rPr>
        <w:t>普法宣传工作</w:t>
      </w:r>
      <w:r>
        <w:rPr>
          <w:rFonts w:hint="eastAsia" w:ascii="仿宋" w:hAnsi="仿宋" w:eastAsia="仿宋" w:cs="仿宋"/>
          <w:sz w:val="32"/>
          <w:szCs w:val="32"/>
          <w:lang w:eastAsia="zh-CN"/>
        </w:rPr>
        <w:t>，</w:t>
      </w:r>
      <w:r>
        <w:rPr>
          <w:rFonts w:hint="eastAsia" w:ascii="仿宋" w:hAnsi="仿宋" w:eastAsia="仿宋" w:cs="仿宋"/>
          <w:i w:val="0"/>
          <w:iCs w:val="0"/>
          <w:caps w:val="0"/>
          <w:color w:val="333333"/>
          <w:spacing w:val="0"/>
          <w:kern w:val="0"/>
          <w:sz w:val="32"/>
          <w:szCs w:val="32"/>
          <w:shd w:val="clear" w:color="auto" w:fill="FFFFFF"/>
          <w:lang w:val="en-US" w:eastAsia="zh-CN" w:bidi="ar"/>
        </w:rPr>
        <w:t>深入企业、工地，采取点对点”、“面对面”的方式，并利用日常执法、专业培训等时机，向企业和建设工地发送法律事务宣传手册，</w:t>
      </w:r>
      <w:r>
        <w:rPr>
          <w:rFonts w:hint="eastAsia" w:ascii="仿宋" w:hAnsi="仿宋" w:eastAsia="仿宋" w:cs="仿宋"/>
          <w:sz w:val="32"/>
          <w:szCs w:val="32"/>
          <w:lang w:val="en-US" w:eastAsia="zh-CN"/>
        </w:rPr>
        <w:t>大力宣传发展新型墙体材料和散装水泥节约资源、保护环境、保证施工质量、提升施工水平、促进绿色建筑发展的重大意义</w:t>
      </w:r>
      <w:r>
        <w:rPr>
          <w:rFonts w:hint="eastAsia" w:ascii="仿宋" w:hAnsi="仿宋" w:eastAsia="仿宋" w:cs="仿宋"/>
          <w:i w:val="0"/>
          <w:iCs w:val="0"/>
          <w:caps w:val="0"/>
          <w:color w:val="auto"/>
          <w:spacing w:val="0"/>
          <w:kern w:val="0"/>
          <w:sz w:val="32"/>
          <w:szCs w:val="32"/>
          <w:shd w:val="clear" w:color="auto" w:fill="FFFFFF"/>
          <w:lang w:val="en-US" w:eastAsia="zh-CN" w:bidi="ar"/>
        </w:rPr>
        <w:t>。</w:t>
      </w:r>
      <w:r>
        <w:rPr>
          <w:rStyle w:val="21"/>
          <w:rFonts w:hint="eastAsia" w:ascii="仿宋_GB2312" w:hAnsi="仿宋_GB2312" w:eastAsia="仿宋_GB2312" w:cs="仿宋_GB2312"/>
          <w:b w:val="0"/>
          <w:bCs/>
          <w:color w:val="auto"/>
          <w:sz w:val="32"/>
          <w:szCs w:val="32"/>
          <w:lang w:val="en-US" w:eastAsia="zh-CN"/>
        </w:rPr>
        <w:t>二是</w:t>
      </w:r>
      <w:r>
        <w:rPr>
          <w:rStyle w:val="21"/>
          <w:rFonts w:hint="eastAsia" w:ascii="仿宋_GB2312" w:hAnsi="仿宋_GB2312" w:eastAsia="仿宋_GB2312" w:cs="仿宋_GB2312"/>
          <w:b w:val="0"/>
          <w:bCs/>
          <w:color w:val="auto"/>
          <w:sz w:val="32"/>
          <w:szCs w:val="32"/>
        </w:rPr>
        <w:t>大力</w:t>
      </w:r>
      <w:r>
        <w:rPr>
          <w:rStyle w:val="21"/>
          <w:rFonts w:hint="eastAsia" w:ascii="仿宋_GB2312" w:hAnsi="仿宋_GB2312" w:eastAsia="仿宋_GB2312" w:cs="仿宋_GB2312"/>
          <w:b w:val="0"/>
          <w:bCs/>
          <w:color w:val="auto"/>
          <w:sz w:val="32"/>
          <w:szCs w:val="32"/>
          <w:lang w:val="en-US" w:eastAsia="zh-CN"/>
        </w:rPr>
        <w:t>提升行业发展</w:t>
      </w:r>
      <w:r>
        <w:rPr>
          <w:rFonts w:hint="eastAsia" w:ascii="仿宋_GB2312" w:hAnsi="仿宋_GB2312" w:eastAsia="仿宋_GB2312" w:cs="仿宋_GB2312"/>
          <w:sz w:val="32"/>
          <w:szCs w:val="32"/>
          <w:lang w:val="en-US" w:eastAsia="zh-CN"/>
        </w:rPr>
        <w:t>。</w:t>
      </w:r>
      <w:r>
        <w:rPr>
          <w:rFonts w:hint="eastAsia" w:ascii="仿宋_GB2312" w:eastAsia="仿宋_GB2312"/>
          <w:b w:val="0"/>
          <w:bCs w:val="0"/>
          <w:color w:val="auto"/>
          <w:sz w:val="32"/>
          <w:szCs w:val="32"/>
        </w:rPr>
        <w:t>三是</w:t>
      </w:r>
      <w:r>
        <w:rPr>
          <w:rFonts w:hint="eastAsia" w:ascii="仿宋_GB2312" w:eastAsia="仿宋_GB2312"/>
          <w:b w:val="0"/>
          <w:bCs w:val="0"/>
          <w:color w:val="auto"/>
          <w:sz w:val="32"/>
          <w:szCs w:val="32"/>
          <w:lang w:val="en-US" w:eastAsia="zh-CN"/>
        </w:rPr>
        <w:t>大力</w:t>
      </w:r>
      <w:r>
        <w:rPr>
          <w:rStyle w:val="21"/>
          <w:rFonts w:hint="eastAsia" w:ascii="仿宋_GB2312" w:hAnsi="仿宋_GB2312" w:eastAsia="仿宋_GB2312" w:cs="仿宋_GB2312"/>
          <w:b w:val="0"/>
          <w:bCs w:val="0"/>
          <w:color w:val="auto"/>
          <w:sz w:val="32"/>
          <w:szCs w:val="32"/>
          <w:lang w:val="en-US" w:eastAsia="zh-CN"/>
        </w:rPr>
        <w:t>培植</w:t>
      </w:r>
      <w:r>
        <w:rPr>
          <w:rStyle w:val="21"/>
          <w:rFonts w:hint="eastAsia" w:ascii="仿宋_GB2312" w:hAnsi="仿宋_GB2312" w:eastAsia="仿宋_GB2312" w:cs="仿宋_GB2312"/>
          <w:b w:val="0"/>
          <w:bCs w:val="0"/>
          <w:color w:val="auto"/>
          <w:sz w:val="32"/>
          <w:szCs w:val="32"/>
        </w:rPr>
        <w:t>绿色建材</w:t>
      </w:r>
      <w:r>
        <w:rPr>
          <w:rStyle w:val="21"/>
          <w:rFonts w:hint="eastAsia" w:ascii="仿宋_GB2312" w:hAnsi="仿宋_GB2312" w:eastAsia="仿宋_GB2312" w:cs="仿宋_GB2312"/>
          <w:b w:val="0"/>
          <w:bCs w:val="0"/>
          <w:color w:val="auto"/>
          <w:sz w:val="32"/>
          <w:szCs w:val="32"/>
          <w:lang w:eastAsia="zh-CN"/>
        </w:rPr>
        <w:t>。</w:t>
      </w:r>
      <w:r>
        <w:rPr>
          <w:rFonts w:hint="eastAsia" w:ascii="仿宋_GB2312" w:eastAsia="仿宋_GB2312"/>
          <w:color w:val="auto"/>
          <w:sz w:val="32"/>
          <w:szCs w:val="32"/>
        </w:rPr>
        <w:t>围绕装配式建筑、绿色建筑、建筑节能产业链，积极培育绿色建材，</w:t>
      </w:r>
      <w:r>
        <w:rPr>
          <w:rFonts w:hint="eastAsia" w:ascii="仿宋_GB2312" w:eastAsia="仿宋_GB2312"/>
          <w:color w:val="auto"/>
          <w:sz w:val="32"/>
          <w:szCs w:val="32"/>
          <w:lang w:val="en-US" w:eastAsia="zh-CN"/>
        </w:rPr>
        <w:t>指导</w:t>
      </w:r>
      <w:r>
        <w:rPr>
          <w:rFonts w:hint="eastAsia" w:ascii="仿宋_GB2312" w:eastAsia="仿宋_GB2312"/>
          <w:color w:val="auto"/>
          <w:sz w:val="32"/>
          <w:szCs w:val="32"/>
        </w:rPr>
        <w:t>企业申报绿色建材</w:t>
      </w:r>
      <w:r>
        <w:rPr>
          <w:rFonts w:hint="eastAsia" w:ascii="仿宋_GB2312" w:eastAsia="仿宋_GB2312"/>
          <w:color w:val="auto"/>
          <w:sz w:val="32"/>
          <w:szCs w:val="32"/>
          <w:lang w:val="en-US" w:eastAsia="zh-CN"/>
        </w:rPr>
        <w:t>产品认证</w:t>
      </w:r>
      <w:r>
        <w:rPr>
          <w:rFonts w:hint="eastAsia" w:ascii="Times New Roman" w:hAnsi="Times New Roman" w:eastAsia="仿宋_GB2312" w:cs="Times New Roman"/>
          <w:color w:val="000000"/>
          <w:kern w:val="0"/>
          <w:sz w:val="32"/>
          <w:szCs w:val="32"/>
          <w:lang w:val="en-US" w:eastAsia="zh-CN" w:bidi="ar-SA"/>
        </w:rPr>
        <w:t>，四是坚持问题导向，全面加强自身建设，群众满意度达到95%以上</w:t>
      </w:r>
      <w:r>
        <w:rPr>
          <w:rFonts w:hint="eastAsia" w:ascii="仿宋_GB2312" w:eastAsia="仿宋_GB2312" w:cs="仿宋_GB2312"/>
          <w:b w:val="0"/>
          <w:bCs w:val="0"/>
          <w:sz w:val="32"/>
          <w:szCs w:val="32"/>
          <w:lang w:val="en-US" w:eastAsia="zh-CN"/>
        </w:rPr>
        <w:t>。</w:t>
      </w:r>
    </w:p>
    <w:p>
      <w:pPr>
        <w:pStyle w:val="16"/>
        <w:keepNext w:val="0"/>
        <w:keepLines w:val="0"/>
        <w:pageBreakBefore w:val="0"/>
        <w:widowControl/>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七、存在的问题及原因分析</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after="0" w:line="360" w:lineRule="auto"/>
        <w:ind w:firstLine="620" w:firstLineChars="200"/>
        <w:textAlignment w:val="baseline"/>
        <w:outlineLvl w:val="0"/>
        <w:rPr>
          <w:rFonts w:hint="eastAsia" w:ascii="仿宋" w:hAnsi="仿宋" w:eastAsia="仿宋" w:cs="仿宋"/>
          <w:b/>
          <w:bCs/>
          <w:spacing w:val="-5"/>
          <w:sz w:val="32"/>
          <w:szCs w:val="32"/>
          <w:lang w:val="en-US" w:eastAsia="zh-CN"/>
        </w:rPr>
      </w:pPr>
      <w:r>
        <w:rPr>
          <w:rFonts w:hint="eastAsia" w:ascii="仿宋" w:hAnsi="仿宋" w:eastAsia="仿宋" w:cs="仿宋"/>
          <w:b w:val="0"/>
          <w:bCs w:val="0"/>
          <w:spacing w:val="-5"/>
          <w:sz w:val="32"/>
          <w:szCs w:val="32"/>
          <w:lang w:val="en-US" w:eastAsia="zh-CN"/>
        </w:rPr>
        <w:t>预算编制还不够精细化，在执行和管理过程中也存在一些问题，预算编制和支出有的存在部分差异，针对不足，我单位将积极采取改进措施，不断规范和强化管理。</w:t>
      </w:r>
    </w:p>
    <w:p>
      <w:pPr>
        <w:keepNext w:val="0"/>
        <w:keepLines w:val="0"/>
        <w:pageBreakBefore w:val="0"/>
        <w:widowControl/>
        <w:numPr>
          <w:ilvl w:val="0"/>
          <w:numId w:val="6"/>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下一步改进措施</w:t>
      </w:r>
    </w:p>
    <w:p>
      <w:pPr>
        <w:keepNext w:val="0"/>
        <w:keepLines w:val="0"/>
        <w:pageBreakBefore w:val="0"/>
        <w:widowControl/>
        <w:numPr>
          <w:ilvl w:val="0"/>
          <w:numId w:val="0"/>
        </w:numPr>
        <w:kinsoku/>
        <w:wordWrap/>
        <w:overflowPunct/>
        <w:topLinePunct w:val="0"/>
        <w:autoSpaceDE/>
        <w:autoSpaceDN/>
        <w:bidi w:val="0"/>
        <w:adjustRightInd/>
        <w:snapToGrid/>
        <w:spacing w:line="640" w:lineRule="exact"/>
        <w:ind w:firstLine="0" w:firstLineChars="0"/>
        <w:jc w:val="both"/>
        <w:textAlignment w:val="auto"/>
        <w:rPr>
          <w:rFonts w:hint="default" w:ascii="Times New Roman" w:hAnsi="Times New Roman" w:eastAsia="黑体" w:cs="Times New Roman"/>
          <w:sz w:val="32"/>
          <w:szCs w:val="32"/>
          <w:highlight w:val="none"/>
          <w:lang w:val="en-US" w:eastAsia="zh-CN"/>
        </w:rPr>
      </w:pPr>
      <w:r>
        <w:rPr>
          <w:rFonts w:hint="eastAsia" w:eastAsia="黑体" w:cs="Times New Roman"/>
          <w:sz w:val="32"/>
          <w:szCs w:val="32"/>
          <w:highlight w:val="none"/>
          <w:lang w:val="en-US" w:eastAsia="zh-CN"/>
        </w:rPr>
        <w:t xml:space="preserve">     </w:t>
      </w:r>
      <w:r>
        <w:rPr>
          <w:rFonts w:hint="eastAsia" w:ascii="仿宋_GB2312" w:eastAsia="仿宋_GB2312" w:cs="仿宋_GB2312"/>
          <w:b w:val="0"/>
          <w:bCs w:val="0"/>
          <w:sz w:val="32"/>
          <w:szCs w:val="32"/>
          <w:lang w:eastAsia="zh-CN"/>
        </w:rPr>
        <w:t>加强财政预算资金使用效益跟踪“回头”看，及时预控、查找资金使用和管理过程中的薄弱环节，确保为后续绩效目标的有效实现提供有力支撑</w:t>
      </w:r>
      <w:r>
        <w:rPr>
          <w:rFonts w:hint="eastAsia" w:ascii="仿宋" w:hAnsi="仿宋" w:eastAsia="仿宋" w:cs="仿宋"/>
          <w:b w:val="0"/>
          <w:bCs w:val="0"/>
          <w:spacing w:val="-5"/>
          <w:sz w:val="32"/>
          <w:szCs w:val="32"/>
          <w:lang w:val="en-US" w:eastAsia="zh-CN"/>
        </w:rPr>
        <w:t>。</w:t>
      </w:r>
    </w:p>
    <w:p>
      <w:pPr>
        <w:keepNext w:val="0"/>
        <w:keepLines w:val="0"/>
        <w:pageBreakBefore w:val="0"/>
        <w:widowControl/>
        <w:numPr>
          <w:ilvl w:val="0"/>
          <w:numId w:val="6"/>
        </w:numPr>
        <w:kinsoku/>
        <w:wordWrap/>
        <w:overflowPunct/>
        <w:topLinePunct w:val="0"/>
        <w:autoSpaceDE/>
        <w:autoSpaceDN/>
        <w:bidi w:val="0"/>
        <w:adjustRightInd/>
        <w:snapToGrid/>
        <w:spacing w:line="640" w:lineRule="exact"/>
        <w:ind w:firstLine="640" w:firstLineChars="200"/>
        <w:jc w:val="both"/>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部门整体支出绩效自评结果拟应用和公开情况</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200" w:firstLine="0" w:firstLineChars="0"/>
        <w:jc w:val="left"/>
        <w:textAlignment w:val="baseline"/>
        <w:rPr>
          <w:rFonts w:hint="default" w:ascii="Times New Roman" w:hAnsi="Times New Roman" w:eastAsia="黑体" w:cs="Times New Roman"/>
          <w:sz w:val="32"/>
          <w:szCs w:val="32"/>
          <w:highlight w:val="none"/>
          <w:lang w:val="en-US" w:eastAsia="zh-CN"/>
        </w:rPr>
      </w:pPr>
      <w:r>
        <w:rPr>
          <w:rFonts w:hint="eastAsia" w:eastAsia="黑体" w:cs="Times New Roman"/>
          <w:sz w:val="32"/>
          <w:szCs w:val="32"/>
          <w:highlight w:val="none"/>
          <w:lang w:val="en-US" w:eastAsia="zh-CN"/>
        </w:rPr>
        <w:t xml:space="preserve">  </w:t>
      </w:r>
      <w:r>
        <w:rPr>
          <w:rFonts w:hint="eastAsia" w:ascii="仿宋_GB2312" w:hAnsi="Times New Roman" w:eastAsia="仿宋_GB2312" w:cs="仿宋_GB2312"/>
          <w:sz w:val="32"/>
          <w:szCs w:val="32"/>
          <w:highlight w:val="none"/>
          <w:lang w:val="en-US" w:eastAsia="zh-CN"/>
        </w:rPr>
        <w:t xml:space="preserve"> </w:t>
      </w:r>
      <w:r>
        <w:rPr>
          <w:rFonts w:hint="eastAsia" w:ascii="仿宋_GB2312" w:hAnsi="Times New Roman" w:eastAsia="仿宋_GB2312" w:cs="仿宋_GB2312"/>
          <w:b w:val="0"/>
          <w:bCs w:val="0"/>
          <w:sz w:val="32"/>
          <w:szCs w:val="32"/>
          <w:highlight w:val="none"/>
          <w:lang w:val="en-US" w:eastAsia="zh-CN"/>
        </w:rPr>
        <w:t xml:space="preserve"> 我单位按照要求及时主动将相关资料公开</w:t>
      </w:r>
    </w:p>
    <w:p>
      <w:pPr>
        <w:spacing w:line="20" w:lineRule="exact"/>
        <w:ind w:firstLine="0"/>
        <w:jc w:val="left"/>
        <w:rPr>
          <w:rFonts w:ascii="仿宋_GB2312" w:eastAsia="仿宋_GB2312"/>
          <w:sz w:val="32"/>
          <w:szCs w:val="32"/>
        </w:rPr>
      </w:pPr>
    </w:p>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pStyle w:val="2"/>
        <w:ind w:left="0" w:leftChars="0" w:firstLine="0" w:firstLineChars="0"/>
      </w:pPr>
    </w:p>
    <w:p>
      <w:pPr>
        <w:widowControl/>
        <w:spacing w:after="0" w:afterLines="0" w:line="400" w:lineRule="exact"/>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widowControl/>
        <w:spacing w:after="0" w:afterLines="0" w:line="400" w:lineRule="exact"/>
        <w:jc w:val="left"/>
        <w:rPr>
          <w:rFonts w:hint="eastAsia" w:ascii="黑体" w:hAnsi="黑体" w:eastAsia="黑体" w:cs="黑体"/>
          <w:sz w:val="32"/>
          <w:szCs w:val="32"/>
          <w:highlight w:val="none"/>
          <w:lang w:val="en-US" w:eastAsia="zh-CN"/>
        </w:rPr>
      </w:pPr>
    </w:p>
    <w:p>
      <w:pPr>
        <w:widowControl/>
        <w:spacing w:after="120" w:afterLines="50"/>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年度部门整体支出绩效自评表</w:t>
      </w:r>
    </w:p>
    <w:tbl>
      <w:tblPr>
        <w:tblStyle w:val="10"/>
        <w:tblW w:w="10079" w:type="dxa"/>
        <w:jc w:val="center"/>
        <w:tblLayout w:type="fixed"/>
        <w:tblCellMar>
          <w:top w:w="0" w:type="dxa"/>
          <w:left w:w="108" w:type="dxa"/>
          <w:bottom w:w="0" w:type="dxa"/>
          <w:right w:w="108" w:type="dxa"/>
        </w:tblCellMar>
      </w:tblPr>
      <w:tblGrid>
        <w:gridCol w:w="938"/>
        <w:gridCol w:w="1080"/>
        <w:gridCol w:w="975"/>
        <w:gridCol w:w="1965"/>
        <w:gridCol w:w="1335"/>
        <w:gridCol w:w="1020"/>
        <w:gridCol w:w="720"/>
        <w:gridCol w:w="885"/>
        <w:gridCol w:w="1161"/>
      </w:tblGrid>
      <w:tr>
        <w:tblPrEx>
          <w:tblCellMar>
            <w:top w:w="0" w:type="dxa"/>
            <w:left w:w="108" w:type="dxa"/>
            <w:bottom w:w="0" w:type="dxa"/>
            <w:right w:w="108" w:type="dxa"/>
          </w:tblCellMar>
        </w:tblPrEx>
        <w:trPr>
          <w:jc w:val="center"/>
        </w:trPr>
        <w:tc>
          <w:tcPr>
            <w:tcW w:w="938"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市</w:t>
            </w:r>
            <w:r>
              <w:rPr>
                <w:rFonts w:hint="eastAsia" w:ascii="仿宋_GB2312" w:hAnsi="仿宋_GB2312" w:eastAsia="仿宋_GB2312" w:cs="仿宋_GB2312"/>
                <w:color w:val="000000"/>
                <w:sz w:val="20"/>
                <w:szCs w:val="20"/>
                <w:highlight w:val="none"/>
              </w:rPr>
              <w:t>级预算部门名称</w:t>
            </w:r>
          </w:p>
        </w:tc>
        <w:tc>
          <w:tcPr>
            <w:tcW w:w="9141" w:type="dxa"/>
            <w:gridSpan w:val="8"/>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岳阳市绿色建筑产业发展服务中心　</w:t>
            </w:r>
          </w:p>
        </w:tc>
      </w:tr>
      <w:tr>
        <w:tblPrEx>
          <w:tblCellMar>
            <w:top w:w="0" w:type="dxa"/>
            <w:left w:w="108" w:type="dxa"/>
            <w:bottom w:w="0" w:type="dxa"/>
            <w:right w:w="108" w:type="dxa"/>
          </w:tblCellMar>
        </w:tblPrEx>
        <w:trPr>
          <w:jc w:val="center"/>
        </w:trPr>
        <w:tc>
          <w:tcPr>
            <w:tcW w:w="93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年度预</w:t>
            </w:r>
          </w:p>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算申请</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055"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p>
        </w:tc>
        <w:tc>
          <w:tcPr>
            <w:tcW w:w="196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年初预算数</w:t>
            </w:r>
          </w:p>
        </w:tc>
        <w:tc>
          <w:tcPr>
            <w:tcW w:w="133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全年预算数</w:t>
            </w:r>
          </w:p>
        </w:tc>
        <w:tc>
          <w:tcPr>
            <w:tcW w:w="102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全年执行数</w:t>
            </w:r>
          </w:p>
        </w:tc>
        <w:tc>
          <w:tcPr>
            <w:tcW w:w="72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85"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161"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trHeight w:val="340" w:hRule="atLeast"/>
          <w:jc w:val="center"/>
        </w:trPr>
        <w:tc>
          <w:tcPr>
            <w:tcW w:w="938" w:type="dxa"/>
            <w:vMerge w:val="continue"/>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2055" w:type="dxa"/>
            <w:gridSpan w:val="2"/>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color w:val="000000"/>
                <w:sz w:val="20"/>
                <w:szCs w:val="20"/>
                <w:highlight w:val="none"/>
              </w:rPr>
              <w:t>年度资金总额</w:t>
            </w:r>
          </w:p>
        </w:tc>
        <w:tc>
          <w:tcPr>
            <w:tcW w:w="1965"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188.15</w:t>
            </w:r>
          </w:p>
        </w:tc>
        <w:tc>
          <w:tcPr>
            <w:tcW w:w="1335"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284.86</w:t>
            </w:r>
          </w:p>
        </w:tc>
        <w:tc>
          <w:tcPr>
            <w:tcW w:w="1020"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280.30</w:t>
            </w:r>
          </w:p>
        </w:tc>
        <w:tc>
          <w:tcPr>
            <w:tcW w:w="720" w:type="dxa"/>
            <w:tcBorders>
              <w:top w:val="nil"/>
              <w:left w:val="nil"/>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10</w:t>
            </w:r>
          </w:p>
        </w:tc>
        <w:tc>
          <w:tcPr>
            <w:tcW w:w="885"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98.39%</w:t>
            </w:r>
          </w:p>
        </w:tc>
        <w:tc>
          <w:tcPr>
            <w:tcW w:w="1161" w:type="dxa"/>
            <w:tcBorders>
              <w:top w:val="nil"/>
              <w:left w:val="nil"/>
              <w:bottom w:val="single" w:color="auto" w:sz="4" w:space="0"/>
              <w:right w:val="single" w:color="auto" w:sz="4" w:space="0"/>
            </w:tcBorders>
            <w:noWrap w:val="0"/>
            <w:vAlign w:val="center"/>
          </w:tcPr>
          <w:p>
            <w:pPr>
              <w:spacing w:line="240" w:lineRule="exact"/>
              <w:jc w:val="center"/>
              <w:rPr>
                <w:rFonts w:hint="default"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9.84</w:t>
            </w:r>
          </w:p>
        </w:tc>
      </w:tr>
      <w:tr>
        <w:tblPrEx>
          <w:tblCellMar>
            <w:top w:w="0" w:type="dxa"/>
            <w:left w:w="108" w:type="dxa"/>
            <w:bottom w:w="0" w:type="dxa"/>
            <w:right w:w="108" w:type="dxa"/>
          </w:tblCellMar>
        </w:tblPrEx>
        <w:trPr>
          <w:trHeight w:val="534" w:hRule="atLeast"/>
          <w:jc w:val="center"/>
        </w:trPr>
        <w:tc>
          <w:tcPr>
            <w:tcW w:w="938"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535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按收入性质分：</w:t>
            </w:r>
          </w:p>
        </w:tc>
        <w:tc>
          <w:tcPr>
            <w:tcW w:w="378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按支出性质分：</w:t>
            </w:r>
          </w:p>
        </w:tc>
      </w:tr>
      <w:tr>
        <w:tblPrEx>
          <w:tblCellMar>
            <w:top w:w="0" w:type="dxa"/>
            <w:left w:w="108" w:type="dxa"/>
            <w:bottom w:w="0" w:type="dxa"/>
            <w:right w:w="108" w:type="dxa"/>
          </w:tblCellMar>
        </w:tblPrEx>
        <w:trPr>
          <w:trHeight w:val="468" w:hRule="atLeast"/>
          <w:jc w:val="center"/>
        </w:trPr>
        <w:tc>
          <w:tcPr>
            <w:tcW w:w="938"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535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xml:space="preserve">  其中：  一般公共预算：</w:t>
            </w:r>
            <w:r>
              <w:rPr>
                <w:rFonts w:hint="eastAsia" w:ascii="仿宋_GB2312" w:hAnsi="仿宋_GB2312" w:eastAsia="仿宋_GB2312" w:cs="仿宋_GB2312"/>
                <w:color w:val="000000"/>
                <w:sz w:val="20"/>
                <w:szCs w:val="20"/>
                <w:highlight w:val="none"/>
                <w:lang w:val="en-US" w:eastAsia="zh-CN"/>
              </w:rPr>
              <w:t>269.21</w:t>
            </w:r>
          </w:p>
        </w:tc>
        <w:tc>
          <w:tcPr>
            <w:tcW w:w="378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其中：基本支出：</w:t>
            </w:r>
            <w:r>
              <w:rPr>
                <w:rFonts w:hint="eastAsia" w:ascii="仿宋_GB2312" w:hAnsi="仿宋_GB2312" w:eastAsia="仿宋_GB2312" w:cs="仿宋_GB2312"/>
                <w:color w:val="000000"/>
                <w:sz w:val="20"/>
                <w:szCs w:val="20"/>
                <w:highlight w:val="none"/>
                <w:lang w:val="en-US" w:eastAsia="zh-CN"/>
              </w:rPr>
              <w:t>179.05</w:t>
            </w:r>
          </w:p>
        </w:tc>
      </w:tr>
      <w:tr>
        <w:tblPrEx>
          <w:tblCellMar>
            <w:top w:w="0" w:type="dxa"/>
            <w:left w:w="108" w:type="dxa"/>
            <w:bottom w:w="0" w:type="dxa"/>
            <w:right w:w="108" w:type="dxa"/>
          </w:tblCellMar>
        </w:tblPrEx>
        <w:trPr>
          <w:trHeight w:val="535" w:hRule="atLeast"/>
          <w:jc w:val="center"/>
        </w:trPr>
        <w:tc>
          <w:tcPr>
            <w:tcW w:w="938"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5355" w:type="dxa"/>
            <w:gridSpan w:val="4"/>
            <w:tcBorders>
              <w:top w:val="nil"/>
              <w:left w:val="nil"/>
              <w:bottom w:val="single" w:color="auto" w:sz="4" w:space="0"/>
              <w:right w:val="single" w:color="auto" w:sz="4" w:space="0"/>
            </w:tcBorders>
            <w:noWrap w:val="0"/>
            <w:vAlign w:val="center"/>
          </w:tcPr>
          <w:p>
            <w:pPr>
              <w:widowControl/>
              <w:spacing w:line="240" w:lineRule="exact"/>
              <w:ind w:firstLine="800" w:firstLineChars="4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政府性基金拨款：</w:t>
            </w:r>
            <w:r>
              <w:rPr>
                <w:rFonts w:hint="eastAsia" w:ascii="仿宋_GB2312" w:hAnsi="仿宋_GB2312" w:eastAsia="仿宋_GB2312" w:cs="仿宋_GB2312"/>
                <w:color w:val="000000"/>
                <w:sz w:val="20"/>
                <w:szCs w:val="20"/>
                <w:highlight w:val="none"/>
                <w:lang w:val="en-US" w:eastAsia="zh-CN"/>
              </w:rPr>
              <w:t>0.00</w:t>
            </w:r>
          </w:p>
        </w:tc>
        <w:tc>
          <w:tcPr>
            <w:tcW w:w="3786" w:type="dxa"/>
            <w:gridSpan w:val="4"/>
            <w:tcBorders>
              <w:top w:val="nil"/>
              <w:left w:val="nil"/>
              <w:bottom w:val="single" w:color="auto" w:sz="4" w:space="0"/>
              <w:right w:val="single" w:color="auto" w:sz="4" w:space="0"/>
            </w:tcBorders>
            <w:noWrap w:val="0"/>
            <w:vAlign w:val="center"/>
          </w:tcPr>
          <w:p>
            <w:pPr>
              <w:widowControl/>
              <w:spacing w:line="240" w:lineRule="exact"/>
              <w:ind w:firstLine="600" w:firstLineChars="3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项目支出：</w:t>
            </w:r>
            <w:r>
              <w:rPr>
                <w:rFonts w:hint="eastAsia" w:ascii="仿宋_GB2312" w:hAnsi="仿宋_GB2312" w:eastAsia="仿宋_GB2312" w:cs="仿宋_GB2312"/>
                <w:color w:val="000000"/>
                <w:sz w:val="20"/>
                <w:szCs w:val="20"/>
                <w:highlight w:val="none"/>
                <w:lang w:val="en-US" w:eastAsia="zh-CN"/>
              </w:rPr>
              <w:t>101.25</w:t>
            </w:r>
          </w:p>
        </w:tc>
      </w:tr>
      <w:tr>
        <w:tblPrEx>
          <w:tblCellMar>
            <w:top w:w="0" w:type="dxa"/>
            <w:left w:w="108" w:type="dxa"/>
            <w:bottom w:w="0" w:type="dxa"/>
            <w:right w:w="108" w:type="dxa"/>
          </w:tblCellMar>
        </w:tblPrEx>
        <w:trPr>
          <w:trHeight w:val="552" w:hRule="atLeast"/>
          <w:jc w:val="center"/>
        </w:trPr>
        <w:tc>
          <w:tcPr>
            <w:tcW w:w="938" w:type="dxa"/>
            <w:vMerge w:val="continue"/>
            <w:tcBorders>
              <w:left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5355"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纳入专户管理的非税收入拨款：</w:t>
            </w:r>
            <w:r>
              <w:rPr>
                <w:rFonts w:hint="eastAsia" w:ascii="仿宋_GB2312" w:hAnsi="仿宋_GB2312" w:eastAsia="仿宋_GB2312" w:cs="仿宋_GB2312"/>
                <w:color w:val="000000"/>
                <w:sz w:val="20"/>
                <w:szCs w:val="20"/>
                <w:highlight w:val="none"/>
                <w:lang w:val="en-US" w:eastAsia="zh-CN"/>
              </w:rPr>
              <w:t>0.00</w:t>
            </w:r>
          </w:p>
        </w:tc>
        <w:tc>
          <w:tcPr>
            <w:tcW w:w="378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501" w:hRule="atLeast"/>
          <w:jc w:val="center"/>
        </w:trPr>
        <w:tc>
          <w:tcPr>
            <w:tcW w:w="938" w:type="dxa"/>
            <w:vMerge w:val="continue"/>
            <w:tcBorders>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5355" w:type="dxa"/>
            <w:gridSpan w:val="4"/>
            <w:tcBorders>
              <w:top w:val="nil"/>
              <w:left w:val="nil"/>
              <w:bottom w:val="single" w:color="auto" w:sz="4" w:space="0"/>
              <w:right w:val="single" w:color="auto" w:sz="4" w:space="0"/>
            </w:tcBorders>
            <w:noWrap w:val="0"/>
            <w:vAlign w:val="center"/>
          </w:tcPr>
          <w:p>
            <w:pPr>
              <w:widowControl/>
              <w:spacing w:line="240" w:lineRule="exact"/>
              <w:ind w:firstLine="1400" w:firstLineChars="700"/>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其他资金：</w:t>
            </w:r>
            <w:r>
              <w:rPr>
                <w:rFonts w:hint="eastAsia" w:ascii="仿宋_GB2312" w:hAnsi="仿宋_GB2312" w:eastAsia="仿宋_GB2312" w:cs="仿宋_GB2312"/>
                <w:color w:val="000000"/>
                <w:sz w:val="20"/>
                <w:szCs w:val="20"/>
                <w:highlight w:val="none"/>
                <w:lang w:val="en-US" w:eastAsia="zh-CN"/>
              </w:rPr>
              <w:t>11.09</w:t>
            </w:r>
          </w:p>
        </w:tc>
        <w:tc>
          <w:tcPr>
            <w:tcW w:w="3786" w:type="dxa"/>
            <w:gridSpan w:val="4"/>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r>
      <w:tr>
        <w:tblPrEx>
          <w:tblCellMar>
            <w:top w:w="0" w:type="dxa"/>
            <w:left w:w="108" w:type="dxa"/>
            <w:bottom w:w="0" w:type="dxa"/>
            <w:right w:w="108" w:type="dxa"/>
          </w:tblCellMar>
        </w:tblPrEx>
        <w:trPr>
          <w:trHeight w:val="545" w:hRule="atLeast"/>
          <w:jc w:val="center"/>
        </w:trPr>
        <w:tc>
          <w:tcPr>
            <w:tcW w:w="938" w:type="dxa"/>
            <w:vMerge w:val="restart"/>
            <w:tcBorders>
              <w:top w:val="nil"/>
              <w:left w:val="single" w:color="auto" w:sz="4" w:space="0"/>
              <w:bottom w:val="single" w:color="000000"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535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378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trHeight w:val="3832" w:hRule="atLeast"/>
          <w:jc w:val="center"/>
        </w:trPr>
        <w:tc>
          <w:tcPr>
            <w:tcW w:w="938" w:type="dxa"/>
            <w:vMerge w:val="continue"/>
            <w:tcBorders>
              <w:top w:val="nil"/>
              <w:left w:val="single" w:color="auto" w:sz="4" w:space="0"/>
              <w:bottom w:val="single" w:color="000000"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5355" w:type="dxa"/>
            <w:gridSpan w:val="4"/>
            <w:tcBorders>
              <w:top w:val="single" w:color="auto" w:sz="4" w:space="0"/>
              <w:left w:val="nil"/>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保障岳阳市绿色建筑产业发展服务中心业务工作的正常运行、具体目标如下：1、可再生资源、绿色建筑产业发展配套项目具体目标如下：可再生能源项目评定和展示；既有建筑节能改造项目评审工作；可再生能源、建筑节能、和绿色建筑应用宣传培训；建材系统维护和数据公示；2、绿色建筑产业发展和散装水泥管理项目具体目标如下：对全市企业的生产工艺、环保达标、产品质量进行一次全面检查；对全市家预拌混凝土和预拌砂浆生产企业的原材料、产品质量以及生产、环保、运输情况进行一次全面检查，对原材料和出厂产品进行取样检测；对全市装配式建筑部品部件企业的质量管理体系、生产设备、试验室运行情况；原材料、构配件、产品出厂质量控制情况进行一次全面检查；从全市节能防水材料生产、使用端抽取10-20家单进行检查，主要检查材料性能是否符合国家标准</w:t>
            </w:r>
          </w:p>
        </w:tc>
        <w:tc>
          <w:tcPr>
            <w:tcW w:w="3786" w:type="dxa"/>
            <w:gridSpan w:val="4"/>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w:t>
            </w:r>
            <w:r>
              <w:rPr>
                <w:rFonts w:hint="eastAsia" w:ascii="仿宋_GB2312" w:hAnsi="仿宋_GB2312" w:eastAsia="仿宋_GB2312" w:cs="仿宋_GB2312"/>
                <w:color w:val="000000"/>
                <w:sz w:val="20"/>
                <w:szCs w:val="20"/>
                <w:highlight w:val="none"/>
              </w:rPr>
              <w:t>项目评定和展示10家</w:t>
            </w:r>
            <w:r>
              <w:rPr>
                <w:rFonts w:hint="eastAsia" w:ascii="仿宋_GB2312" w:hAnsi="仿宋_GB2312" w:eastAsia="仿宋_GB2312" w:cs="仿宋_GB2312"/>
                <w:color w:val="000000"/>
                <w:sz w:val="20"/>
                <w:szCs w:val="20"/>
                <w:highlight w:val="none"/>
                <w:lang w:eastAsia="zh-CN"/>
              </w:rPr>
              <w:t>。</w:t>
            </w:r>
            <w:r>
              <w:rPr>
                <w:rFonts w:hint="eastAsia" w:ascii="仿宋_GB2312" w:hAnsi="仿宋_GB2312" w:eastAsia="仿宋_GB2312" w:cs="仿宋_GB2312"/>
                <w:color w:val="000000"/>
                <w:sz w:val="20"/>
                <w:szCs w:val="20"/>
                <w:highlight w:val="none"/>
                <w:lang w:val="en-US" w:eastAsia="zh-CN"/>
              </w:rPr>
              <w:t>2</w:t>
            </w: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eastAsia="zh-CN"/>
              </w:rPr>
              <w:t>完成了</w:t>
            </w:r>
            <w:r>
              <w:rPr>
                <w:rFonts w:hint="eastAsia" w:ascii="仿宋_GB2312" w:hAnsi="仿宋_GB2312" w:eastAsia="仿宋_GB2312" w:cs="仿宋_GB2312"/>
                <w:color w:val="000000"/>
                <w:sz w:val="20"/>
                <w:szCs w:val="20"/>
                <w:highlight w:val="none"/>
              </w:rPr>
              <w:t>可再生能源、建筑节能、和绿色建筑应用宣传培训、建材管理系统维护和数据公示</w:t>
            </w:r>
            <w:r>
              <w:rPr>
                <w:rFonts w:hint="eastAsia" w:ascii="仿宋_GB2312" w:hAnsi="仿宋_GB2312" w:eastAsia="仿宋_GB2312" w:cs="仿宋_GB2312"/>
                <w:color w:val="000000"/>
                <w:sz w:val="20"/>
                <w:szCs w:val="20"/>
                <w:highlight w:val="none"/>
                <w:lang w:eastAsia="zh-CN"/>
              </w:rPr>
              <w:t>四批</w:t>
            </w:r>
            <w:r>
              <w:rPr>
                <w:rFonts w:hint="eastAsia" w:ascii="仿宋_GB2312" w:hAnsi="仿宋_GB2312" w:eastAsia="仿宋_GB2312" w:cs="仿宋_GB2312"/>
                <w:color w:val="000000"/>
                <w:sz w:val="20"/>
                <w:szCs w:val="20"/>
                <w:highlight w:val="none"/>
                <w:lang w:val="en-US" w:eastAsia="zh-CN"/>
              </w:rPr>
              <w:t>3、绿色建材产品抽检</w:t>
            </w:r>
          </w:p>
        </w:tc>
      </w:tr>
      <w:tr>
        <w:tblPrEx>
          <w:tblCellMar>
            <w:top w:w="0" w:type="dxa"/>
            <w:left w:w="108" w:type="dxa"/>
            <w:bottom w:w="0" w:type="dxa"/>
            <w:right w:w="108" w:type="dxa"/>
          </w:tblCellMar>
        </w:tblPrEx>
        <w:trPr>
          <w:jc w:val="center"/>
        </w:trPr>
        <w:tc>
          <w:tcPr>
            <w:tcW w:w="938" w:type="dxa"/>
            <w:vMerge w:val="restart"/>
            <w:tcBorders>
              <w:top w:val="nil"/>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97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335"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年度指</w:t>
            </w:r>
          </w:p>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标值</w:t>
            </w:r>
          </w:p>
        </w:tc>
        <w:tc>
          <w:tcPr>
            <w:tcW w:w="1020" w:type="dxa"/>
            <w:tcBorders>
              <w:top w:val="nil"/>
              <w:left w:val="nil"/>
              <w:bottom w:val="single" w:color="auto" w:sz="4" w:space="0"/>
              <w:right w:val="single" w:color="auto" w:sz="4" w:space="0"/>
            </w:tcBorders>
            <w:noWrap w:val="0"/>
            <w:vAlign w:val="center"/>
          </w:tcPr>
          <w:p>
            <w:pPr>
              <w:widowControl/>
              <w:spacing w:line="240" w:lineRule="exac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w:t>
            </w:r>
            <w:r>
              <w:rPr>
                <w:rFonts w:hint="eastAsia" w:ascii="仿宋_GB2312" w:hAnsi="仿宋_GB2312" w:eastAsia="仿宋_GB2312" w:cs="仿宋_GB2312"/>
                <w:color w:val="000000"/>
                <w:sz w:val="20"/>
                <w:szCs w:val="20"/>
                <w:highlight w:val="none"/>
                <w:lang w:val="en-US" w:eastAsia="zh-CN"/>
              </w:rPr>
              <w:t xml:space="preserve"> </w:t>
            </w:r>
            <w:r>
              <w:rPr>
                <w:rFonts w:hint="eastAsia" w:ascii="仿宋_GB2312" w:hAnsi="仿宋_GB2312" w:eastAsia="仿宋_GB2312" w:cs="仿宋_GB2312"/>
                <w:color w:val="000000"/>
                <w:sz w:val="20"/>
                <w:szCs w:val="20"/>
                <w:highlight w:val="none"/>
              </w:rPr>
              <w:t>成值</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8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161" w:type="dxa"/>
            <w:tcBorders>
              <w:top w:val="nil"/>
              <w:left w:val="nil"/>
              <w:bottom w:val="single" w:color="auto" w:sz="4" w:space="0"/>
              <w:right w:val="single" w:color="auto" w:sz="4" w:space="0"/>
            </w:tcBorders>
            <w:noWrap w:val="0"/>
            <w:vAlign w:val="center"/>
          </w:tcPr>
          <w:p>
            <w:pPr>
              <w:widowControl/>
              <w:spacing w:line="240" w:lineRule="exact"/>
              <w:jc w:val="both"/>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widowControl/>
              <w:spacing w:line="240" w:lineRule="exact"/>
              <w:jc w:val="center"/>
              <w:rPr>
                <w:rFonts w:hint="eastAsia" w:ascii="仿宋_GB2312" w:hAnsi="仿宋_GB2312" w:eastAsia="仿宋_GB2312" w:cs="仿宋_GB2312"/>
                <w:color w:val="000000"/>
                <w:sz w:val="20"/>
                <w:szCs w:val="20"/>
                <w:highlight w:val="none"/>
              </w:rPr>
            </w:pP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可再生能源项目评定和展示、既有建筑节能改造项目评审</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10家</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10家</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绿色建材、新型墙体材料的质量检测</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113</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113</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20"/>
                <w:szCs w:val="20"/>
                <w:highlight w:val="none"/>
              </w:rPr>
            </w:pPr>
            <w:r>
              <w:rPr>
                <w:rFonts w:ascii="宋体" w:hAnsi="宋体" w:eastAsia="宋体" w:cs="宋体"/>
                <w:i w:val="0"/>
                <w:iCs w:val="0"/>
                <w:color w:val="000000"/>
                <w:kern w:val="0"/>
                <w:sz w:val="14"/>
                <w:szCs w:val="14"/>
                <w:u w:val="none"/>
                <w:lang w:val="en-US" w:eastAsia="zh-CN" w:bidi="ar"/>
              </w:rPr>
              <w:t>项目星级评定</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10个</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10个</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val="en-US" w:eastAsia="zh-CN"/>
              </w:rPr>
              <w:t>5</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84" w:hRule="atLeast"/>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20"/>
                <w:szCs w:val="20"/>
                <w:highlight w:val="none"/>
              </w:rPr>
            </w:pPr>
            <w:r>
              <w:rPr>
                <w:rFonts w:ascii="宋体" w:hAnsi="宋体" w:eastAsia="宋体" w:cs="宋体"/>
                <w:i w:val="0"/>
                <w:iCs w:val="0"/>
                <w:color w:val="000000"/>
                <w:kern w:val="0"/>
                <w:sz w:val="14"/>
                <w:szCs w:val="14"/>
                <w:u w:val="none"/>
                <w:lang w:val="en-US" w:eastAsia="zh-CN" w:bidi="ar"/>
              </w:rPr>
              <w:t>质量检测（满足检测标准）</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113</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113</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5</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90" w:hRule="atLeast"/>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i w:val="0"/>
                <w:iCs w:val="0"/>
                <w:color w:val="000000"/>
                <w:kern w:val="2"/>
                <w:sz w:val="20"/>
                <w:szCs w:val="20"/>
                <w:highlight w:val="none"/>
                <w:u w:val="none"/>
                <w:lang w:val="en-US" w:eastAsia="zh-CN" w:bidi="ar"/>
              </w:rPr>
              <w:t>城镇新建建筑节能标准施工执行率</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000000"/>
                <w:sz w:val="20"/>
                <w:szCs w:val="20"/>
                <w:highlight w:val="none"/>
                <w:lang w:val="en-US"/>
              </w:rPr>
            </w:pPr>
            <w:r>
              <w:rPr>
                <w:rFonts w:ascii="宋体" w:hAnsi="宋体" w:eastAsia="宋体" w:cs="宋体"/>
                <w:i w:val="0"/>
                <w:iCs w:val="0"/>
                <w:color w:val="000000"/>
                <w:kern w:val="0"/>
                <w:sz w:val="14"/>
                <w:szCs w:val="14"/>
                <w:u w:val="none"/>
                <w:lang w:val="en-US" w:eastAsia="zh-CN" w:bidi="ar"/>
              </w:rPr>
              <w:t>≥</w:t>
            </w:r>
            <w:r>
              <w:rPr>
                <w:rFonts w:hint="eastAsia" w:ascii="宋体" w:hAnsi="宋体" w:eastAsia="宋体" w:cs="宋体"/>
                <w:i w:val="0"/>
                <w:iCs w:val="0"/>
                <w:color w:val="000000"/>
                <w:kern w:val="0"/>
                <w:sz w:val="14"/>
                <w:szCs w:val="14"/>
                <w:u w:val="none"/>
                <w:lang w:val="en-US" w:eastAsia="zh-CN" w:bidi="ar"/>
              </w:rPr>
              <w:t>50%</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000000"/>
                <w:sz w:val="20"/>
                <w:szCs w:val="20"/>
                <w:highlight w:val="none"/>
                <w:lang w:val="en-US"/>
              </w:rPr>
            </w:pPr>
            <w:r>
              <w:rPr>
                <w:rFonts w:ascii="宋体" w:hAnsi="宋体" w:eastAsia="宋体" w:cs="宋体"/>
                <w:i w:val="0"/>
                <w:iCs w:val="0"/>
                <w:color w:val="000000"/>
                <w:kern w:val="0"/>
                <w:sz w:val="14"/>
                <w:szCs w:val="14"/>
                <w:u w:val="none"/>
                <w:lang w:val="en-US" w:eastAsia="zh-CN" w:bidi="ar"/>
              </w:rPr>
              <w:t>5</w:t>
            </w:r>
            <w:r>
              <w:rPr>
                <w:rFonts w:hint="eastAsia" w:ascii="宋体" w:hAnsi="宋体" w:eastAsia="宋体" w:cs="宋体"/>
                <w:i w:val="0"/>
                <w:iCs w:val="0"/>
                <w:color w:val="000000"/>
                <w:kern w:val="0"/>
                <w:sz w:val="14"/>
                <w:szCs w:val="14"/>
                <w:u w:val="none"/>
                <w:lang w:val="en-US" w:eastAsia="zh-CN" w:bidi="ar"/>
              </w:rPr>
              <w:t>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hint="eastAsia" w:ascii="宋体" w:hAnsi="宋体" w:eastAsia="宋体" w:cs="宋体"/>
                <w:i w:val="0"/>
                <w:iCs w:val="0"/>
                <w:color w:val="000000"/>
                <w:kern w:val="0"/>
                <w:sz w:val="14"/>
                <w:szCs w:val="14"/>
                <w:u w:val="none"/>
                <w:lang w:val="en-US" w:eastAsia="zh-CN" w:bidi="ar"/>
              </w:rPr>
              <w:t>10</w:t>
            </w:r>
          </w:p>
        </w:tc>
        <w:tc>
          <w:tcPr>
            <w:tcW w:w="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000000"/>
                <w:sz w:val="20"/>
                <w:szCs w:val="20"/>
                <w:highlight w:val="none"/>
                <w:lang w:val="en-US"/>
              </w:rPr>
            </w:pPr>
            <w:r>
              <w:rPr>
                <w:rFonts w:hint="eastAsia" w:ascii="宋体" w:hAnsi="宋体" w:eastAsia="宋体" w:cs="宋体"/>
                <w:i w:val="0"/>
                <w:iCs w:val="0"/>
                <w:color w:val="000000"/>
                <w:kern w:val="0"/>
                <w:sz w:val="14"/>
                <w:szCs w:val="14"/>
                <w:u w:val="none"/>
                <w:lang w:val="en-US" w:eastAsia="zh-CN" w:bidi="ar"/>
              </w:rPr>
              <w:t>10</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hint="eastAsia" w:ascii="仿宋_GB2312" w:hAnsi="仿宋_GB2312" w:eastAsia="仿宋_GB2312" w:cs="仿宋_GB2312"/>
                <w:color w:val="000000"/>
                <w:sz w:val="20"/>
                <w:szCs w:val="20"/>
                <w:highlight w:val="none"/>
              </w:rPr>
            </w:pPr>
          </w:p>
        </w:tc>
        <w:tc>
          <w:tcPr>
            <w:tcW w:w="1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20"/>
                <w:szCs w:val="20"/>
                <w:highlight w:val="none"/>
              </w:rPr>
            </w:pPr>
            <w:r>
              <w:rPr>
                <w:rFonts w:ascii="宋体" w:hAnsi="宋体" w:eastAsia="宋体" w:cs="宋体"/>
                <w:i w:val="0"/>
                <w:iCs w:val="0"/>
                <w:color w:val="000000"/>
                <w:kern w:val="0"/>
                <w:sz w:val="14"/>
                <w:szCs w:val="14"/>
                <w:u w:val="none"/>
                <w:lang w:val="en-US" w:eastAsia="zh-CN" w:bidi="ar"/>
              </w:rPr>
              <w:t>本年内</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ascii="宋体" w:hAnsi="宋体" w:eastAsia="宋体" w:cs="宋体"/>
                <w:i w:val="0"/>
                <w:iCs w:val="0"/>
                <w:color w:val="000000"/>
                <w:kern w:val="0"/>
                <w:sz w:val="14"/>
                <w:szCs w:val="14"/>
                <w:u w:val="none"/>
                <w:lang w:val="en-US" w:eastAsia="zh-CN" w:bidi="ar"/>
              </w:rPr>
              <w:t>定性</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ascii="宋体" w:hAnsi="宋体" w:eastAsia="宋体" w:cs="宋体"/>
                <w:i w:val="0"/>
                <w:iCs w:val="0"/>
                <w:color w:val="000000"/>
                <w:kern w:val="0"/>
                <w:sz w:val="14"/>
                <w:szCs w:val="14"/>
                <w:u w:val="none"/>
                <w:lang w:val="en-US" w:eastAsia="zh-CN" w:bidi="ar"/>
              </w:rPr>
              <w:t>12</w:t>
            </w:r>
          </w:p>
        </w:tc>
        <w:tc>
          <w:tcPr>
            <w:tcW w:w="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000000"/>
                <w:sz w:val="20"/>
                <w:szCs w:val="20"/>
                <w:highlight w:val="none"/>
                <w:lang w:val="en-US"/>
              </w:rPr>
            </w:pPr>
            <w:r>
              <w:rPr>
                <w:rFonts w:hint="eastAsia" w:ascii="宋体" w:hAnsi="宋体" w:eastAsia="宋体" w:cs="宋体"/>
                <w:i w:val="0"/>
                <w:iCs w:val="0"/>
                <w:color w:val="000000"/>
                <w:kern w:val="0"/>
                <w:sz w:val="14"/>
                <w:szCs w:val="14"/>
                <w:u w:val="none"/>
                <w:lang w:val="en-US" w:eastAsia="zh-CN" w:bidi="ar"/>
              </w:rPr>
              <w:t>10</w:t>
            </w:r>
          </w:p>
        </w:tc>
        <w:tc>
          <w:tcPr>
            <w:tcW w:w="8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仿宋_GB2312" w:hAnsi="仿宋_GB2312" w:eastAsia="仿宋_GB2312" w:cs="仿宋_GB2312"/>
                <w:color w:val="000000"/>
                <w:sz w:val="20"/>
                <w:szCs w:val="20"/>
                <w:highlight w:val="none"/>
                <w:lang w:val="en-US"/>
              </w:rPr>
            </w:pPr>
            <w:r>
              <w:rPr>
                <w:rFonts w:hint="eastAsia" w:ascii="宋体" w:hAnsi="宋体" w:eastAsia="宋体" w:cs="宋体"/>
                <w:i w:val="0"/>
                <w:iCs w:val="0"/>
                <w:color w:val="000000"/>
                <w:kern w:val="0"/>
                <w:sz w:val="14"/>
                <w:szCs w:val="14"/>
                <w:u w:val="none"/>
                <w:lang w:val="en-US" w:eastAsia="zh-CN" w:bidi="ar"/>
              </w:rPr>
              <w:t>10</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textAlignment w:val="center"/>
              <w:rPr>
                <w:rFonts w:hint="eastAsia" w:ascii="仿宋_GB2312" w:hAnsi="仿宋_GB2312" w:eastAsia="仿宋_GB2312" w:cs="仿宋_GB2312"/>
                <w:color w:val="000000"/>
                <w:sz w:val="20"/>
                <w:szCs w:val="20"/>
                <w:highlight w:val="none"/>
              </w:rPr>
            </w:pPr>
            <w:r>
              <w:rPr>
                <w:rFonts w:ascii="宋体" w:hAnsi="宋体" w:eastAsia="宋体" w:cs="宋体"/>
                <w:i w:val="0"/>
                <w:iCs w:val="0"/>
                <w:color w:val="000000"/>
                <w:kern w:val="0"/>
                <w:sz w:val="14"/>
                <w:szCs w:val="14"/>
                <w:u w:val="none"/>
                <w:lang w:val="en-US" w:eastAsia="zh-CN" w:bidi="ar"/>
              </w:rPr>
              <w:t>预算控制数</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0"/>
                <w:szCs w:val="20"/>
                <w:highlight w:val="none"/>
              </w:rPr>
            </w:pPr>
            <w:r>
              <w:rPr>
                <w:rFonts w:ascii="宋体" w:hAnsi="宋体" w:eastAsia="宋体" w:cs="宋体"/>
                <w:i w:val="0"/>
                <w:iCs w:val="0"/>
                <w:color w:val="000000"/>
                <w:kern w:val="0"/>
                <w:sz w:val="14"/>
                <w:szCs w:val="14"/>
                <w:u w:val="none"/>
                <w:lang w:val="en-US" w:eastAsia="zh-CN" w:bidi="ar"/>
              </w:rPr>
              <w:t>定性</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预算内</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90" w:hRule="atLeast"/>
          <w:jc w:val="center"/>
        </w:trPr>
        <w:tc>
          <w:tcPr>
            <w:tcW w:w="93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widowControl/>
              <w:spacing w:line="240" w:lineRule="exact"/>
              <w:jc w:val="left"/>
              <w:rPr>
                <w:rFonts w:hint="eastAsia" w:ascii="仿宋_GB2312" w:hAnsi="仿宋_GB2312" w:eastAsia="仿宋_GB2312" w:cs="仿宋_GB2312"/>
                <w:color w:val="000000"/>
                <w:sz w:val="20"/>
                <w:szCs w:val="20"/>
                <w:highlight w:val="none"/>
              </w:rPr>
            </w:pP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生产企业交纳税款</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4000</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4000</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8"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提高社会公众的节能环保意识,改变普通市民对建筑用能的传统观念。</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提高社会公众的节能环保意识</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完成</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96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减轻环境污染，改善环境</w:t>
            </w:r>
          </w:p>
        </w:tc>
        <w:tc>
          <w:tcPr>
            <w:tcW w:w="133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有效减少环境污染</w:t>
            </w:r>
          </w:p>
        </w:tc>
        <w:tc>
          <w:tcPr>
            <w:tcW w:w="1020"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完成</w:t>
            </w:r>
            <w:r>
              <w:rPr>
                <w:rFonts w:hint="eastAsia" w:ascii="仿宋_GB2312" w:hAnsi="仿宋_GB2312" w:eastAsia="仿宋_GB2312" w:cs="仿宋_GB2312"/>
                <w:color w:val="000000"/>
                <w:sz w:val="20"/>
                <w:szCs w:val="20"/>
                <w:highlight w:val="none"/>
                <w:lang w:val="en-US" w:eastAsia="zh-CN"/>
              </w:rPr>
              <w:t xml:space="preserve"> </w:t>
            </w:r>
          </w:p>
        </w:tc>
        <w:tc>
          <w:tcPr>
            <w:tcW w:w="72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8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16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290" w:hRule="atLeast"/>
          <w:jc w:val="center"/>
        </w:trPr>
        <w:tc>
          <w:tcPr>
            <w:tcW w:w="938" w:type="dxa"/>
            <w:vMerge w:val="continue"/>
            <w:tcBorders>
              <w:left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提高全社会的节能环保意识、倡导绿色低碳</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倡导绿色低碳</w:t>
            </w:r>
            <w:r>
              <w:rPr>
                <w:rFonts w:hint="eastAsia" w:ascii="仿宋_GB2312" w:hAnsi="仿宋_GB2312" w:eastAsia="仿宋_GB2312" w:cs="仿宋_GB2312"/>
                <w:color w:val="000000"/>
                <w:sz w:val="20"/>
                <w:szCs w:val="20"/>
                <w:highlight w:val="none"/>
                <w:lang w:eastAsia="zh-CN"/>
              </w:rPr>
              <w:t>可持续</w:t>
            </w:r>
            <w:r>
              <w:rPr>
                <w:rFonts w:hint="eastAsia" w:ascii="仿宋_GB2312" w:hAnsi="仿宋_GB2312" w:eastAsia="仿宋_GB2312" w:cs="仿宋_GB2312"/>
                <w:color w:val="000000"/>
                <w:sz w:val="20"/>
                <w:szCs w:val="20"/>
                <w:highlight w:val="none"/>
              </w:rPr>
              <w:t>影响</w:t>
            </w:r>
          </w:p>
        </w:tc>
        <w:tc>
          <w:tcPr>
            <w:tcW w:w="10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eastAsia="zh-CN"/>
              </w:rPr>
              <w:t>完成</w:t>
            </w:r>
          </w:p>
        </w:tc>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161" w:type="dxa"/>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30" w:hRule="atLeast"/>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97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生产企业项目评审，评定的初审、报批</w:t>
            </w:r>
          </w:p>
        </w:tc>
        <w:tc>
          <w:tcPr>
            <w:tcW w:w="1335"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020"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72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8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16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40" w:hRule="atLeast"/>
          <w:jc w:val="center"/>
        </w:trPr>
        <w:tc>
          <w:tcPr>
            <w:tcW w:w="938" w:type="dxa"/>
            <w:vMerge w:val="continue"/>
            <w:tcBorders>
              <w:left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975"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exact"/>
              <w:jc w:val="left"/>
              <w:rPr>
                <w:rFonts w:hint="eastAsia" w:ascii="仿宋_GB2312" w:hAnsi="仿宋_GB2312" w:eastAsia="仿宋_GB2312" w:cs="仿宋_GB2312"/>
                <w:color w:val="000000"/>
                <w:sz w:val="20"/>
                <w:szCs w:val="20"/>
                <w:highlight w:val="none"/>
              </w:rPr>
            </w:pPr>
          </w:p>
        </w:tc>
        <w:tc>
          <w:tcPr>
            <w:tcW w:w="1965"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群众满意度</w:t>
            </w:r>
          </w:p>
        </w:tc>
        <w:tc>
          <w:tcPr>
            <w:tcW w:w="1335"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w:t>
            </w:r>
          </w:p>
        </w:tc>
        <w:tc>
          <w:tcPr>
            <w:tcW w:w="1020" w:type="dxa"/>
            <w:tcBorders>
              <w:top w:val="nil"/>
              <w:left w:val="nil"/>
              <w:bottom w:val="single" w:color="auto" w:sz="4" w:space="0"/>
              <w:right w:val="single" w:color="auto" w:sz="4" w:space="0"/>
            </w:tcBorders>
            <w:noWrap w:val="0"/>
            <w:vAlign w:val="center"/>
          </w:tcPr>
          <w:p>
            <w:pPr>
              <w:widowControl/>
              <w:spacing w:line="240" w:lineRule="exact"/>
              <w:jc w:val="left"/>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95%</w:t>
            </w:r>
          </w:p>
        </w:tc>
        <w:tc>
          <w:tcPr>
            <w:tcW w:w="720"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88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w:t>
            </w:r>
          </w:p>
        </w:tc>
        <w:tc>
          <w:tcPr>
            <w:tcW w:w="116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45" w:hRule="atLeast"/>
          <w:jc w:val="center"/>
        </w:trPr>
        <w:tc>
          <w:tcPr>
            <w:tcW w:w="7313"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240" w:lineRule="exact"/>
              <w:jc w:val="center"/>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72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885"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61" w:type="dxa"/>
            <w:tcBorders>
              <w:top w:val="nil"/>
              <w:left w:val="nil"/>
              <w:bottom w:val="single" w:color="auto" w:sz="4" w:space="0"/>
              <w:right w:val="single" w:color="auto" w:sz="4" w:space="0"/>
            </w:tcBorders>
            <w:noWrap w:val="0"/>
            <w:vAlign w:val="center"/>
          </w:tcPr>
          <w:p>
            <w:pPr>
              <w:widowControl/>
              <w:spacing w:line="240" w:lineRule="exact"/>
              <w:jc w:val="left"/>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widowControl/>
        <w:spacing w:line="600" w:lineRule="exact"/>
        <w:jc w:val="left"/>
        <w:rPr>
          <w:rFonts w:hint="eastAsia" w:ascii="黑体" w:hAnsi="黑体" w:eastAsia="黑体" w:cs="黑体"/>
          <w:sz w:val="32"/>
          <w:szCs w:val="32"/>
          <w:highlight w:val="none"/>
          <w:lang w:val="en-US" w:eastAsia="zh-CN"/>
        </w:rPr>
      </w:pPr>
      <w:r>
        <w:rPr>
          <w:rFonts w:hint="default" w:ascii="Times New Roman" w:hAnsi="Times New Roman" w:eastAsia="仿宋_GB2312" w:cs="Times New Roman"/>
          <w:sz w:val="22"/>
          <w:szCs w:val="22"/>
          <w:highlight w:val="none"/>
        </w:rPr>
        <w:t>填表人：</w:t>
      </w:r>
      <w:r>
        <w:rPr>
          <w:rFonts w:hint="eastAsia" w:eastAsia="仿宋_GB2312" w:cs="Times New Roman"/>
          <w:sz w:val="22"/>
          <w:szCs w:val="22"/>
          <w:highlight w:val="none"/>
          <w:lang w:eastAsia="zh-CN"/>
        </w:rPr>
        <w:t>李英</w:t>
      </w:r>
      <w:r>
        <w:rPr>
          <w:rFonts w:hint="default" w:ascii="Times New Roman" w:hAnsi="Times New Roman" w:eastAsia="仿宋_GB2312" w:cs="Times New Roman"/>
          <w:sz w:val="22"/>
          <w:szCs w:val="22"/>
          <w:highlight w:val="none"/>
        </w:rPr>
        <w:t xml:space="preserve">      填报日期：</w:t>
      </w:r>
      <w:r>
        <w:rPr>
          <w:rFonts w:hint="eastAsia" w:eastAsia="仿宋_GB2312" w:cs="Times New Roman"/>
          <w:sz w:val="22"/>
          <w:szCs w:val="22"/>
          <w:highlight w:val="none"/>
          <w:lang w:val="en-US" w:eastAsia="zh-CN"/>
        </w:rPr>
        <w:t>2025.5.15</w:t>
      </w:r>
      <w:r>
        <w:rPr>
          <w:rFonts w:hint="default" w:ascii="Times New Roman" w:hAnsi="Times New Roman" w:eastAsia="仿宋_GB2312" w:cs="Times New Roman"/>
          <w:sz w:val="22"/>
          <w:szCs w:val="22"/>
          <w:highlight w:val="none"/>
        </w:rPr>
        <w:t xml:space="preserve">    联系电话：</w:t>
      </w:r>
      <w:r>
        <w:rPr>
          <w:rFonts w:hint="eastAsia" w:eastAsia="仿宋_GB2312" w:cs="Times New Roman"/>
          <w:sz w:val="22"/>
          <w:szCs w:val="22"/>
          <w:highlight w:val="none"/>
          <w:lang w:val="en-US" w:eastAsia="zh-CN"/>
        </w:rPr>
        <w:t>1333720733</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r>
        <w:rPr>
          <w:rFonts w:hint="default" w:ascii="Times New Roman" w:hAnsi="Times New Roman" w:eastAsia="仿宋_GB2312" w:cs="Times New Roman"/>
          <w:sz w:val="22"/>
          <w:szCs w:val="22"/>
          <w:highlight w:val="none"/>
        </w:rPr>
        <w:br w:type="page"/>
      </w: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keepNext w:val="0"/>
        <w:keepLines w:val="0"/>
        <w:pageBreakBefore w:val="0"/>
        <w:widowControl/>
        <w:kinsoku/>
        <w:wordWrap/>
        <w:overflowPunct/>
        <w:topLinePunct w:val="0"/>
        <w:autoSpaceDE/>
        <w:autoSpaceDN/>
        <w:bidi w:val="0"/>
        <w:adjustRightInd/>
        <w:snapToGrid/>
        <w:spacing w:line="400" w:lineRule="exact"/>
        <w:jc w:val="left"/>
        <w:textAlignment w:val="auto"/>
        <w:rPr>
          <w:rFonts w:hint="eastAsia" w:ascii="黑体" w:hAnsi="黑体" w:eastAsia="黑体" w:cs="黑体"/>
          <w:sz w:val="32"/>
          <w:szCs w:val="32"/>
          <w:highlight w:val="none"/>
          <w:lang w:val="en-US" w:eastAsia="zh-CN"/>
        </w:rPr>
      </w:pP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10008"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575"/>
      </w:tblGrid>
      <w:tr>
        <w:tblPrEx>
          <w:tblCellMar>
            <w:top w:w="0" w:type="dxa"/>
            <w:left w:w="108" w:type="dxa"/>
            <w:bottom w:w="0" w:type="dxa"/>
            <w:right w:w="108" w:type="dxa"/>
          </w:tblCellMar>
        </w:tblPrEx>
        <w:trPr>
          <w:trHeight w:val="695" w:hRule="atLeast"/>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928"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绿色建筑产业发展和散装水泥管理　</w:t>
            </w:r>
          </w:p>
        </w:tc>
      </w:tr>
      <w:tr>
        <w:tblPrEx>
          <w:tblCellMar>
            <w:top w:w="0" w:type="dxa"/>
            <w:left w:w="108" w:type="dxa"/>
            <w:bottom w:w="0" w:type="dxa"/>
            <w:right w:w="108" w:type="dxa"/>
          </w:tblCellMar>
        </w:tblPrEx>
        <w:trPr>
          <w:trHeight w:val="520" w:hRule="atLeast"/>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岳阳市住房和城乡建设局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276"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岳阳市绿色建筑产业发展服务中心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575"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trHeight w:val="395"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60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5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w:t>
            </w:r>
          </w:p>
        </w:tc>
      </w:tr>
      <w:tr>
        <w:tblPrEx>
          <w:tblCellMar>
            <w:top w:w="0" w:type="dxa"/>
            <w:left w:w="108" w:type="dxa"/>
            <w:bottom w:w="0" w:type="dxa"/>
            <w:right w:w="108" w:type="dxa"/>
          </w:tblCellMar>
        </w:tblPrEx>
        <w:trPr>
          <w:trHeight w:val="395"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5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8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5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1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5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55" w:hRule="atLeast"/>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41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sz w:val="20"/>
                <w:szCs w:val="20"/>
                <w:highlight w:val="none"/>
              </w:rPr>
              <w:t>中心城区6家烧制建筑用砖生产企业关停退出奖励</w:t>
            </w:r>
          </w:p>
        </w:tc>
        <w:tc>
          <w:tcPr>
            <w:tcW w:w="441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sz w:val="20"/>
                <w:szCs w:val="20"/>
                <w:highlight w:val="none"/>
              </w:rPr>
              <w:t>中心城区6家烧制建筑用砖生产企业关停退出奖励</w:t>
            </w:r>
            <w:r>
              <w:rPr>
                <w:rFonts w:hint="eastAsia" w:ascii="仿宋_GB2312" w:hAnsi="仿宋_GB2312" w:eastAsia="仿宋_GB2312" w:cs="仿宋_GB2312"/>
                <w:sz w:val="20"/>
                <w:szCs w:val="20"/>
                <w:highlight w:val="none"/>
                <w:lang w:eastAsia="zh-CN"/>
              </w:rPr>
              <w:t>完成</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5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trHeight w:val="48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6家企业</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56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不适用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不适用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0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本年内</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本年内</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575"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60万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60万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53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kern w:val="2"/>
                <w:sz w:val="20"/>
                <w:szCs w:val="20"/>
                <w:highlight w:val="none"/>
                <w:lang w:val="en-US" w:eastAsia="zh-CN" w:bidi="ar-SA"/>
              </w:rPr>
            </w:pPr>
          </w:p>
        </w:tc>
        <w:tc>
          <w:tcPr>
            <w:tcW w:w="1080" w:type="dxa"/>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不适用</w:t>
            </w:r>
          </w:p>
        </w:tc>
        <w:tc>
          <w:tcPr>
            <w:tcW w:w="1134" w:type="dxa"/>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不适用</w:t>
            </w:r>
          </w:p>
        </w:tc>
        <w:tc>
          <w:tcPr>
            <w:tcW w:w="1134" w:type="dxa"/>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w:t>
            </w:r>
          </w:p>
        </w:tc>
        <w:tc>
          <w:tcPr>
            <w:tcW w:w="828" w:type="dxa"/>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w:t>
            </w:r>
          </w:p>
        </w:tc>
        <w:tc>
          <w:tcPr>
            <w:tcW w:w="873" w:type="dxa"/>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 xml:space="preserve"> </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减少污染</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减少污染</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不适用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eastAsia="zh-CN"/>
              </w:rPr>
              <w:t>不适用</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企业满意度</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95%</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20</w:t>
            </w: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745" w:hRule="atLeast"/>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100</w:t>
            </w:r>
          </w:p>
        </w:tc>
        <w:tc>
          <w:tcPr>
            <w:tcW w:w="157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r>
    </w:tbl>
    <w:p>
      <w:pPr>
        <w:rPr>
          <w:rFonts w:hint="eastAsia" w:ascii="Times New Roman" w:hAnsi="Times New Roman" w:eastAsia="仿宋_GB2312" w:cs="Times New Roman"/>
          <w:sz w:val="18"/>
          <w:szCs w:val="18"/>
          <w:highlight w:val="none"/>
          <w:lang w:eastAsia="zh-CN"/>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rPr>
          <w:rFonts w:hint="default" w:ascii="Times New Roman" w:hAnsi="Times New Roman" w:eastAsia="仿宋_GB2312" w:cs="Times New Roman"/>
          <w:sz w:val="18"/>
          <w:szCs w:val="18"/>
          <w:highlight w:val="none"/>
          <w:lang w:eastAsia="zh-CN"/>
        </w:rPr>
      </w:pPr>
    </w:p>
    <w:p>
      <w:pPr>
        <w:rPr>
          <w:rFonts w:hint="default" w:ascii="Times New Roman" w:hAnsi="Times New Roman" w:eastAsia="仿宋_GB2312" w:cs="Times New Roman"/>
          <w:sz w:val="22"/>
          <w:szCs w:val="22"/>
          <w:highlight w:val="none"/>
        </w:rPr>
      </w:pPr>
      <w:r>
        <w:rPr>
          <w:rFonts w:hint="default" w:ascii="Times New Roman" w:hAnsi="Times New Roman" w:eastAsia="仿宋_GB2312" w:cs="Times New Roman"/>
          <w:sz w:val="22"/>
          <w:szCs w:val="22"/>
          <w:highlight w:val="none"/>
        </w:rPr>
        <w:t>填表人：</w:t>
      </w:r>
      <w:r>
        <w:rPr>
          <w:rFonts w:hint="eastAsia" w:eastAsia="仿宋_GB2312" w:cs="Times New Roman"/>
          <w:sz w:val="22"/>
          <w:szCs w:val="22"/>
          <w:highlight w:val="none"/>
          <w:lang w:eastAsia="zh-CN"/>
        </w:rPr>
        <w:t>李英</w:t>
      </w:r>
      <w:r>
        <w:rPr>
          <w:rFonts w:hint="default" w:ascii="Times New Roman" w:hAnsi="Times New Roman" w:eastAsia="仿宋_GB2312" w:cs="Times New Roman"/>
          <w:sz w:val="22"/>
          <w:szCs w:val="22"/>
          <w:highlight w:val="none"/>
        </w:rPr>
        <w:t xml:space="preserve">      填报日期：</w:t>
      </w:r>
      <w:r>
        <w:rPr>
          <w:rFonts w:hint="eastAsia" w:eastAsia="仿宋_GB2312" w:cs="Times New Roman"/>
          <w:sz w:val="22"/>
          <w:szCs w:val="22"/>
          <w:highlight w:val="none"/>
          <w:lang w:val="en-US" w:eastAsia="zh-CN"/>
        </w:rPr>
        <w:t>2025.5.15</w:t>
      </w:r>
      <w:r>
        <w:rPr>
          <w:rFonts w:hint="default" w:ascii="Times New Roman" w:hAnsi="Times New Roman" w:eastAsia="仿宋_GB2312" w:cs="Times New Roman"/>
          <w:sz w:val="22"/>
          <w:szCs w:val="22"/>
          <w:highlight w:val="none"/>
        </w:rPr>
        <w:t xml:space="preserve">    联系电话：</w:t>
      </w:r>
      <w:r>
        <w:rPr>
          <w:rFonts w:hint="eastAsia" w:eastAsia="仿宋_GB2312" w:cs="Times New Roman"/>
          <w:sz w:val="22"/>
          <w:szCs w:val="22"/>
          <w:highlight w:val="none"/>
          <w:lang w:val="en-US" w:eastAsia="zh-CN"/>
        </w:rPr>
        <w:t>1333720733</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p>
    <w:p>
      <w:pPr>
        <w:widowControl/>
        <w:spacing w:line="600" w:lineRule="exact"/>
        <w:jc w:val="left"/>
        <w:rPr>
          <w:rFonts w:hint="eastAsia" w:ascii="黑体" w:hAnsi="黑体" w:eastAsia="黑体" w:cs="黑体"/>
          <w:sz w:val="32"/>
          <w:szCs w:val="32"/>
          <w:highlight w:val="none"/>
        </w:rPr>
      </w:pPr>
    </w:p>
    <w:p>
      <w:pPr>
        <w:pStyle w:val="2"/>
        <w:rPr>
          <w:rFonts w:hint="eastAsia" w:ascii="黑体" w:hAnsi="黑体" w:eastAsia="黑体" w:cs="黑体"/>
          <w:sz w:val="32"/>
          <w:szCs w:val="32"/>
          <w:highlight w:val="none"/>
        </w:rPr>
      </w:pPr>
    </w:p>
    <w:p>
      <w:pPr>
        <w:pStyle w:val="2"/>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rPr>
      </w:pPr>
    </w:p>
    <w:p>
      <w:pPr>
        <w:widowControl/>
        <w:spacing w:line="600" w:lineRule="exact"/>
        <w:jc w:val="left"/>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3</w:t>
      </w:r>
    </w:p>
    <w:p>
      <w:pPr>
        <w:widowControl/>
        <w:spacing w:line="600" w:lineRule="exact"/>
        <w:jc w:val="center"/>
        <w:rPr>
          <w:rFonts w:hint="eastAsia" w:ascii="方正小标宋简体" w:hAnsi="方正小标宋简体" w:eastAsia="方正小标宋简体" w:cs="方正小标宋简体"/>
          <w:color w:val="000000"/>
          <w:sz w:val="36"/>
          <w:szCs w:val="36"/>
          <w:highlight w:val="none"/>
        </w:rPr>
      </w:pPr>
      <w:r>
        <w:rPr>
          <w:rFonts w:hint="eastAsia" w:ascii="方正小标宋简体" w:hAnsi="方正小标宋简体" w:eastAsia="方正小标宋简体" w:cs="方正小标宋简体"/>
          <w:color w:val="000000"/>
          <w:sz w:val="36"/>
          <w:szCs w:val="36"/>
          <w:highlight w:val="none"/>
        </w:rPr>
        <w:t>202</w:t>
      </w:r>
      <w:r>
        <w:rPr>
          <w:rFonts w:hint="eastAsia" w:ascii="方正小标宋简体" w:hAnsi="方正小标宋简体" w:eastAsia="方正小标宋简体" w:cs="方正小标宋简体"/>
          <w:color w:val="000000"/>
          <w:sz w:val="36"/>
          <w:szCs w:val="36"/>
          <w:highlight w:val="none"/>
          <w:lang w:val="en-US" w:eastAsia="zh-CN"/>
        </w:rPr>
        <w:t>4</w:t>
      </w:r>
      <w:r>
        <w:rPr>
          <w:rFonts w:hint="eastAsia" w:ascii="方正小标宋简体" w:hAnsi="方正小标宋简体" w:eastAsia="方正小标宋简体" w:cs="方正小标宋简体"/>
          <w:color w:val="000000"/>
          <w:sz w:val="36"/>
          <w:szCs w:val="36"/>
          <w:highlight w:val="none"/>
        </w:rPr>
        <w:t>年度项目支出绩效自评表</w:t>
      </w:r>
    </w:p>
    <w:tbl>
      <w:tblPr>
        <w:tblStyle w:val="10"/>
        <w:tblW w:w="10058" w:type="dxa"/>
        <w:jc w:val="center"/>
        <w:tblLayout w:type="autofit"/>
        <w:tblCellMar>
          <w:top w:w="0" w:type="dxa"/>
          <w:left w:w="108" w:type="dxa"/>
          <w:bottom w:w="0" w:type="dxa"/>
          <w:right w:w="108" w:type="dxa"/>
        </w:tblCellMar>
      </w:tblPr>
      <w:tblGrid>
        <w:gridCol w:w="1080"/>
        <w:gridCol w:w="1080"/>
        <w:gridCol w:w="1080"/>
        <w:gridCol w:w="1224"/>
        <w:gridCol w:w="1134"/>
        <w:gridCol w:w="1134"/>
        <w:gridCol w:w="828"/>
        <w:gridCol w:w="873"/>
        <w:gridCol w:w="1625"/>
      </w:tblGrid>
      <w:tr>
        <w:tblPrEx>
          <w:tblCellMar>
            <w:top w:w="0" w:type="dxa"/>
            <w:left w:w="108" w:type="dxa"/>
            <w:bottom w:w="0" w:type="dxa"/>
            <w:right w:w="108" w:type="dxa"/>
          </w:tblCellMar>
        </w:tblPrEx>
        <w:trPr>
          <w:jc w:val="center"/>
        </w:trPr>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项目支</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出名称</w:t>
            </w:r>
          </w:p>
        </w:tc>
        <w:tc>
          <w:tcPr>
            <w:tcW w:w="8978" w:type="dxa"/>
            <w:gridSpan w:val="8"/>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可再生能源、绿色建筑产业发展配套资金　</w:t>
            </w:r>
          </w:p>
        </w:tc>
      </w:tr>
      <w:tr>
        <w:tblPrEx>
          <w:tblCellMar>
            <w:top w:w="0" w:type="dxa"/>
            <w:left w:w="108" w:type="dxa"/>
            <w:bottom w:w="0" w:type="dxa"/>
            <w:right w:w="108" w:type="dxa"/>
          </w:tblCellMar>
        </w:tblPrEx>
        <w:trPr>
          <w:trHeight w:val="410" w:hRule="atLeast"/>
          <w:jc w:val="center"/>
        </w:trPr>
        <w:tc>
          <w:tcPr>
            <w:tcW w:w="1080" w:type="dxa"/>
            <w:tcBorders>
              <w:top w:val="nil"/>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主管部门</w:t>
            </w:r>
          </w:p>
        </w:tc>
        <w:tc>
          <w:tcPr>
            <w:tcW w:w="4518"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岳阳市住房和城乡建设局</w:t>
            </w:r>
          </w:p>
        </w:tc>
        <w:tc>
          <w:tcPr>
            <w:tcW w:w="1134" w:type="dxa"/>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实施单位</w:t>
            </w:r>
          </w:p>
        </w:tc>
        <w:tc>
          <w:tcPr>
            <w:tcW w:w="3326" w:type="dxa"/>
            <w:gridSpan w:val="3"/>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岳阳市绿色建筑产业发展服务中心</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rPr>
              <w:t>项目资金</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（万元）</w:t>
            </w: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年初</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全年</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预算数</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全年</w:t>
            </w:r>
          </w:p>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执行数</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执行率</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得分</w:t>
            </w:r>
          </w:p>
        </w:tc>
      </w:tr>
      <w:tr>
        <w:tblPrEx>
          <w:tblCellMar>
            <w:top w:w="0" w:type="dxa"/>
            <w:left w:w="108" w:type="dxa"/>
            <w:bottom w:w="0" w:type="dxa"/>
            <w:right w:w="108" w:type="dxa"/>
          </w:tblCellMar>
        </w:tblPrEx>
        <w:trPr>
          <w:trHeight w:val="41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年度资金总额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40.87</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81%</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8.10</w:t>
            </w:r>
          </w:p>
        </w:tc>
      </w:tr>
      <w:tr>
        <w:tblPrEx>
          <w:tblCellMar>
            <w:top w:w="0" w:type="dxa"/>
            <w:left w:w="108" w:type="dxa"/>
            <w:bottom w:w="0" w:type="dxa"/>
            <w:right w:w="108" w:type="dxa"/>
          </w:tblCellMar>
        </w:tblPrEx>
        <w:trPr>
          <w:trHeight w:val="335"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其中：当年财政拨款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50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40.87</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8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上年结转资金　</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50" w:hRule="atLeast"/>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2160" w:type="dxa"/>
            <w:gridSpan w:val="2"/>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600" w:firstLineChars="30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其他资金</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50" w:hRule="atLeast"/>
          <w:jc w:val="center"/>
        </w:trPr>
        <w:tc>
          <w:tcPr>
            <w:tcW w:w="1080" w:type="dxa"/>
            <w:vMerge w:val="restart"/>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年度总体目标</w:t>
            </w: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预期目标</w:t>
            </w:r>
          </w:p>
        </w:tc>
        <w:tc>
          <w:tcPr>
            <w:tcW w:w="446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实际完成情况　</w:t>
            </w:r>
          </w:p>
        </w:tc>
      </w:tr>
      <w:tr>
        <w:tblPrEx>
          <w:tblCellMar>
            <w:top w:w="0" w:type="dxa"/>
            <w:left w:w="108" w:type="dxa"/>
            <w:bottom w:w="0" w:type="dxa"/>
            <w:right w:w="108" w:type="dxa"/>
          </w:tblCellMar>
        </w:tblPrEx>
        <w:trPr>
          <w:jc w:val="center"/>
        </w:trPr>
        <w:tc>
          <w:tcPr>
            <w:tcW w:w="1080" w:type="dxa"/>
            <w:vMerge w:val="continue"/>
            <w:tcBorders>
              <w:top w:val="nil"/>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4518" w:type="dxa"/>
            <w:gridSpan w:val="4"/>
            <w:tcBorders>
              <w:top w:val="single" w:color="auto" w:sz="4" w:space="0"/>
              <w:left w:val="nil"/>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具体目标如下：一、项目评定和展示≥10家、二、既有建筑节能改造项目评审工作、三、可再生能源、建筑节能、和绿色建筑应用宣传培训、四、建材管理系统维护和数据公示　　</w:t>
            </w:r>
          </w:p>
        </w:tc>
        <w:tc>
          <w:tcPr>
            <w:tcW w:w="4460" w:type="dxa"/>
            <w:gridSpan w:val="4"/>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一、项目评定和展示10家、二、</w:t>
            </w:r>
            <w:r>
              <w:rPr>
                <w:rFonts w:hint="eastAsia" w:ascii="仿宋_GB2312" w:hAnsi="仿宋_GB2312" w:eastAsia="仿宋_GB2312" w:cs="仿宋_GB2312"/>
                <w:color w:val="000000"/>
                <w:sz w:val="20"/>
                <w:szCs w:val="20"/>
                <w:highlight w:val="none"/>
                <w:lang w:eastAsia="zh-CN"/>
              </w:rPr>
              <w:t>完成</w:t>
            </w:r>
            <w:r>
              <w:rPr>
                <w:rFonts w:hint="eastAsia" w:ascii="仿宋_GB2312" w:hAnsi="仿宋_GB2312" w:eastAsia="仿宋_GB2312" w:cs="仿宋_GB2312"/>
                <w:color w:val="000000"/>
                <w:sz w:val="20"/>
                <w:szCs w:val="20"/>
                <w:highlight w:val="none"/>
              </w:rPr>
              <w:t>既有建筑节能改造项目评审工作、三、</w:t>
            </w:r>
            <w:r>
              <w:rPr>
                <w:rFonts w:hint="eastAsia" w:ascii="仿宋_GB2312" w:hAnsi="仿宋_GB2312" w:eastAsia="仿宋_GB2312" w:cs="仿宋_GB2312"/>
                <w:color w:val="000000"/>
                <w:sz w:val="20"/>
                <w:szCs w:val="20"/>
                <w:highlight w:val="none"/>
                <w:lang w:eastAsia="zh-CN"/>
              </w:rPr>
              <w:t>完成</w:t>
            </w:r>
            <w:r>
              <w:rPr>
                <w:rFonts w:hint="eastAsia" w:ascii="仿宋_GB2312" w:hAnsi="仿宋_GB2312" w:eastAsia="仿宋_GB2312" w:cs="仿宋_GB2312"/>
                <w:color w:val="000000"/>
                <w:sz w:val="20"/>
                <w:szCs w:val="20"/>
                <w:highlight w:val="none"/>
              </w:rPr>
              <w:t>可再生能源、建筑节能、和绿色建筑应用宣传培训、四、建材管理系统维护和数据公示　</w:t>
            </w:r>
          </w:p>
        </w:tc>
      </w:tr>
      <w:tr>
        <w:tblPrEx>
          <w:tblCellMar>
            <w:top w:w="0" w:type="dxa"/>
            <w:left w:w="108" w:type="dxa"/>
            <w:bottom w:w="0" w:type="dxa"/>
            <w:right w:w="108" w:type="dxa"/>
          </w:tblCellMar>
        </w:tblPrEx>
        <w:trPr>
          <w:jc w:val="center"/>
        </w:trPr>
        <w:tc>
          <w:tcPr>
            <w:tcW w:w="1080" w:type="dxa"/>
            <w:vMerge w:val="restart"/>
            <w:tcBorders>
              <w:top w:val="nil"/>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绩</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一级指标</w:t>
            </w:r>
          </w:p>
        </w:tc>
        <w:tc>
          <w:tcPr>
            <w:tcW w:w="1080"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二级指标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三级指标</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年度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指标值</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实际</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完成值</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分值</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得分</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both"/>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偏差原因分析及改进措施</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产出指标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(50分)</w:t>
            </w:r>
          </w:p>
        </w:tc>
        <w:tc>
          <w:tcPr>
            <w:tcW w:w="1080" w:type="dxa"/>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数量指标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项目评定和展示</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w:t>
            </w:r>
            <w:r>
              <w:rPr>
                <w:rFonts w:hint="eastAsia" w:ascii="仿宋_GB2312" w:hAnsi="仿宋_GB2312" w:eastAsia="仿宋_GB2312" w:cs="仿宋_GB2312"/>
                <w:color w:val="000000"/>
                <w:sz w:val="20"/>
                <w:szCs w:val="20"/>
                <w:highlight w:val="none"/>
                <w:lang w:val="en-US" w:eastAsia="zh-CN"/>
              </w:rPr>
              <w:t>10家</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10家</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质量指标</w:t>
            </w:r>
          </w:p>
        </w:tc>
        <w:tc>
          <w:tcPr>
            <w:tcW w:w="1224" w:type="dxa"/>
            <w:tcBorders>
              <w:top w:val="nil"/>
              <w:left w:val="nil"/>
              <w:bottom w:val="single" w:color="auto" w:sz="4" w:space="0"/>
              <w:right w:val="single" w:color="auto" w:sz="4" w:space="0"/>
            </w:tcBorders>
            <w:noWrap w:val="0"/>
            <w:vAlign w:val="center"/>
          </w:tcPr>
          <w:p>
            <w:pPr>
              <w:keepNext w:val="0"/>
              <w:keepLines w:val="0"/>
              <w:widowControl/>
              <w:suppressLineNumbers w:val="0"/>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i w:val="0"/>
                <w:iCs w:val="0"/>
                <w:color w:val="000000"/>
                <w:kern w:val="2"/>
                <w:sz w:val="20"/>
                <w:szCs w:val="20"/>
                <w:highlight w:val="none"/>
                <w:u w:val="none"/>
                <w:lang w:val="en-US" w:eastAsia="zh-CN" w:bidi="ar"/>
              </w:rPr>
              <w:t>通过检查或验收</w:t>
            </w:r>
          </w:p>
        </w:tc>
        <w:tc>
          <w:tcPr>
            <w:tcW w:w="1134" w:type="dxa"/>
            <w:tcBorders>
              <w:top w:val="nil"/>
              <w:left w:val="nil"/>
              <w:bottom w:val="single" w:color="auto" w:sz="4" w:space="0"/>
              <w:right w:val="single" w:color="auto" w:sz="4" w:space="0"/>
            </w:tcBorders>
            <w:noWrap w:val="0"/>
            <w:vAlign w:val="center"/>
          </w:tcPr>
          <w:p>
            <w:pPr>
              <w:keepNext w:val="0"/>
              <w:keepLines w:val="0"/>
              <w:widowControl/>
              <w:suppressLineNumbers w:val="0"/>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i w:val="0"/>
                <w:iCs w:val="0"/>
                <w:color w:val="000000"/>
                <w:kern w:val="2"/>
                <w:sz w:val="20"/>
                <w:szCs w:val="20"/>
                <w:highlight w:val="none"/>
                <w:u w:val="none"/>
                <w:lang w:val="en-US" w:eastAsia="zh-CN" w:bidi="ar"/>
              </w:rPr>
              <w:t>10家</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10家</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时效指标</w:t>
            </w:r>
          </w:p>
        </w:tc>
        <w:tc>
          <w:tcPr>
            <w:tcW w:w="1224" w:type="dxa"/>
            <w:tcBorders>
              <w:top w:val="nil"/>
              <w:left w:val="nil"/>
              <w:bottom w:val="single" w:color="auto" w:sz="4" w:space="0"/>
              <w:right w:val="single" w:color="auto" w:sz="4" w:space="0"/>
            </w:tcBorders>
            <w:noWrap w:val="0"/>
            <w:vAlign w:val="center"/>
          </w:tcPr>
          <w:p>
            <w:pPr>
              <w:keepNext w:val="0"/>
              <w:keepLines w:val="0"/>
              <w:widowControl/>
              <w:suppressLineNumbers w:val="0"/>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i w:val="0"/>
                <w:iCs w:val="0"/>
                <w:color w:val="000000"/>
                <w:kern w:val="2"/>
                <w:sz w:val="20"/>
                <w:szCs w:val="20"/>
                <w:highlight w:val="none"/>
                <w:u w:val="none"/>
                <w:lang w:val="en-US" w:eastAsia="zh-CN" w:bidi="ar"/>
              </w:rPr>
              <w:t>城镇新建建筑节能标准施工执行率</w:t>
            </w:r>
          </w:p>
        </w:tc>
        <w:tc>
          <w:tcPr>
            <w:tcW w:w="1134" w:type="dxa"/>
            <w:tcBorders>
              <w:top w:val="nil"/>
              <w:left w:val="nil"/>
              <w:bottom w:val="single" w:color="auto" w:sz="4" w:space="0"/>
              <w:right w:val="single" w:color="auto" w:sz="4" w:space="0"/>
            </w:tcBorders>
            <w:noWrap w:val="0"/>
            <w:vAlign w:val="center"/>
          </w:tcPr>
          <w:p>
            <w:pPr>
              <w:keepNext w:val="0"/>
              <w:keepLines w:val="0"/>
              <w:widowControl/>
              <w:suppressLineNumbers w:val="0"/>
              <w:spacing w:line="260" w:lineRule="exact"/>
              <w:jc w:val="center"/>
              <w:textAlignment w:val="auto"/>
              <w:rPr>
                <w:rFonts w:hint="default" w:ascii="仿宋_GB2312" w:hAnsi="仿宋_GB2312" w:eastAsia="仿宋_GB2312" w:cs="仿宋_GB2312"/>
                <w:color w:val="000000"/>
                <w:sz w:val="20"/>
                <w:szCs w:val="20"/>
                <w:highlight w:val="none"/>
                <w:lang w:val="en-US"/>
              </w:rPr>
            </w:pPr>
            <w:r>
              <w:rPr>
                <w:rFonts w:hint="eastAsia" w:ascii="仿宋_GB2312" w:hAnsi="仿宋_GB2312" w:eastAsia="仿宋_GB2312" w:cs="仿宋_GB2312"/>
                <w:i w:val="0"/>
                <w:iCs w:val="0"/>
                <w:color w:val="000000"/>
                <w:kern w:val="2"/>
                <w:sz w:val="20"/>
                <w:szCs w:val="20"/>
                <w:highlight w:val="none"/>
                <w:u w:val="none"/>
                <w:lang w:val="en-US" w:eastAsia="zh-CN" w:bidi="ar"/>
              </w:rPr>
              <w:t>50%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i w:val="0"/>
                <w:iCs w:val="0"/>
                <w:color w:val="000000"/>
                <w:kern w:val="2"/>
                <w:sz w:val="20"/>
                <w:szCs w:val="20"/>
                <w:highlight w:val="none"/>
                <w:u w:val="none"/>
                <w:lang w:val="en-US" w:eastAsia="zh-CN" w:bidi="ar"/>
              </w:rPr>
              <w:t>50%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5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成本指标</w:t>
            </w: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预算内</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40.87</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8</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效益指标</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（30分）</w:t>
            </w:r>
          </w:p>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经济效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default" w:ascii="仿宋_GB2312" w:hAnsi="仿宋_GB2312" w:eastAsia="仿宋_GB2312" w:cs="仿宋_GB2312"/>
                <w:color w:val="000000"/>
                <w:sz w:val="20"/>
                <w:szCs w:val="20"/>
                <w:highlight w:val="none"/>
                <w:lang w:val="en-US" w:eastAsia="zh-CN"/>
              </w:rPr>
              <w:t>绿色建筑竣工面积比率</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50%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社会效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提高社会公众的节能环保意识</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显著提高</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生态效</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i w:val="0"/>
                <w:iCs w:val="0"/>
                <w:color w:val="000000"/>
                <w:kern w:val="2"/>
                <w:sz w:val="20"/>
                <w:szCs w:val="20"/>
                <w:highlight w:val="none"/>
                <w:u w:val="none"/>
                <w:lang w:val="en-US" w:eastAsia="zh-CN" w:bidi="ar"/>
              </w:rPr>
              <w:t>减轻环境污染，</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i w:val="0"/>
                <w:iCs w:val="0"/>
                <w:color w:val="000000"/>
                <w:kern w:val="2"/>
                <w:sz w:val="20"/>
                <w:szCs w:val="20"/>
                <w:highlight w:val="none"/>
                <w:u w:val="none"/>
                <w:lang w:val="en-US" w:eastAsia="zh-CN" w:bidi="ar"/>
              </w:rPr>
              <w:t>逐步改善</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i w:val="0"/>
                <w:iCs w:val="0"/>
                <w:color w:val="000000"/>
                <w:kern w:val="2"/>
                <w:sz w:val="20"/>
                <w:szCs w:val="20"/>
                <w:highlight w:val="none"/>
                <w:u w:val="none"/>
                <w:lang w:val="en-US" w:eastAsia="zh-CN" w:bidi="ar"/>
              </w:rPr>
              <w:t>提高全社会的节能、环保意识、倡导绿色低碳发展理念</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i w:val="0"/>
                <w:iCs w:val="0"/>
                <w:color w:val="000000"/>
                <w:kern w:val="2"/>
                <w:sz w:val="20"/>
                <w:szCs w:val="20"/>
                <w:highlight w:val="none"/>
                <w:u w:val="none"/>
                <w:lang w:val="en-US" w:eastAsia="zh-CN" w:bidi="ar"/>
              </w:rPr>
              <w:t>不断提高</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完成</w:t>
            </w:r>
          </w:p>
        </w:tc>
        <w:tc>
          <w:tcPr>
            <w:tcW w:w="82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2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39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满意度</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指标</w:t>
            </w:r>
          </w:p>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（10分）</w:t>
            </w:r>
          </w:p>
        </w:tc>
        <w:tc>
          <w:tcPr>
            <w:tcW w:w="1080" w:type="dxa"/>
            <w:vMerge w:val="restart"/>
            <w:tcBorders>
              <w:top w:val="single" w:color="auto" w:sz="4" w:space="0"/>
              <w:left w:val="nil"/>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服务对象满意度指标</w:t>
            </w:r>
          </w:p>
        </w:tc>
        <w:tc>
          <w:tcPr>
            <w:tcW w:w="122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群众满意度</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828"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25" w:type="dxa"/>
            <w:tcBorders>
              <w:top w:val="single" w:color="auto" w:sz="4" w:space="0"/>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50" w:hRule="atLeast"/>
          <w:jc w:val="center"/>
        </w:trPr>
        <w:tc>
          <w:tcPr>
            <w:tcW w:w="108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080" w:type="dxa"/>
            <w:vMerge w:val="continue"/>
            <w:tcBorders>
              <w:left w:val="nil"/>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p>
        </w:tc>
        <w:tc>
          <w:tcPr>
            <w:tcW w:w="122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lang w:eastAsia="zh-CN"/>
              </w:rPr>
            </w:pPr>
            <w:r>
              <w:rPr>
                <w:rFonts w:hint="eastAsia" w:ascii="仿宋_GB2312" w:hAnsi="仿宋_GB2312" w:eastAsia="仿宋_GB2312" w:cs="仿宋_GB2312"/>
                <w:color w:val="000000"/>
                <w:sz w:val="20"/>
                <w:szCs w:val="20"/>
                <w:highlight w:val="none"/>
                <w:lang w:eastAsia="zh-CN"/>
              </w:rPr>
              <w:t>企业</w:t>
            </w:r>
            <w:r>
              <w:rPr>
                <w:rFonts w:hint="eastAsia" w:ascii="仿宋_GB2312" w:hAnsi="仿宋_GB2312" w:eastAsia="仿宋_GB2312" w:cs="仿宋_GB2312"/>
                <w:color w:val="000000"/>
                <w:sz w:val="20"/>
                <w:szCs w:val="20"/>
                <w:highlight w:val="none"/>
              </w:rPr>
              <w:t>满意度</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1134"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90%</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lang w:val="en-US" w:eastAsia="zh-CN"/>
              </w:rPr>
              <w:t>10</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r>
        <w:tblPrEx>
          <w:tblCellMar>
            <w:top w:w="0" w:type="dxa"/>
            <w:left w:w="108" w:type="dxa"/>
            <w:bottom w:w="0" w:type="dxa"/>
            <w:right w:w="108" w:type="dxa"/>
          </w:tblCellMar>
        </w:tblPrEx>
        <w:trPr>
          <w:trHeight w:val="420" w:hRule="atLeast"/>
          <w:jc w:val="center"/>
        </w:trPr>
        <w:tc>
          <w:tcPr>
            <w:tcW w:w="6732" w:type="dxa"/>
            <w:gridSpan w:val="6"/>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总分</w:t>
            </w:r>
          </w:p>
        </w:tc>
        <w:tc>
          <w:tcPr>
            <w:tcW w:w="828"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center"/>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100</w:t>
            </w:r>
          </w:p>
        </w:tc>
        <w:tc>
          <w:tcPr>
            <w:tcW w:w="873"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default" w:ascii="仿宋_GB2312" w:hAnsi="仿宋_GB2312" w:eastAsia="仿宋_GB2312" w:cs="仿宋_GB2312"/>
                <w:color w:val="000000"/>
                <w:sz w:val="20"/>
                <w:szCs w:val="20"/>
                <w:highlight w:val="none"/>
                <w:lang w:val="en-US" w:eastAsia="zh-CN"/>
              </w:rPr>
            </w:pPr>
            <w:r>
              <w:rPr>
                <w:rFonts w:hint="eastAsia" w:ascii="仿宋_GB2312" w:hAnsi="仿宋_GB2312" w:eastAsia="仿宋_GB2312" w:cs="仿宋_GB2312"/>
                <w:color w:val="000000"/>
                <w:sz w:val="20"/>
                <w:szCs w:val="20"/>
                <w:highlight w:val="none"/>
              </w:rPr>
              <w:t>　</w:t>
            </w:r>
            <w:r>
              <w:rPr>
                <w:rFonts w:hint="eastAsia" w:ascii="仿宋_GB2312" w:hAnsi="仿宋_GB2312" w:eastAsia="仿宋_GB2312" w:cs="仿宋_GB2312"/>
                <w:color w:val="000000"/>
                <w:sz w:val="20"/>
                <w:szCs w:val="20"/>
                <w:highlight w:val="none"/>
                <w:lang w:val="en-US" w:eastAsia="zh-CN"/>
              </w:rPr>
              <w:t>98</w:t>
            </w:r>
          </w:p>
        </w:tc>
        <w:tc>
          <w:tcPr>
            <w:tcW w:w="1625" w:type="dxa"/>
            <w:tcBorders>
              <w:top w:val="nil"/>
              <w:left w:val="nil"/>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60" w:lineRule="exact"/>
              <w:jc w:val="left"/>
              <w:textAlignment w:val="auto"/>
              <w:rPr>
                <w:rFonts w:hint="eastAsia" w:ascii="仿宋_GB2312" w:hAnsi="仿宋_GB2312" w:eastAsia="仿宋_GB2312" w:cs="仿宋_GB2312"/>
                <w:color w:val="000000"/>
                <w:sz w:val="20"/>
                <w:szCs w:val="20"/>
                <w:highlight w:val="none"/>
              </w:rPr>
            </w:pPr>
            <w:r>
              <w:rPr>
                <w:rFonts w:hint="eastAsia" w:ascii="仿宋_GB2312" w:hAnsi="仿宋_GB2312" w:eastAsia="仿宋_GB2312" w:cs="仿宋_GB2312"/>
                <w:color w:val="000000"/>
                <w:sz w:val="20"/>
                <w:szCs w:val="20"/>
                <w:highlight w:val="none"/>
              </w:rPr>
              <w:t>　</w:t>
            </w:r>
          </w:p>
        </w:tc>
      </w:tr>
    </w:tbl>
    <w:p>
      <w:pPr>
        <w:rPr>
          <w:rFonts w:hint="eastAsia" w:ascii="Times New Roman" w:hAnsi="Times New Roman" w:eastAsia="仿宋_GB2312" w:cs="Times New Roman"/>
          <w:sz w:val="18"/>
          <w:szCs w:val="18"/>
          <w:highlight w:val="none"/>
          <w:lang w:eastAsia="zh-CN"/>
        </w:rPr>
      </w:pPr>
      <w:r>
        <w:rPr>
          <w:rFonts w:hint="default" w:ascii="Times New Roman" w:hAnsi="Times New Roman" w:eastAsia="仿宋_GB2312" w:cs="Times New Roman"/>
          <w:sz w:val="18"/>
          <w:szCs w:val="18"/>
          <w:highlight w:val="none"/>
        </w:rPr>
        <w:t>备注：一个一级项目支出一张表。</w:t>
      </w:r>
      <w:r>
        <w:rPr>
          <w:rFonts w:hint="eastAsia" w:ascii="Times New Roman" w:hAnsi="Times New Roman" w:eastAsia="仿宋_GB2312" w:cs="Times New Roman"/>
          <w:sz w:val="18"/>
          <w:szCs w:val="18"/>
          <w:highlight w:val="none"/>
          <w:lang w:eastAsia="zh-CN"/>
        </w:rPr>
        <w:t>如，</w:t>
      </w:r>
      <w:r>
        <w:rPr>
          <w:rFonts w:hint="default" w:ascii="Times New Roman" w:hAnsi="Times New Roman" w:eastAsia="仿宋_GB2312" w:cs="Times New Roman"/>
          <w:sz w:val="18"/>
          <w:szCs w:val="18"/>
          <w:highlight w:val="none"/>
        </w:rPr>
        <w:t>业务工作经费</w:t>
      </w:r>
      <w:r>
        <w:rPr>
          <w:rFonts w:hint="eastAsia" w:ascii="Times New Roman" w:hAnsi="Times New Roman" w:eastAsia="仿宋_GB2312" w:cs="Times New Roman"/>
          <w:sz w:val="18"/>
          <w:szCs w:val="18"/>
          <w:highlight w:val="none"/>
          <w:lang w:eastAsia="zh-CN"/>
        </w:rPr>
        <w:t>，</w:t>
      </w:r>
      <w:r>
        <w:rPr>
          <w:rFonts w:hint="default" w:ascii="Times New Roman" w:hAnsi="Times New Roman" w:eastAsia="仿宋_GB2312" w:cs="Times New Roman"/>
          <w:sz w:val="18"/>
          <w:szCs w:val="18"/>
          <w:highlight w:val="none"/>
        </w:rPr>
        <w:t>运行维护经费</w:t>
      </w:r>
      <w:r>
        <w:rPr>
          <w:rFonts w:hint="eastAsia" w:ascii="Times New Roman" w:hAnsi="Times New Roman" w:eastAsia="仿宋_GB2312" w:cs="Times New Roman"/>
          <w:sz w:val="18"/>
          <w:szCs w:val="18"/>
          <w:highlight w:val="none"/>
          <w:lang w:eastAsia="zh-CN"/>
        </w:rPr>
        <w:t>，其他事业发展类资金…各一张表。</w:t>
      </w:r>
    </w:p>
    <w:p>
      <w:pPr>
        <w:pStyle w:val="2"/>
        <w:ind w:left="0" w:leftChars="0" w:firstLine="0" w:firstLineChars="0"/>
      </w:pPr>
      <w:r>
        <w:rPr>
          <w:rFonts w:hint="default" w:ascii="Times New Roman" w:hAnsi="Times New Roman" w:eastAsia="仿宋_GB2312" w:cs="Times New Roman"/>
          <w:sz w:val="22"/>
          <w:szCs w:val="22"/>
          <w:highlight w:val="none"/>
        </w:rPr>
        <w:t>填表人：</w:t>
      </w:r>
      <w:r>
        <w:rPr>
          <w:rFonts w:hint="eastAsia" w:eastAsia="仿宋_GB2312" w:cs="Times New Roman"/>
          <w:sz w:val="22"/>
          <w:szCs w:val="22"/>
          <w:highlight w:val="none"/>
          <w:lang w:eastAsia="zh-CN"/>
        </w:rPr>
        <w:t>李英</w:t>
      </w:r>
      <w:r>
        <w:rPr>
          <w:rFonts w:hint="default" w:ascii="Times New Roman" w:hAnsi="Times New Roman" w:eastAsia="仿宋_GB2312" w:cs="Times New Roman"/>
          <w:sz w:val="22"/>
          <w:szCs w:val="22"/>
          <w:highlight w:val="none"/>
        </w:rPr>
        <w:t xml:space="preserve">      填报日期：</w:t>
      </w:r>
      <w:r>
        <w:rPr>
          <w:rFonts w:hint="eastAsia" w:eastAsia="仿宋_GB2312" w:cs="Times New Roman"/>
          <w:sz w:val="22"/>
          <w:szCs w:val="22"/>
          <w:highlight w:val="none"/>
          <w:lang w:val="en-US" w:eastAsia="zh-CN"/>
        </w:rPr>
        <w:t>2025.5.15</w:t>
      </w:r>
      <w:r>
        <w:rPr>
          <w:rFonts w:hint="default" w:ascii="Times New Roman" w:hAnsi="Times New Roman" w:eastAsia="仿宋_GB2312" w:cs="Times New Roman"/>
          <w:sz w:val="22"/>
          <w:szCs w:val="22"/>
          <w:highlight w:val="none"/>
        </w:rPr>
        <w:t xml:space="preserve">    联系电话：</w:t>
      </w:r>
      <w:r>
        <w:rPr>
          <w:rFonts w:hint="eastAsia" w:eastAsia="仿宋_GB2312" w:cs="Times New Roman"/>
          <w:sz w:val="22"/>
          <w:szCs w:val="22"/>
          <w:highlight w:val="none"/>
          <w:lang w:val="en-US" w:eastAsia="zh-CN"/>
        </w:rPr>
        <w:t>1333720733</w:t>
      </w:r>
      <w:r>
        <w:rPr>
          <w:rFonts w:hint="default" w:ascii="Times New Roman" w:hAnsi="Times New Roman" w:eastAsia="仿宋_GB2312" w:cs="Times New Roman"/>
          <w:sz w:val="22"/>
          <w:szCs w:val="22"/>
          <w:highlight w:val="none"/>
        </w:rPr>
        <w:t xml:space="preserve">     </w:t>
      </w:r>
      <w:r>
        <w:rPr>
          <w:rFonts w:hint="eastAsia" w:ascii="Times New Roman" w:hAnsi="Times New Roman" w:eastAsia="仿宋_GB2312" w:cs="Times New Roman"/>
          <w:sz w:val="22"/>
          <w:szCs w:val="22"/>
          <w:highlight w:val="none"/>
          <w:lang w:val="en-US" w:eastAsia="zh-CN"/>
        </w:rPr>
        <w:t xml:space="preserve"> </w:t>
      </w:r>
      <w:r>
        <w:rPr>
          <w:rFonts w:hint="default" w:ascii="Times New Roman" w:hAnsi="Times New Roman" w:eastAsia="仿宋_GB2312" w:cs="Times New Roman"/>
          <w:sz w:val="22"/>
          <w:szCs w:val="22"/>
          <w:highlight w:val="none"/>
        </w:rPr>
        <w:t>单位负责人签字：</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DECFD4"/>
    <w:multiLevelType w:val="singleLevel"/>
    <w:tmpl w:val="8EDECFD4"/>
    <w:lvl w:ilvl="0" w:tentative="0">
      <w:start w:val="3"/>
      <w:numFmt w:val="chineseCounting"/>
      <w:suff w:val="nothing"/>
      <w:lvlText w:val="（%1）"/>
      <w:lvlJc w:val="left"/>
      <w:rPr>
        <w:rFonts w:hint="eastAsia"/>
      </w:rPr>
    </w:lvl>
  </w:abstractNum>
  <w:abstractNum w:abstractNumId="1">
    <w:nsid w:val="99E3DF53"/>
    <w:multiLevelType w:val="singleLevel"/>
    <w:tmpl w:val="99E3DF53"/>
    <w:lvl w:ilvl="0" w:tentative="0">
      <w:start w:val="8"/>
      <w:numFmt w:val="chineseCounting"/>
      <w:suff w:val="nothing"/>
      <w:lvlText w:val="%1、"/>
      <w:lvlJc w:val="left"/>
      <w:rPr>
        <w:rFonts w:hint="eastAsia"/>
      </w:rPr>
    </w:lvl>
  </w:abstractNum>
  <w:abstractNum w:abstractNumId="2">
    <w:nsid w:val="B7C2D3DF"/>
    <w:multiLevelType w:val="singleLevel"/>
    <w:tmpl w:val="B7C2D3DF"/>
    <w:lvl w:ilvl="0" w:tentative="0">
      <w:start w:val="2"/>
      <w:numFmt w:val="decimal"/>
      <w:suff w:val="nothing"/>
      <w:lvlText w:val="%1、"/>
      <w:lvlJc w:val="left"/>
    </w:lvl>
  </w:abstractNum>
  <w:abstractNum w:abstractNumId="3">
    <w:nsid w:val="2AC0D0AD"/>
    <w:multiLevelType w:val="singleLevel"/>
    <w:tmpl w:val="2AC0D0AD"/>
    <w:lvl w:ilvl="0" w:tentative="0">
      <w:start w:val="1"/>
      <w:numFmt w:val="chineseCounting"/>
      <w:suff w:val="nothing"/>
      <w:lvlText w:val="%1、"/>
      <w:lvlJc w:val="left"/>
      <w:rPr>
        <w:rFonts w:hint="eastAsia"/>
      </w:rPr>
    </w:lvl>
  </w:abstractNum>
  <w:abstractNum w:abstractNumId="4">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316E77A"/>
    <w:multiLevelType w:val="singleLevel"/>
    <w:tmpl w:val="5316E77A"/>
    <w:lvl w:ilvl="0" w:tentative="0">
      <w:start w:val="4"/>
      <w:numFmt w:val="chineseCounting"/>
      <w:suff w:val="nothing"/>
      <w:lvlText w:val="%1、"/>
      <w:lvlJc w:val="left"/>
      <w:rPr>
        <w:rFonts w:hint="eastAsia"/>
      </w:rPr>
    </w:lvl>
  </w:abstractNum>
  <w:num w:numId="1">
    <w:abstractNumId w:val="4"/>
  </w:num>
  <w:num w:numId="2">
    <w:abstractNumId w:val="2"/>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wN2VhYTYxNDQ4ZTRjMmI4MGM3MmJiY2M5Mjk0M2YifQ=="/>
  </w:docVars>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59958AD"/>
    <w:rsid w:val="06C857E7"/>
    <w:rsid w:val="08C24A73"/>
    <w:rsid w:val="10C66B4F"/>
    <w:rsid w:val="11944E2C"/>
    <w:rsid w:val="12583BA5"/>
    <w:rsid w:val="13810D14"/>
    <w:rsid w:val="138219DC"/>
    <w:rsid w:val="13BA5B9C"/>
    <w:rsid w:val="19FF71AE"/>
    <w:rsid w:val="1D97DEFF"/>
    <w:rsid w:val="1DFF72E5"/>
    <w:rsid w:val="1EFC6F07"/>
    <w:rsid w:val="1F0527A6"/>
    <w:rsid w:val="22AC03C2"/>
    <w:rsid w:val="22B9234F"/>
    <w:rsid w:val="27457A1B"/>
    <w:rsid w:val="283B15FE"/>
    <w:rsid w:val="2FDF85B8"/>
    <w:rsid w:val="2FFFEE04"/>
    <w:rsid w:val="31C95635"/>
    <w:rsid w:val="3234700A"/>
    <w:rsid w:val="34DF85B0"/>
    <w:rsid w:val="35806991"/>
    <w:rsid w:val="3B8F36BC"/>
    <w:rsid w:val="424D3EFC"/>
    <w:rsid w:val="43EB5BA5"/>
    <w:rsid w:val="44384D93"/>
    <w:rsid w:val="491FF225"/>
    <w:rsid w:val="4EC310A1"/>
    <w:rsid w:val="4FFD214C"/>
    <w:rsid w:val="5352765A"/>
    <w:rsid w:val="56ED7603"/>
    <w:rsid w:val="5777D4F5"/>
    <w:rsid w:val="57F22B6F"/>
    <w:rsid w:val="59DD8326"/>
    <w:rsid w:val="5DEF592A"/>
    <w:rsid w:val="5FC6BB1E"/>
    <w:rsid w:val="5FF720F1"/>
    <w:rsid w:val="622964C1"/>
    <w:rsid w:val="67FF5C0B"/>
    <w:rsid w:val="6BAA4A2F"/>
    <w:rsid w:val="6DDEC5C0"/>
    <w:rsid w:val="6EFC0924"/>
    <w:rsid w:val="6FB74722"/>
    <w:rsid w:val="6FEF8B7E"/>
    <w:rsid w:val="717FE77F"/>
    <w:rsid w:val="71A6591B"/>
    <w:rsid w:val="737D59BA"/>
    <w:rsid w:val="737F32B1"/>
    <w:rsid w:val="739015EB"/>
    <w:rsid w:val="73BD3FCA"/>
    <w:rsid w:val="776BDA01"/>
    <w:rsid w:val="77C37683"/>
    <w:rsid w:val="79FF515B"/>
    <w:rsid w:val="7DFBFF20"/>
    <w:rsid w:val="7E9E1962"/>
    <w:rsid w:val="7E9F11B4"/>
    <w:rsid w:val="7F37EC1E"/>
    <w:rsid w:val="7F7C0DDA"/>
    <w:rsid w:val="7F7DCD9D"/>
    <w:rsid w:val="7F970A6F"/>
    <w:rsid w:val="7FC1FFF3"/>
    <w:rsid w:val="7FC69637"/>
    <w:rsid w:val="7FDF8620"/>
    <w:rsid w:val="7FFB242F"/>
    <w:rsid w:val="7FFDB408"/>
    <w:rsid w:val="7FFE4EEB"/>
    <w:rsid w:val="95FB2B98"/>
    <w:rsid w:val="9A639BC2"/>
    <w:rsid w:val="9FF7D786"/>
    <w:rsid w:val="ABBFB23D"/>
    <w:rsid w:val="B6BE5A03"/>
    <w:rsid w:val="B8C93228"/>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F1D61"/>
    <w:rsid w:val="F7FED3A9"/>
    <w:rsid w:val="F8C9DB26"/>
    <w:rsid w:val="F97E8EAE"/>
    <w:rsid w:val="FB36E1A6"/>
    <w:rsid w:val="FB3BE134"/>
    <w:rsid w:val="FCFF4275"/>
    <w:rsid w:val="FD7FEEEA"/>
    <w:rsid w:val="FDFFB577"/>
    <w:rsid w:val="FEEA50FE"/>
    <w:rsid w:val="FF7D47A9"/>
    <w:rsid w:val="FFCF21CB"/>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rFonts w:hint="default"/>
      <w:sz w:val="21"/>
      <w:szCs w:val="24"/>
    </w:rPr>
  </w:style>
  <w:style w:type="paragraph" w:styleId="3">
    <w:name w:val="Body Text Indent"/>
    <w:basedOn w:val="1"/>
    <w:next w:val="4"/>
    <w:unhideWhenUsed/>
    <w:qFormat/>
    <w:uiPriority w:val="99"/>
    <w:pPr>
      <w:widowControl/>
      <w:spacing w:after="120"/>
      <w:ind w:left="420" w:leftChars="200"/>
      <w:jc w:val="left"/>
    </w:pPr>
    <w:rPr>
      <w:rFonts w:ascii="宋体" w:hAnsi="宋体" w:eastAsia="宋体" w:cs="宋体"/>
      <w:kern w:val="0"/>
      <w:sz w:val="24"/>
    </w:rPr>
  </w:style>
  <w:style w:type="paragraph" w:styleId="4">
    <w:name w:val="Body Text First Indent 2"/>
    <w:basedOn w:val="3"/>
    <w:next w:val="1"/>
    <w:unhideWhenUsed/>
    <w:qFormat/>
    <w:uiPriority w:val="99"/>
    <w:pPr>
      <w:ind w:firstLine="420" w:firstLineChars="200"/>
    </w:pPr>
  </w:style>
  <w:style w:type="paragraph" w:styleId="5">
    <w:name w:val="Balloon Text"/>
    <w:basedOn w:val="1"/>
    <w:link w:val="17"/>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next w:val="4"/>
    <w:semiHidden/>
    <w:qFormat/>
    <w:uiPriority w:val="0"/>
    <w:pPr>
      <w:snapToGrid w:val="0"/>
      <w:jc w:val="left"/>
    </w:pPr>
    <w:rPr>
      <w:sz w:val="18"/>
      <w:szCs w:val="18"/>
    </w:rPr>
  </w:style>
  <w:style w:type="paragraph" w:styleId="9">
    <w:name w:val="Normal (Web)"/>
    <w:basedOn w:val="1"/>
    <w:qFormat/>
    <w:uiPriority w:val="0"/>
    <w:pPr>
      <w:keepNext w:val="0"/>
      <w:keepLines w:val="0"/>
      <w:widowControl w:val="0"/>
      <w:suppressLineNumbers w:val="0"/>
      <w:spacing w:before="100" w:beforeAutospacing="1" w:after="100" w:afterAutospacing="1"/>
      <w:ind w:left="0" w:right="0"/>
      <w:jc w:val="left"/>
    </w:pPr>
    <w:rPr>
      <w:rFonts w:hint="eastAsia" w:ascii="仿宋" w:hAnsi="仿宋" w:eastAsia="宋体" w:cs="Times New Roman"/>
      <w:kern w:val="0"/>
      <w:sz w:val="24"/>
      <w:szCs w:val="24"/>
      <w:lang w:val="en-US" w:eastAsia="zh-CN" w:bidi="ar"/>
    </w:rPr>
  </w:style>
  <w:style w:type="character" w:styleId="12">
    <w:name w:val="page number"/>
    <w:qFormat/>
    <w:uiPriority w:val="0"/>
  </w:style>
  <w:style w:type="character" w:customStyle="1" w:styleId="13">
    <w:name w:val="页眉 Char"/>
    <w:basedOn w:val="11"/>
    <w:link w:val="7"/>
    <w:qFormat/>
    <w:uiPriority w:val="99"/>
    <w:rPr>
      <w:sz w:val="18"/>
      <w:szCs w:val="18"/>
    </w:rPr>
  </w:style>
  <w:style w:type="character" w:customStyle="1" w:styleId="14">
    <w:name w:val="页脚 Char"/>
    <w:basedOn w:val="11"/>
    <w:link w:val="6"/>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11"/>
    <w:link w:val="5"/>
    <w:semiHidden/>
    <w:qFormat/>
    <w:uiPriority w:val="99"/>
    <w:rPr>
      <w:sz w:val="18"/>
      <w:szCs w:val="18"/>
    </w:rPr>
  </w:style>
  <w:style w:type="character" w:customStyle="1" w:styleId="18">
    <w:name w:val="font01"/>
    <w:basedOn w:val="11"/>
    <w:qFormat/>
    <w:uiPriority w:val="0"/>
    <w:rPr>
      <w:rFonts w:hint="eastAsia" w:ascii="宋体" w:hAnsi="宋体" w:eastAsia="宋体" w:cs="宋体"/>
      <w:color w:val="000000"/>
      <w:sz w:val="22"/>
      <w:szCs w:val="22"/>
      <w:u w:val="none"/>
    </w:rPr>
  </w:style>
  <w:style w:type="character" w:customStyle="1" w:styleId="19">
    <w:name w:val="font21"/>
    <w:basedOn w:val="11"/>
    <w:qFormat/>
    <w:uiPriority w:val="0"/>
    <w:rPr>
      <w:rFonts w:hint="eastAsia" w:ascii="宋体" w:hAnsi="宋体" w:eastAsia="宋体" w:cs="宋体"/>
      <w:color w:val="000000"/>
      <w:sz w:val="24"/>
      <w:szCs w:val="24"/>
      <w:u w:val="none"/>
    </w:rPr>
  </w:style>
  <w:style w:type="character" w:customStyle="1" w:styleId="20">
    <w:name w:val="font11"/>
    <w:basedOn w:val="11"/>
    <w:qFormat/>
    <w:uiPriority w:val="0"/>
    <w:rPr>
      <w:rFonts w:hint="eastAsia" w:ascii="宋体" w:hAnsi="宋体" w:eastAsia="宋体" w:cs="宋体"/>
      <w:color w:val="000000"/>
      <w:sz w:val="24"/>
      <w:szCs w:val="24"/>
      <w:u w:val="none"/>
    </w:rPr>
  </w:style>
  <w:style w:type="character" w:customStyle="1" w:styleId="21">
    <w:name w:val="NormalCharacter"/>
    <w:semiHidden/>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11066</Words>
  <Characters>11832</Characters>
  <Lines>63</Lines>
  <Paragraphs>18</Paragraphs>
  <TotalTime>2</TotalTime>
  <ScaleCrop>false</ScaleCrop>
  <LinksUpToDate>false</LinksUpToDate>
  <CharactersWithSpaces>12085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2020-07-10T18:32:00Z</dcterms:created>
  <dc:creator>李航 null</dc:creator>
  <cp:lastModifiedBy>李慷琪</cp:lastModifiedBy>
  <cp:lastPrinted>2024-08-11T02:20:00Z</cp:lastPrinted>
  <dcterms:modified xsi:type="dcterms:W3CDTF">2025-09-22T02:01:31Z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98623D6660B449428EB8E073C6C952EA</vt:lpwstr>
  </property>
</Properties>
</file>