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sz w:val="84"/>
          <w:szCs w:val="84"/>
        </w:rPr>
      </w:pPr>
    </w:p>
    <w:p>
      <w:pPr>
        <w:pStyle w:val="17"/>
        <w:jc w:val="center"/>
        <w:rPr>
          <w:rFonts w:hint="eastAsia" w:ascii="方正小标宋简体" w:hAnsi="方正小标宋简体" w:eastAsia="方正小标宋简体" w:cs="方正小标宋简体"/>
          <w:b/>
          <w:bCs/>
          <w:color w:val="000000"/>
          <w:sz w:val="72"/>
          <w:szCs w:val="72"/>
        </w:rPr>
      </w:pPr>
      <w:r>
        <w:rPr>
          <w:rFonts w:hint="eastAsia" w:ascii="方正小标宋简体" w:hAnsi="方正小标宋简体" w:eastAsia="方正小标宋简体" w:cs="方正小标宋简体"/>
          <w:b/>
          <w:bCs/>
          <w:sz w:val="72"/>
          <w:szCs w:val="72"/>
        </w:rPr>
        <w:t>202</w:t>
      </w:r>
      <w:r>
        <w:rPr>
          <w:rFonts w:hint="default" w:ascii="方正小标宋简体" w:hAnsi="方正小标宋简体" w:eastAsia="方正小标宋简体" w:cs="方正小标宋简体"/>
          <w:b/>
          <w:bCs/>
          <w:sz w:val="72"/>
          <w:szCs w:val="72"/>
          <w:lang w:val="en" w:eastAsia="zh-CN"/>
        </w:rPr>
        <w:t>4</w:t>
      </w:r>
      <w:r>
        <w:rPr>
          <w:rFonts w:hint="eastAsia" w:ascii="方正小标宋简体" w:hAnsi="方正小标宋简体" w:eastAsia="方正小标宋简体" w:cs="方正小标宋简体"/>
          <w:b/>
          <w:bCs/>
          <w:sz w:val="72"/>
          <w:szCs w:val="72"/>
        </w:rPr>
        <w:t>年度</w:t>
      </w:r>
      <w:r>
        <w:rPr>
          <w:rFonts w:hint="eastAsia" w:ascii="方正小标宋简体" w:hAnsi="方正小标宋简体" w:eastAsia="方正小标宋简体" w:cs="方正小标宋简体"/>
          <w:b/>
          <w:bCs/>
          <w:color w:val="000000"/>
          <w:sz w:val="72"/>
          <w:szCs w:val="72"/>
        </w:rPr>
        <w:t>岳阳市智慧城管指挥</w:t>
      </w:r>
    </w:p>
    <w:p>
      <w:pPr>
        <w:pStyle w:val="17"/>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color w:val="000000"/>
          <w:sz w:val="72"/>
          <w:szCs w:val="72"/>
        </w:rPr>
        <w:t>中心</w:t>
      </w:r>
      <w:r>
        <w:rPr>
          <w:rFonts w:hint="eastAsia" w:ascii="方正小标宋简体" w:hAnsi="方正小标宋简体" w:eastAsia="方正小标宋简体" w:cs="方正小标宋简体"/>
          <w:b/>
          <w:bCs/>
          <w:sz w:val="72"/>
          <w:szCs w:val="72"/>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00" w:lineRule="exact"/>
        <w:jc w:val="both"/>
        <w:rPr>
          <w:b/>
          <w:sz w:val="36"/>
          <w:szCs w:val="28"/>
        </w:rPr>
      </w:pPr>
    </w:p>
    <w:p>
      <w:pPr>
        <w:pStyle w:val="17"/>
        <w:spacing w:line="500" w:lineRule="exact"/>
        <w:jc w:val="center"/>
        <w:rPr>
          <w:rFonts w:hint="eastAsia"/>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color w:val="000000"/>
          <w:sz w:val="28"/>
          <w:szCs w:val="28"/>
        </w:rPr>
        <w:t>岳阳市智慧城管指挥中心</w:t>
      </w:r>
      <w:r>
        <w:rPr>
          <w:rFonts w:hint="eastAsia" w:ascii="黑体" w:hAnsi="黑体" w:eastAsia="黑体" w:cs="黑体"/>
          <w:b w:val="0"/>
          <w:bCs/>
          <w:sz w:val="28"/>
          <w:szCs w:val="28"/>
        </w:rPr>
        <w:t>单位概况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关于202</w:t>
      </w:r>
      <w:r>
        <w:rPr>
          <w:rFonts w:hint="default" w:ascii="仿宋_GB2312" w:hAnsi="仿宋_GB2312" w:eastAsia="仿宋_GB2312" w:cs="仿宋_GB2312"/>
          <w:sz w:val="28"/>
          <w:szCs w:val="28"/>
          <w:lang w:val="en"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jc w:val="both"/>
        <w:rPr>
          <w:rFonts w:hint="eastAsia" w:ascii="方正小标宋_GBK" w:hAnsi="方正小标宋_GBK" w:eastAsia="方正小标宋_GBK" w:cs="方正小标宋_GBK"/>
          <w:sz w:val="48"/>
          <w:szCs w:val="48"/>
        </w:rPr>
      </w:pPr>
    </w:p>
    <w:p>
      <w:pPr>
        <w:pStyle w:val="17"/>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第一部分 </w:t>
      </w:r>
    </w:p>
    <w:p>
      <w:pPr>
        <w:pStyle w:val="17"/>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bidi w:val="0"/>
        <w:snapToGrid/>
        <w:spacing w:line="500" w:lineRule="exact"/>
        <w:jc w:val="center"/>
        <w:textAlignment w:val="auto"/>
        <w:rPr>
          <w:rFonts w:hint="eastAsia" w:ascii="方正小标宋_GBK" w:hAnsi="方正小标宋_GBK" w:eastAsia="方正小标宋_GBK" w:cs="方正小标宋_GBK"/>
          <w:sz w:val="84"/>
          <w:szCs w:val="84"/>
        </w:rPr>
      </w:pPr>
      <w:r>
        <w:rPr>
          <w:rFonts w:hint="eastAsia" w:ascii="方正小标宋简体" w:hAnsi="方正小标宋简体" w:eastAsia="方正小标宋简体" w:cs="方正小标宋简体"/>
          <w:b/>
          <w:bCs/>
          <w:color w:val="000000"/>
          <w:sz w:val="44"/>
          <w:szCs w:val="44"/>
        </w:rPr>
        <w:t>岳阳市智慧城管指挥中心</w:t>
      </w:r>
      <w:r>
        <w:rPr>
          <w:rFonts w:hint="eastAsia" w:ascii="方正小标宋简体" w:hAnsi="方正小标宋简体" w:eastAsia="方正小标宋简体" w:cs="方正小标宋简体"/>
          <w:b/>
          <w:bCs/>
          <w:sz w:val="44"/>
          <w:szCs w:val="44"/>
        </w:rPr>
        <w:t>单位概况</w:t>
      </w:r>
    </w:p>
    <w:p>
      <w:pPr>
        <w:pStyle w:val="6"/>
        <w:ind w:left="0" w:leftChars="0" w:firstLine="0" w:firstLineChars="0"/>
        <w:rPr>
          <w:rFonts w:hint="eastAsia" w:ascii="方正小标宋_GBK" w:hAnsi="方正小标宋_GBK" w:eastAsia="方正小标宋_GBK" w:cs="方正小标宋_GBK"/>
          <w:sz w:val="44"/>
          <w:szCs w:val="44"/>
        </w:rPr>
      </w:pPr>
    </w:p>
    <w:p>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贯彻执行国家和省有关数字化城市管理的法律法规；</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根据授权负责中心地区数字化城市管理监督、指挥、调度和协调工作；</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负责城市管理监督指挥系统市级平台的日常维护和管理；</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各类城市管理信息的收集、分析和整理，为城市管理现状及市级责任部门、岳阳楼区政府、岳阳经济技术开发区管委会、湖南岳阳洞庭湖旅游度假区管委会和相关责任人履行城市管事职责和情况提供考核评价的依据；</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负责对数字化城市管理信息采集工作和平台受理工作进行监督；</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负责受理数字化城市管理的投诉、举报等有关工作；</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负责对县市区数字化城市管理工作的业务指导；</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完成市委、市政府和市城管局交办的其他工作。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color w:val="000000"/>
          <w:sz w:val="32"/>
          <w:szCs w:val="32"/>
        </w:rPr>
        <w:t>岳阳市智慧城管指挥中心</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sz w:val="32"/>
          <w:szCs w:val="32"/>
        </w:rPr>
        <w:t>综合部、信息采集部、投诉受理部、技术保障部、网站管理部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个职能部室。</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w:t>
      </w:r>
      <w:r>
        <w:rPr>
          <w:rFonts w:hint="default" w:ascii="仿宋_GB2312" w:hAnsi="仿宋_GB2312" w:eastAsia="仿宋_GB2312" w:cs="仿宋_GB2312"/>
          <w:i w:val="0"/>
          <w:iCs w:val="0"/>
          <w:color w:val="auto"/>
          <w:sz w:val="32"/>
          <w:szCs w:val="32"/>
          <w:highlight w:val="white"/>
          <w:lang w:val="en" w:eastAsia="zh-CN"/>
        </w:rPr>
        <w:t>4</w:t>
      </w:r>
      <w:r>
        <w:rPr>
          <w:rFonts w:hint="eastAsia" w:ascii="仿宋_GB2312" w:hAnsi="仿宋_GB2312" w:eastAsia="仿宋_GB2312" w:cs="仿宋_GB2312"/>
          <w:i w:val="0"/>
          <w:iCs w:val="0"/>
          <w:color w:val="auto"/>
          <w:sz w:val="32"/>
          <w:szCs w:val="32"/>
          <w:highlight w:val="white"/>
          <w:lang w:val="en-US" w:eastAsia="zh-CN"/>
        </w:rPr>
        <w:t>年度部门决算汇总公开单位仅包括</w:t>
      </w:r>
      <w:r>
        <w:rPr>
          <w:rFonts w:hint="eastAsia" w:ascii="仿宋_GB2312" w:hAnsi="仿宋_GB2312" w:eastAsia="仿宋_GB2312" w:cs="仿宋_GB2312"/>
          <w:color w:val="auto"/>
          <w:sz w:val="32"/>
          <w:szCs w:val="32"/>
        </w:rPr>
        <w:t>岳阳市智慧城管指挥中心</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p>
      <w:pPr>
        <w:pStyle w:val="17"/>
        <w:jc w:val="both"/>
        <w:rPr>
          <w:rFonts w:hint="eastAsia" w:ascii="方正小标宋_GBK" w:hAnsi="方正小标宋_GBK" w:eastAsia="方正小标宋_GBK" w:cs="方正小标宋_GBK"/>
          <w:sz w:val="48"/>
          <w:szCs w:val="48"/>
        </w:rPr>
      </w:pPr>
    </w:p>
    <w:p>
      <w:pPr>
        <w:pStyle w:val="17"/>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第二部分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部门决算表</w:t>
      </w:r>
    </w:p>
    <w:p>
      <w:pPr>
        <w:pStyle w:val="17"/>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（见附件）</w:t>
      </w:r>
    </w:p>
    <w:p>
      <w:pPr>
        <w:pStyle w:val="17"/>
        <w:jc w:val="center"/>
        <w:rPr>
          <w:rFonts w:hint="eastAsia" w:ascii="仿宋_GB2312" w:hAnsi="仿宋_GB2312" w:eastAsia="仿宋_GB2312" w:cs="仿宋_GB2312"/>
          <w:b w:val="0"/>
          <w:bCs w:val="0"/>
          <w:sz w:val="72"/>
          <w:szCs w:val="72"/>
          <w:lang w:eastAsia="zh-CN"/>
        </w:rPr>
      </w:pPr>
    </w:p>
    <w:p>
      <w:pPr>
        <w:pStyle w:val="17"/>
        <w:jc w:val="both"/>
        <w:rPr>
          <w:rFonts w:hint="eastAsia" w:ascii="方正小标宋_GBK" w:hAnsi="方正小标宋_GBK" w:eastAsia="方正小标宋_GBK" w:cs="方正小标宋_GBK"/>
          <w:sz w:val="72"/>
          <w:szCs w:val="72"/>
        </w:rPr>
      </w:pP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第三部分</w:t>
      </w: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default" w:ascii="方正小标宋简体" w:hAnsi="方正小标宋简体" w:eastAsia="方正小标宋简体" w:cs="方正小标宋简体"/>
          <w:b/>
          <w:bCs/>
          <w:sz w:val="44"/>
          <w:szCs w:val="44"/>
          <w:lang w:val="en" w:eastAsia="zh-CN"/>
        </w:rPr>
        <w:t>4</w:t>
      </w:r>
      <w:r>
        <w:rPr>
          <w:rFonts w:hint="eastAsia" w:ascii="方正小标宋简体" w:hAnsi="方正小标宋简体" w:eastAsia="方正小标宋简体" w:cs="方正小标宋简体"/>
          <w:b/>
          <w:bCs/>
          <w:sz w:val="44"/>
          <w:szCs w:val="44"/>
        </w:rPr>
        <w:t>年度部门决算情况说明</w:t>
      </w:r>
    </w:p>
    <w:p>
      <w:pPr>
        <w:pStyle w:val="17"/>
        <w:jc w:val="both"/>
        <w:rPr>
          <w:rFonts w:hint="eastAsia" w:ascii="方正小标宋_GBK" w:hAnsi="方正小标宋_GBK" w:eastAsia="方正小标宋_GBK" w:cs="方正小标宋_GBK"/>
          <w:sz w:val="48"/>
          <w:szCs w:val="48"/>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1171.44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128.75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本年财政压减了专项工作经费预算。</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1171.44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1171.44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1171.44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406.78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34.73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764.65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65.27</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1171.44</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128.75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本年财政压减了专项工作经费预算。</w:t>
      </w:r>
    </w:p>
    <w:p>
      <w:pPr>
        <w:pStyle w:val="17"/>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FF0000"/>
          <w:sz w:val="32"/>
          <w:szCs w:val="32"/>
        </w:rPr>
      </w:pPr>
      <w:r>
        <w:rPr>
          <w:rFonts w:hint="eastAsia" w:ascii="黑体" w:hAnsi="黑体" w:eastAsia="黑体" w:cs="黑体"/>
          <w:b w:val="0"/>
          <w:bCs/>
          <w:color w:val="auto"/>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1171.44</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128.75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本年财政压减了专项工作经费预算。</w:t>
      </w:r>
      <w:bookmarkStart w:id="0" w:name="_GoBack"/>
      <w:bookmarkEnd w:id="0"/>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1171.44</w:t>
      </w:r>
      <w:r>
        <w:rPr>
          <w:rFonts w:hint="eastAsia" w:ascii="仿宋_GB2312" w:hAnsi="仿宋_GB2312" w:eastAsia="仿宋_GB2312" w:cs="仿宋_GB2312"/>
          <w:color w:val="auto"/>
          <w:sz w:val="32"/>
          <w:szCs w:val="32"/>
        </w:rPr>
        <w:t>万元，主要用于以下方面：社会保障和就业（类）支出</w:t>
      </w:r>
      <w:r>
        <w:rPr>
          <w:rFonts w:hint="eastAsia" w:ascii="仿宋_GB2312" w:hAnsi="仿宋_GB2312" w:eastAsia="仿宋_GB2312" w:cs="仿宋_GB2312"/>
          <w:color w:val="auto"/>
          <w:sz w:val="32"/>
          <w:szCs w:val="32"/>
          <w:lang w:val="en-US" w:eastAsia="zh-CN"/>
        </w:rPr>
        <w:t>46.53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3.97</w:t>
      </w:r>
      <w:r>
        <w:rPr>
          <w:rFonts w:hint="eastAsia" w:ascii="仿宋_GB2312" w:hAnsi="仿宋_GB2312" w:eastAsia="仿宋_GB2312" w:cs="仿宋_GB2312"/>
          <w:color w:val="auto"/>
          <w:sz w:val="32"/>
          <w:szCs w:val="32"/>
        </w:rPr>
        <w:t>%；卫生健康（类）支出</w:t>
      </w:r>
      <w:r>
        <w:rPr>
          <w:rFonts w:hint="eastAsia" w:ascii="仿宋_GB2312" w:hAnsi="仿宋_GB2312" w:eastAsia="仿宋_GB2312" w:cs="仿宋_GB2312"/>
          <w:color w:val="auto"/>
          <w:sz w:val="32"/>
          <w:szCs w:val="32"/>
          <w:lang w:val="en-US" w:eastAsia="zh-CN"/>
        </w:rPr>
        <w:t>13.65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城乡社区（类）支出</w:t>
      </w:r>
      <w:r>
        <w:rPr>
          <w:rFonts w:hint="eastAsia" w:ascii="仿宋_GB2312" w:hAnsi="仿宋_GB2312" w:eastAsia="仿宋_GB2312" w:cs="仿宋_GB2312"/>
          <w:color w:val="auto"/>
          <w:sz w:val="32"/>
          <w:szCs w:val="32"/>
          <w:lang w:val="en-US" w:eastAsia="zh-CN"/>
        </w:rPr>
        <w:t>1085.17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92.64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住房保障（类）支出</w:t>
      </w:r>
      <w:r>
        <w:rPr>
          <w:rFonts w:hint="eastAsia" w:ascii="仿宋_GB2312" w:hAnsi="仿宋_GB2312" w:eastAsia="仿宋_GB2312" w:cs="仿宋_GB2312"/>
          <w:color w:val="auto"/>
          <w:sz w:val="32"/>
          <w:szCs w:val="32"/>
          <w:lang w:val="en-US" w:eastAsia="zh-CN"/>
        </w:rPr>
        <w:t>26.09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1149.55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1171.44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101.9</w:t>
      </w:r>
      <w:r>
        <w:rPr>
          <w:rFonts w:hint="eastAsia" w:ascii="仿宋_GB2312" w:hAnsi="仿宋_GB2312" w:eastAsia="仿宋_GB2312" w:cs="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37.78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36.24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95.92</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我单位有人员异动。</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2、社会保障和就业支出（类）其他社会保障和就业支出（款）其他社会保障和就业支出（项）。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rPr>
        <w:t>初预算为</w:t>
      </w:r>
      <w:r>
        <w:rPr>
          <w:rFonts w:hint="eastAsia" w:ascii="仿宋_GB2312" w:hAnsi="仿宋_GB2312" w:eastAsia="仿宋_GB2312" w:cs="仿宋_GB2312"/>
          <w:color w:val="auto"/>
          <w:sz w:val="32"/>
          <w:szCs w:val="32"/>
          <w:lang w:val="en-US" w:eastAsia="zh-CN"/>
        </w:rPr>
        <w:t>7.85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7.43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94.65</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我单位有人员异动。</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、卫生健康支出（类）行政事业单位医疗（款）行政单位医疗（项）。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14.47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13.65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94.33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我单位有人员异动。</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、城乡社区支出（类）城乡社区管理事务（款）行政运行（项）。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286.32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276.31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96.50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我单位有人员异动。</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、城乡社区支出（类）城乡社区管理事务（款）其他城乡社区管理事务支出（项）。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17.42</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年中财政增拨了部分人员经费。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、城乡社区支出（类）城乡社区规划与管理（款）城乡社区规划与管理（项）。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773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790.43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102.25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上年部分项目经费结转本年支付。</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、城乡社区支出（类）其他城乡社区支出（款）其他城乡社区支出（项）。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17.42</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年中财政增拨综合绩效奖部分人员经费。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、住房保障支出（类）住房改革支出（款）住房公积金（项）。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27.26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26.09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95.71</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我单位有人员异动。</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406.78</w:t>
      </w:r>
      <w:r>
        <w:rPr>
          <w:rFonts w:hint="eastAsia" w:ascii="仿宋_GB2312" w:hAnsi="仿宋_GB2312" w:eastAsia="仿宋_GB2312" w:cs="仿宋_GB2312"/>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379.48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93.29</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27.30</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6.71</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i w:val="0"/>
          <w:iCs w:val="0"/>
          <w:caps w:val="0"/>
          <w:color w:val="000000"/>
          <w:spacing w:val="0"/>
          <w:sz w:val="32"/>
          <w:szCs w:val="32"/>
        </w:rPr>
        <w:t>邮电费、差旅费、</w:t>
      </w:r>
      <w:r>
        <w:rPr>
          <w:rFonts w:hint="eastAsia" w:ascii="仿宋_GB2312" w:hAnsi="仿宋_GB2312" w:eastAsia="仿宋_GB2312" w:cs="仿宋_GB2312"/>
          <w:i w:val="0"/>
          <w:iCs w:val="0"/>
          <w:caps w:val="0"/>
          <w:color w:val="000000"/>
          <w:spacing w:val="0"/>
          <w:sz w:val="32"/>
          <w:szCs w:val="32"/>
          <w:lang w:val="en-US" w:eastAsia="zh-CN"/>
        </w:rPr>
        <w:t>维修（护）费</w:t>
      </w:r>
      <w:r>
        <w:rPr>
          <w:rFonts w:hint="eastAsia" w:ascii="仿宋_GB2312" w:hAnsi="仿宋_GB2312" w:eastAsia="仿宋_GB2312" w:cs="仿宋_GB2312"/>
          <w:i w:val="0"/>
          <w:iCs w:val="0"/>
          <w:caps w:val="0"/>
          <w:color w:val="000000"/>
          <w:spacing w:val="0"/>
          <w:sz w:val="32"/>
          <w:szCs w:val="32"/>
        </w:rPr>
        <w:t>、工会经费、福利费、其他商品和服务支出</w:t>
      </w:r>
      <w:r>
        <w:rPr>
          <w:rFonts w:hint="eastAsia" w:ascii="仿宋_GB2312" w:hAnsi="仿宋_GB2312" w:eastAsia="仿宋_GB2312" w:cs="仿宋_GB2312"/>
          <w:b w:val="0"/>
          <w:bCs/>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i w:val="0"/>
          <w:iCs/>
          <w:color w:val="auto"/>
          <w:kern w:val="0"/>
          <w:sz w:val="32"/>
          <w:szCs w:val="32"/>
          <w:lang w:val="en-US" w:eastAsia="zh-CN" w:bidi="ar-SA"/>
        </w:rPr>
        <w:t>202</w:t>
      </w:r>
      <w:r>
        <w:rPr>
          <w:rFonts w:hint="default" w:ascii="仿宋_GB2312" w:hAnsi="仿宋_GB2312" w:eastAsia="仿宋_GB2312" w:cs="仿宋_GB2312"/>
          <w:b w:val="0"/>
          <w:bCs w:val="0"/>
          <w:i w:val="0"/>
          <w:iCs/>
          <w:color w:val="auto"/>
          <w:kern w:val="0"/>
          <w:sz w:val="32"/>
          <w:szCs w:val="32"/>
          <w:lang w:val="en" w:eastAsia="zh-CN" w:bidi="ar-SA"/>
        </w:rPr>
        <w:t>4</w:t>
      </w:r>
      <w:r>
        <w:rPr>
          <w:rFonts w:hint="eastAsia" w:ascii="仿宋_GB2312" w:hAnsi="仿宋_GB2312" w:eastAsia="仿宋_GB2312" w:cs="仿宋_GB2312"/>
          <w:b w:val="0"/>
          <w:bCs w:val="0"/>
          <w:i w:val="0"/>
          <w:iCs/>
          <w:color w:val="auto"/>
          <w:kern w:val="0"/>
          <w:sz w:val="32"/>
          <w:szCs w:val="32"/>
          <w:lang w:val="en-US" w:eastAsia="zh-CN" w:bidi="ar-SA"/>
        </w:rPr>
        <w:t>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w:t>
      </w:r>
      <w:r>
        <w:rPr>
          <w:rFonts w:hint="default" w:ascii="仿宋_GB2312" w:hAnsi="仿宋_GB2312" w:eastAsia="仿宋_GB2312" w:cs="仿宋_GB2312"/>
          <w:i w:val="0"/>
          <w:iCs/>
          <w:color w:val="auto"/>
          <w:kern w:val="0"/>
          <w:sz w:val="32"/>
          <w:szCs w:val="32"/>
          <w:lang w:val="en" w:eastAsia="zh-CN" w:bidi="ar-SA"/>
        </w:rPr>
        <w:t>4</w:t>
      </w:r>
      <w:r>
        <w:rPr>
          <w:rFonts w:hint="eastAsia" w:ascii="仿宋_GB2312" w:hAnsi="仿宋_GB2312" w:eastAsia="仿宋_GB2312" w:cs="仿宋_GB2312"/>
          <w:i w:val="0"/>
          <w:iCs/>
          <w:color w:val="auto"/>
          <w:kern w:val="0"/>
          <w:sz w:val="32"/>
          <w:szCs w:val="32"/>
          <w:lang w:val="en-US" w:eastAsia="zh-CN" w:bidi="ar-SA"/>
        </w:rPr>
        <w:t>年度国有资本经营预算财政拨款收入0万元；年初结转和结余0万元；支出0万元，其中：基本支出0万元，项目支出0万元；年末结转和结余0万元。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202</w:t>
      </w:r>
      <w:r>
        <w:rPr>
          <w:rFonts w:hint="default" w:ascii="仿宋_GB2312" w:hAnsi="仿宋_GB2312" w:eastAsia="仿宋_GB2312" w:cs="仿宋_GB2312"/>
          <w:b w:val="0"/>
          <w:bCs/>
          <w:color w:val="auto"/>
          <w:kern w:val="0"/>
          <w:sz w:val="32"/>
          <w:szCs w:val="32"/>
          <w:lang w:val="en" w:eastAsia="zh-CN" w:bidi="ar-SA"/>
        </w:rPr>
        <w:t>4</w:t>
      </w:r>
      <w:r>
        <w:rPr>
          <w:rFonts w:hint="eastAsia" w:ascii="仿宋_GB2312" w:hAnsi="仿宋_GB2312" w:eastAsia="仿宋_GB2312" w:cs="仿宋_GB2312"/>
          <w:b w:val="0"/>
          <w:bCs/>
          <w:color w:val="auto"/>
          <w:kern w:val="0"/>
          <w:sz w:val="32"/>
          <w:szCs w:val="32"/>
          <w:lang w:val="en-US" w:eastAsia="zh-CN" w:bidi="ar-SA"/>
        </w:rPr>
        <w:t xml:space="preserve">年度“三公”经费财政拨款支出预算为0万元，支出决算为0万元，决算数等于预算数。其中：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202</w:t>
      </w:r>
      <w:r>
        <w:rPr>
          <w:rFonts w:hint="default" w:ascii="仿宋_GB2312" w:hAnsi="仿宋_GB2312" w:eastAsia="仿宋_GB2312" w:cs="仿宋_GB2312"/>
          <w:b w:val="0"/>
          <w:bCs/>
          <w:color w:val="auto"/>
          <w:kern w:val="0"/>
          <w:sz w:val="32"/>
          <w:szCs w:val="32"/>
          <w:lang w:val="en" w:eastAsia="zh-CN" w:bidi="ar-SA"/>
        </w:rPr>
        <w:t>4</w:t>
      </w:r>
      <w:r>
        <w:rPr>
          <w:rFonts w:hint="eastAsia" w:ascii="仿宋_GB2312" w:hAnsi="仿宋_GB2312" w:eastAsia="仿宋_GB2312" w:cs="仿宋_GB2312"/>
          <w:b w:val="0"/>
          <w:bCs/>
          <w:color w:val="auto"/>
          <w:kern w:val="0"/>
          <w:sz w:val="32"/>
          <w:szCs w:val="32"/>
          <w:lang w:val="en-US" w:eastAsia="zh-CN" w:bidi="ar-SA"/>
        </w:rPr>
        <w:t xml:space="preserve">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1、因公出国（境）费支出决算为0万元，全年安排因公出国（境）团组0个，累计0人次，我单位202</w:t>
      </w:r>
      <w:r>
        <w:rPr>
          <w:rFonts w:hint="default" w:ascii="仿宋_GB2312" w:hAnsi="仿宋_GB2312" w:eastAsia="仿宋_GB2312" w:cs="仿宋_GB2312"/>
          <w:b w:val="0"/>
          <w:bCs/>
          <w:color w:val="auto"/>
          <w:kern w:val="0"/>
          <w:sz w:val="32"/>
          <w:szCs w:val="32"/>
          <w:lang w:val="en" w:eastAsia="zh-CN" w:bidi="ar-SA"/>
        </w:rPr>
        <w:t>4</w:t>
      </w:r>
      <w:r>
        <w:rPr>
          <w:rFonts w:hint="eastAsia" w:ascii="仿宋_GB2312" w:hAnsi="仿宋_GB2312" w:eastAsia="仿宋_GB2312" w:cs="仿宋_GB2312"/>
          <w:b w:val="0"/>
          <w:bCs/>
          <w:color w:val="auto"/>
          <w:kern w:val="0"/>
          <w:sz w:val="32"/>
          <w:szCs w:val="32"/>
          <w:lang w:val="en-US" w:eastAsia="zh-CN" w:bidi="ar-SA"/>
        </w:rPr>
        <w:t xml:space="preserve">年度无因公出国（境）费支出。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2、公务接待费支出决算为0万元，全年共接待来访团组0个、来宾0人次，我单位202</w:t>
      </w:r>
      <w:r>
        <w:rPr>
          <w:rFonts w:hint="default" w:ascii="仿宋_GB2312" w:hAnsi="仿宋_GB2312" w:eastAsia="仿宋_GB2312" w:cs="仿宋_GB2312"/>
          <w:b w:val="0"/>
          <w:bCs/>
          <w:color w:val="auto"/>
          <w:kern w:val="0"/>
          <w:sz w:val="32"/>
          <w:szCs w:val="32"/>
          <w:lang w:val="en" w:eastAsia="zh-CN" w:bidi="ar-SA"/>
        </w:rPr>
        <w:t>4</w:t>
      </w:r>
      <w:r>
        <w:rPr>
          <w:rFonts w:hint="eastAsia" w:ascii="仿宋_GB2312" w:hAnsi="仿宋_GB2312" w:eastAsia="仿宋_GB2312" w:cs="仿宋_GB2312"/>
          <w:b w:val="0"/>
          <w:bCs/>
          <w:color w:val="auto"/>
          <w:kern w:val="0"/>
          <w:sz w:val="32"/>
          <w:szCs w:val="32"/>
          <w:lang w:val="en-US" w:eastAsia="zh-CN" w:bidi="ar-SA"/>
        </w:rPr>
        <w:t xml:space="preserve">年度无公务接待费支出。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3、公务用车购置费及运行维护费支出决算为0万元，其中：公务用车购置费0万元，当年没有购置公务用车。公务用车运行维护费0万元，截至202</w:t>
      </w:r>
      <w:r>
        <w:rPr>
          <w:rFonts w:hint="default" w:ascii="仿宋_GB2312" w:hAnsi="仿宋_GB2312" w:eastAsia="仿宋_GB2312" w:cs="仿宋_GB2312"/>
          <w:b w:val="0"/>
          <w:bCs/>
          <w:color w:val="auto"/>
          <w:kern w:val="0"/>
          <w:sz w:val="32"/>
          <w:szCs w:val="32"/>
          <w:lang w:val="en" w:eastAsia="zh-CN" w:bidi="ar-SA"/>
        </w:rPr>
        <w:t>4</w:t>
      </w:r>
      <w:r>
        <w:rPr>
          <w:rFonts w:hint="eastAsia" w:ascii="仿宋_GB2312" w:hAnsi="仿宋_GB2312" w:eastAsia="仿宋_GB2312" w:cs="仿宋_GB2312"/>
          <w:b w:val="0"/>
          <w:bCs/>
          <w:color w:val="auto"/>
          <w:kern w:val="0"/>
          <w:sz w:val="32"/>
          <w:szCs w:val="32"/>
          <w:lang w:val="en-US" w:eastAsia="zh-CN" w:bidi="ar-SA"/>
        </w:rPr>
        <w:t>年12月31日，我单位开支财政拨款的公务用车保有量为0辆。</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7"/>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i w:val="0"/>
          <w:iCs/>
          <w:color w:val="auto"/>
          <w:sz w:val="32"/>
          <w:szCs w:val="32"/>
          <w:lang w:val="en-US" w:eastAsia="zh-CN"/>
        </w:rPr>
        <w:t>单位为公益一类事业单位，按照机关运行经费的口径，本年度机关运行经费为0</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本单位无会议费的预算和支出决算数；无培训费的预算和支出决算数；无举办节庆、晚会、论坛、赛事等活动的预算和支出决算数。</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557.98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19.10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538.88</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557.98</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557.98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val="en"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overflowPunct w:val="0"/>
        <w:spacing w:line="60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hint="eastAsia" w:ascii="仿宋_GB2312" w:hAnsi="仿宋_GB2312" w:eastAsia="仿宋_GB2312" w:cs="仿宋_GB2312"/>
          <w:color w:val="auto"/>
          <w:kern w:val="0"/>
          <w:sz w:val="32"/>
          <w:szCs w:val="32"/>
          <w:lang w:val="en-US" w:eastAsia="zh-CN" w:bidi="ar-SA"/>
        </w:rPr>
        <w:t>组织对2024年度本部门（单位）整体支出开展绩效自评，涉及项目7 个，共涉及资金1171.44万元。其中，一般公共预算1171.44万元，占一般公共预算支出总额的100%；政府性基金预算项目0个0万元，占政府性基金预算支出总额的0%；国有资本经营预算项目0 个0万元，占国有资本经营预算支出总额的0%；社会保险基金预算项目0个0万元，占社会保险基金预算支出总额的0%。</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中心城区城市管理事、部件信息</w:t>
      </w:r>
      <w:r>
        <w:rPr>
          <w:rFonts w:hint="eastAsia" w:ascii="仿宋_GB2312" w:hAnsi="仿宋_GB2312" w:eastAsia="仿宋_GB2312" w:cs="仿宋_GB2312"/>
          <w:sz w:val="32"/>
          <w:szCs w:val="32"/>
          <w:lang w:val="en-US" w:eastAsia="zh-CN"/>
        </w:rPr>
        <w:t>采集量达40.39万件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有效率</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sz w:val="32"/>
          <w:szCs w:val="32"/>
          <w:lang w:val="en-US"/>
        </w:rPr>
        <w:t>98.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，信息采集员现场</w:t>
      </w:r>
      <w:r>
        <w:rPr>
          <w:rFonts w:hint="eastAsia" w:ascii="仿宋_GB2312" w:hAnsi="仿宋_GB2312" w:eastAsia="仿宋_GB2312" w:cs="仿宋_GB2312"/>
          <w:sz w:val="32"/>
          <w:szCs w:val="32"/>
          <w:lang w:val="en-US"/>
        </w:rPr>
        <w:t>快速处置</w:t>
      </w:r>
      <w:r>
        <w:rPr>
          <w:rFonts w:hint="eastAsia" w:ascii="仿宋_GB2312" w:hAnsi="仿宋_GB2312" w:eastAsia="仿宋_GB2312" w:cs="仿宋_GB2312"/>
          <w:sz w:val="32"/>
          <w:szCs w:val="32"/>
          <w:lang w:val="en-US" w:eastAsia="zh-CN"/>
        </w:rPr>
        <w:t>27748</w:t>
      </w:r>
      <w:r>
        <w:rPr>
          <w:rFonts w:hint="eastAsia" w:ascii="仿宋_GB2312" w:hAnsi="仿宋_GB2312" w:eastAsia="仿宋_GB2312" w:cs="仿宋_GB2312"/>
          <w:sz w:val="32"/>
          <w:szCs w:val="32"/>
          <w:lang w:val="en-US"/>
        </w:rPr>
        <w:t>件</w:t>
      </w:r>
      <w:r>
        <w:rPr>
          <w:rFonts w:hint="eastAsia" w:ascii="仿宋_GB2312" w:hAnsi="仿宋_GB2312" w:eastAsia="仿宋_GB2312" w:cs="仿宋_GB2312"/>
          <w:sz w:val="32"/>
          <w:szCs w:val="32"/>
        </w:rPr>
        <w:t>。城市管理事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部件信息采集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全面高效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为城市管理各相关单位和领导提供了重要依据，大大提升了城市管理工作效率。为</w:t>
      </w:r>
      <w:r>
        <w:rPr>
          <w:rFonts w:hint="eastAsia" w:ascii="仿宋_GB2312" w:hAnsi="仿宋_GB2312" w:eastAsia="仿宋_GB2312" w:cs="仿宋_GB2312"/>
          <w:sz w:val="32"/>
          <w:szCs w:val="32"/>
          <w:lang w:eastAsia="zh-CN"/>
        </w:rPr>
        <w:t>市民</w:t>
      </w:r>
      <w:r>
        <w:rPr>
          <w:rFonts w:hint="eastAsia" w:ascii="仿宋_GB2312" w:hAnsi="仿宋_GB2312" w:eastAsia="仿宋_GB2312" w:cs="仿宋_GB2312"/>
          <w:sz w:val="32"/>
          <w:szCs w:val="32"/>
          <w:lang w:val="en-US" w:eastAsia="zh-CN"/>
        </w:rPr>
        <w:t>提供了</w:t>
      </w:r>
      <w:r>
        <w:rPr>
          <w:rFonts w:hint="eastAsia" w:ascii="仿宋_GB2312" w:hAnsi="仿宋_GB2312" w:eastAsia="仿宋_GB2312" w:cs="仿宋_GB2312"/>
          <w:sz w:val="32"/>
          <w:szCs w:val="32"/>
          <w:lang w:eastAsia="zh-CN"/>
        </w:rPr>
        <w:t>诉求反映渠道，</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共处置</w:t>
      </w:r>
      <w:r>
        <w:rPr>
          <w:rFonts w:hint="eastAsia" w:ascii="仿宋_GB2312" w:hAnsi="仿宋_GB2312" w:eastAsia="仿宋_GB2312" w:cs="仿宋_GB2312"/>
          <w:sz w:val="32"/>
          <w:szCs w:val="32"/>
          <w:lang w:val="en-US" w:eastAsia="zh-CN"/>
        </w:rPr>
        <w:t>市民</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eastAsia="zh-CN"/>
        </w:rPr>
        <w:t>反映城市管理问题</w:t>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lang w:val="en-US" w:eastAsia="zh-CN"/>
        </w:rPr>
        <w:t>万余</w:t>
      </w:r>
      <w:r>
        <w:rPr>
          <w:rFonts w:hint="eastAsia" w:ascii="仿宋_GB2312" w:hAnsi="仿宋_GB2312" w:eastAsia="仿宋_GB2312" w:cs="仿宋_GB2312"/>
          <w:sz w:val="32"/>
          <w:szCs w:val="32"/>
        </w:rPr>
        <w:t>件，处置率80.29%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12345热线转办4115件，办结率95.3%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加强了城市管理部门与市民的沟通，</w:t>
      </w:r>
      <w:r>
        <w:rPr>
          <w:rFonts w:hint="eastAsia" w:ascii="仿宋_GB2312" w:hAnsi="仿宋_GB2312" w:eastAsia="仿宋_GB2312" w:cs="仿宋_GB2312"/>
          <w:sz w:val="32"/>
          <w:szCs w:val="32"/>
          <w:lang w:eastAsia="zh-CN"/>
        </w:rPr>
        <w:t>城市管理问题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及时高效解决，为市民提供了优质的城市公共服务。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扎实开展</w:t>
      </w:r>
      <w:r>
        <w:rPr>
          <w:rFonts w:hint="eastAsia" w:ascii="仿宋_GB2312" w:hAnsi="仿宋_GB2312" w:eastAsia="仿宋_GB2312" w:cs="仿宋_GB2312"/>
          <w:sz w:val="32"/>
          <w:szCs w:val="32"/>
          <w:lang w:val="en-US" w:eastAsia="zh-CN"/>
        </w:rPr>
        <w:t>城市内涝防治工作，进一步加大了视频监控覆盖范围，实现对中心城区36处关键点位299个视频监控的集中管理，为城市防汛排涝工作提供了有力保障，全年城区未出现内涝现象。</w:t>
      </w:r>
      <w:r>
        <w:rPr>
          <w:rFonts w:hint="eastAsia" w:ascii="仿宋_GB2312" w:hAnsi="仿宋_GB2312" w:eastAsia="仿宋_GB2312" w:cs="仿宋_GB2312"/>
          <w:b w:val="0"/>
          <w:bCs w:val="0"/>
          <w:sz w:val="32"/>
          <w:szCs w:val="32"/>
          <w:lang w:val="en-US" w:eastAsia="zh-CN"/>
        </w:rPr>
        <w:t>加强城市管理日常考核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通过</w:t>
      </w:r>
      <w:r>
        <w:rPr>
          <w:rFonts w:hint="eastAsia" w:ascii="仿宋_GB2312" w:hAnsi="仿宋_GB2312" w:eastAsia="仿宋_GB2312" w:cs="仿宋_GB2312"/>
          <w:b w:val="0"/>
          <w:bCs w:val="0"/>
          <w:sz w:val="32"/>
          <w:szCs w:val="32"/>
        </w:rPr>
        <w:t>数据分析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围绕重点工作制定考核计划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全年</w:t>
      </w:r>
      <w:r>
        <w:rPr>
          <w:rFonts w:hint="eastAsia" w:ascii="仿宋_GB2312" w:hAnsi="仿宋_GB2312" w:eastAsia="仿宋_GB2312" w:cs="仿宋_GB2312"/>
          <w:b w:val="0"/>
          <w:bCs w:val="0"/>
          <w:sz w:val="32"/>
          <w:szCs w:val="32"/>
          <w:shd w:val="clear" w:color="auto" w:fill="auto"/>
        </w:rPr>
        <w:t>考</w:t>
      </w:r>
      <w:r>
        <w:rPr>
          <w:rFonts w:hint="eastAsia" w:ascii="仿宋_GB2312" w:hAnsi="仿宋_GB2312" w:eastAsia="仿宋_GB2312" w:cs="仿宋_GB2312"/>
          <w:b w:val="0"/>
          <w:bCs w:val="0"/>
          <w:sz w:val="32"/>
          <w:szCs w:val="32"/>
        </w:rPr>
        <w:t>核</w:t>
      </w:r>
      <w:r>
        <w:rPr>
          <w:rFonts w:hint="eastAsia" w:ascii="仿宋_GB2312" w:hAnsi="仿宋_GB2312" w:eastAsia="仿宋_GB2312" w:cs="仿宋_GB2312"/>
          <w:b w:val="0"/>
          <w:bCs w:val="0"/>
          <w:sz w:val="32"/>
          <w:szCs w:val="32"/>
          <w:lang w:val="en-US" w:eastAsia="zh-CN"/>
        </w:rPr>
        <w:t>144</w:t>
      </w:r>
      <w:r>
        <w:rPr>
          <w:rFonts w:hint="eastAsia" w:ascii="仿宋_GB2312" w:hAnsi="仿宋_GB2312" w:eastAsia="仿宋_GB2312" w:cs="仿宋_GB2312"/>
          <w:b w:val="0"/>
          <w:bCs w:val="0"/>
          <w:sz w:val="32"/>
          <w:szCs w:val="32"/>
        </w:rPr>
        <w:t>次，发现问题</w:t>
      </w:r>
      <w:r>
        <w:rPr>
          <w:rFonts w:hint="eastAsia" w:ascii="仿宋_GB2312" w:hAnsi="仿宋_GB2312" w:eastAsia="仿宋_GB2312" w:cs="仿宋_GB2312"/>
          <w:b w:val="0"/>
          <w:bCs w:val="0"/>
          <w:sz w:val="32"/>
          <w:szCs w:val="32"/>
          <w:lang w:val="en-US" w:eastAsia="zh-CN"/>
        </w:rPr>
        <w:t>1800</w:t>
      </w:r>
      <w:r>
        <w:rPr>
          <w:rFonts w:hint="eastAsia" w:ascii="仿宋_GB2312" w:hAnsi="仿宋_GB2312" w:eastAsia="仿宋_GB2312" w:cs="仿宋_GB2312"/>
          <w:b w:val="0"/>
          <w:bCs w:val="0"/>
          <w:sz w:val="32"/>
          <w:szCs w:val="32"/>
        </w:rPr>
        <w:t>余个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强化城市管理监督，促进了城市公共服务质量和水平的不断提升，获得领导和市民的普遍赞誉。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highlight w:val="none"/>
          <w:lang w:val="en-US"/>
        </w:rPr>
      </w:pPr>
      <w:r>
        <w:rPr>
          <w:rFonts w:hint="eastAsia" w:ascii="仿宋_GB2312" w:hAnsi="仿宋_GB2312" w:eastAsia="仿宋_GB2312" w:cs="仿宋_GB2312"/>
          <w:b w:val="0"/>
          <w:bCs w:val="0"/>
          <w:sz w:val="32"/>
          <w:szCs w:val="32"/>
          <w:lang w:val="en-US" w:eastAsia="zh-CN"/>
        </w:rPr>
        <w:t>城市管理工作的智能化和信息化，不但提升了城市管理工作效率，还促进了城市人居环境的改善，城市整体形象明显提升，为建设全国文明城市和省域副中心城市奠定了基础。</w:t>
      </w:r>
    </w:p>
    <w:p>
      <w:pPr>
        <w:pStyle w:val="2"/>
        <w:ind w:firstLine="640" w:firstLineChars="200"/>
        <w:rPr>
          <w:rFonts w:hint="eastAsia"/>
          <w:color w:val="auto"/>
          <w:lang w:eastAsia="zh-CN"/>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hint="eastAsia" w:ascii="Times New Roman" w:hAnsi="Times New Roman" w:eastAsia="仿宋_GB2312" w:cs="Times New Roman"/>
          <w:color w:val="auto"/>
          <w:kern w:val="0"/>
          <w:sz w:val="32"/>
          <w:szCs w:val="32"/>
          <w:lang w:val="en-US" w:eastAsia="zh-CN"/>
        </w:rPr>
        <w:t>本单位为二级预算单位，部门评价开展情况可详见上级部门决算公开说明。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Times New Roman" w:hAnsi="Times New Roman" w:eastAsia="仿宋_GB2312" w:cs="Times New Roman"/>
          <w:color w:val="auto"/>
          <w:kern w:val="0"/>
          <w:sz w:val="32"/>
          <w:szCs w:val="32"/>
          <w:lang w:val="en-US" w:eastAsia="zh-CN"/>
        </w:rPr>
        <w:t>本单位为二级预算单位，事前绩效评估开展情况可详见上级部门决算公开说明。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hint="eastAsia" w:ascii="仿宋_GB2312" w:hAnsi="仿宋_GB2312" w:eastAsia="仿宋_GB2312" w:cs="仿宋_GB2312"/>
          <w:sz w:val="32"/>
          <w:szCs w:val="32"/>
          <w:lang w:val="en-US" w:eastAsia="zh-CN"/>
        </w:rPr>
        <w:t>根据年初设定的绩效目标，全年预算数为1247.63 万元，执行数为1171.44万元，完成预算的93.89%。</w:t>
      </w:r>
      <w:r>
        <w:rPr>
          <w:rFonts w:hint="eastAsia" w:ascii="仿宋_GB2312" w:hAnsi="仿宋_GB2312" w:eastAsia="仿宋_GB2312" w:cs="仿宋_GB2312"/>
          <w:b w:val="0"/>
          <w:bCs w:val="0"/>
          <w:color w:val="000000"/>
          <w:kern w:val="0"/>
          <w:sz w:val="32"/>
          <w:szCs w:val="32"/>
          <w:lang w:val="en-US" w:eastAsia="zh-CN" w:bidi="ar-SA"/>
        </w:rPr>
        <w:t>部门评价得分</w:t>
      </w:r>
      <w:r>
        <w:rPr>
          <w:rFonts w:hint="eastAsia" w:ascii="仿宋_GB2312" w:hAnsi="仿宋_GB2312" w:eastAsia="仿宋_GB2312" w:cs="仿宋_GB2312"/>
          <w:sz w:val="32"/>
          <w:szCs w:val="32"/>
          <w:lang w:val="en-US" w:eastAsia="zh-CN"/>
        </w:rPr>
        <w:t>96.89</w:t>
      </w:r>
      <w:r>
        <w:rPr>
          <w:rFonts w:hint="eastAsia" w:ascii="仿宋_GB2312" w:hAnsi="仿宋_GB2312" w:eastAsia="仿宋_GB2312" w:cs="仿宋_GB2312"/>
          <w:b w:val="0"/>
          <w:bCs w:val="0"/>
          <w:color w:val="000000"/>
          <w:kern w:val="0"/>
          <w:sz w:val="32"/>
          <w:szCs w:val="32"/>
          <w:lang w:val="en-US" w:eastAsia="zh-CN" w:bidi="ar-SA"/>
        </w:rPr>
        <w:t>分，评价等级为优秀。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绩效目标完成情况：一是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级智慧化城市管理系统的建设和日常维护管理工作</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市城市管理信息网和岳阳城管微信公众号的建设和运行管理工作</w:t>
      </w:r>
      <w:r>
        <w:rPr>
          <w:rFonts w:hint="eastAsia" w:ascii="仿宋_GB2312" w:hAnsi="仿宋_GB2312" w:eastAsia="仿宋_GB2312" w:cs="仿宋_GB2312"/>
          <w:sz w:val="32"/>
          <w:szCs w:val="32"/>
          <w:lang w:eastAsia="zh-CN"/>
        </w:rPr>
        <w:t>如期完成；</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市城区智慧化城市管理监督、指挥、调度和考核的事务性工作</w:t>
      </w:r>
      <w:r>
        <w:rPr>
          <w:rFonts w:hint="eastAsia" w:ascii="仿宋_GB2312" w:hAnsi="仿宋_GB2312" w:eastAsia="仿宋_GB2312" w:cs="仿宋_GB2312"/>
          <w:sz w:val="32"/>
          <w:szCs w:val="32"/>
          <w:lang w:eastAsia="zh-CN"/>
        </w:rPr>
        <w:t>，及时完成了</w:t>
      </w:r>
      <w:r>
        <w:rPr>
          <w:rFonts w:hint="eastAsia" w:ascii="仿宋_GB2312" w:hAnsi="仿宋_GB2312" w:eastAsia="仿宋_GB2312" w:cs="仿宋_GB2312"/>
          <w:sz w:val="32"/>
          <w:szCs w:val="32"/>
        </w:rPr>
        <w:t>城市管理各类信息的收集、分析和整理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四是及时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办理城市管理问题投诉、举报和12345公众服务热线转办件的行政辅助性工作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了主</w:t>
      </w:r>
      <w:r>
        <w:rPr>
          <w:rFonts w:hint="eastAsia" w:ascii="仿宋_GB2312" w:hAnsi="仿宋_GB2312" w:eastAsia="仿宋_GB2312" w:cs="仿宋_GB2312"/>
          <w:sz w:val="32"/>
          <w:szCs w:val="32"/>
        </w:rPr>
        <w:t>城区</w:t>
      </w:r>
      <w:r>
        <w:rPr>
          <w:rFonts w:hint="eastAsia" w:ascii="仿宋_GB2312" w:hAnsi="仿宋_GB2312" w:eastAsia="仿宋_GB2312" w:cs="仿宋_GB2312"/>
          <w:sz w:val="32"/>
          <w:szCs w:val="32"/>
          <w:lang w:val="en-US" w:eastAsia="zh-CN"/>
        </w:rPr>
        <w:t>防涝指挥系统的安全保障工作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市城市管理和综合执法交办的其他工作。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从绩效评价总体情况来看，</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资金支出较规范，</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val="en-US" w:eastAsia="zh-CN"/>
        </w:rPr>
        <w:t>动了以精细城管“提质”、智慧城管“赋能”、人本城管“造福”、绿色城管“安居”、文化城管“铸魂”、平安城管“夯基”的工作目标，为城市管理相关单位提供了耳目和抓手作用，大大提升了城市管理工作效率，城市管理</w:t>
      </w:r>
      <w:r>
        <w:rPr>
          <w:rFonts w:hint="eastAsia" w:ascii="仿宋_GB2312" w:hAnsi="仿宋_GB2312" w:eastAsia="仿宋_GB2312" w:cs="仿宋_GB2312"/>
          <w:sz w:val="32"/>
          <w:szCs w:val="32"/>
        </w:rPr>
        <w:t>事业发展</w:t>
      </w:r>
      <w:r>
        <w:rPr>
          <w:rFonts w:hint="eastAsia" w:ascii="仿宋_GB2312" w:hAnsi="仿宋_GB2312" w:eastAsia="仿宋_GB2312" w:cs="仿宋_GB2312"/>
          <w:sz w:val="32"/>
          <w:szCs w:val="32"/>
          <w:lang w:val="en-US" w:eastAsia="zh-CN"/>
        </w:rPr>
        <w:t>再上新台阶，增加了市民的获得感和幸福感，得到了各级领导和市民的一致好评</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eastAsia" w:ascii="仿宋_GB2312" w:eastAsia="仿宋_GB2312"/>
          <w:sz w:val="32"/>
          <w:szCs w:val="32"/>
        </w:rPr>
        <w:t>随着城市的发展和扩张，信息采集的面积越来越大，事部件也越来越多，信息采集员的负担也迅速增加。另外，人工工资和物价上涨，而专项经费未增加，因为待遇低任务重，导致采集员流动性大，从而影响信息采集整体采集质量</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val="en-US" w:eastAsia="zh-CN"/>
        </w:rPr>
        <w:t>预算执行率有待进一步提升，</w:t>
      </w:r>
      <w:r>
        <w:rPr>
          <w:rFonts w:hint="eastAsia" w:ascii="仿宋_GB2312" w:hAnsi="宋体" w:eastAsia="仿宋_GB2312" w:cs="宋体"/>
          <w:sz w:val="32"/>
          <w:szCs w:val="32"/>
          <w:lang w:val="en-US" w:eastAsia="zh-CN"/>
        </w:rPr>
        <w:t>主要原因为</w:t>
      </w:r>
      <w:r>
        <w:rPr>
          <w:rFonts w:hint="eastAsia" w:ascii="仿宋_GB2312" w:hAnsi="宋体" w:eastAsia="仿宋_GB2312" w:cs="宋体"/>
          <w:sz w:val="32"/>
          <w:szCs w:val="32"/>
        </w:rPr>
        <w:t>一期</w:t>
      </w:r>
      <w:r>
        <w:rPr>
          <w:rFonts w:hint="eastAsia" w:ascii="仿宋_GB2312" w:hAnsi="宋体" w:eastAsia="仿宋_GB2312" w:cs="宋体"/>
          <w:sz w:val="32"/>
          <w:szCs w:val="32"/>
          <w:lang w:val="en" w:eastAsia="zh-CN"/>
        </w:rPr>
        <w:t>、</w:t>
      </w:r>
      <w:r>
        <w:rPr>
          <w:rFonts w:hint="eastAsia" w:ascii="仿宋_GB2312" w:hAnsi="宋体" w:eastAsia="仿宋_GB2312" w:cs="宋体"/>
          <w:sz w:val="32"/>
          <w:szCs w:val="32"/>
        </w:rPr>
        <w:t>二期网络通讯</w:t>
      </w:r>
      <w:r>
        <w:rPr>
          <w:rFonts w:hint="eastAsia" w:ascii="仿宋_GB2312" w:hAnsi="宋体" w:eastAsia="仿宋_GB2312" w:cs="宋体"/>
          <w:sz w:val="32"/>
          <w:szCs w:val="32"/>
          <w:lang w:eastAsia="zh-CN"/>
        </w:rPr>
        <w:t>租赁</w:t>
      </w:r>
      <w:r>
        <w:rPr>
          <w:rFonts w:hint="eastAsia" w:ascii="仿宋_GB2312" w:hAnsi="宋体" w:eastAsia="仿宋_GB2312" w:cs="宋体"/>
          <w:sz w:val="32"/>
          <w:szCs w:val="32"/>
        </w:rPr>
        <w:t>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软件、数据库及设备维护经费</w:t>
      </w:r>
      <w:r>
        <w:rPr>
          <w:rFonts w:hint="eastAsia" w:ascii="仿宋_GB2312" w:hAnsi="宋体" w:eastAsia="仿宋_GB2312" w:cs="宋体"/>
          <w:sz w:val="32"/>
          <w:szCs w:val="32"/>
          <w:lang w:val="en-US" w:eastAsia="zh-CN"/>
        </w:rPr>
        <w:t>项目部分费用未及时结算。</w:t>
      </w:r>
      <w:r>
        <w:rPr>
          <w:rFonts w:hint="eastAsia" w:ascii="仿宋_GB2312" w:hAnsi="仿宋_GB2312" w:eastAsia="仿宋_GB2312" w:cs="仿宋_GB2312"/>
          <w:sz w:val="32"/>
          <w:szCs w:val="32"/>
          <w:lang w:val="en-US" w:eastAsia="zh-CN"/>
        </w:rPr>
        <w:t>三是</w:t>
      </w:r>
      <w:r>
        <w:rPr>
          <w:rFonts w:hint="eastAsia" w:ascii="仿宋" w:hAnsi="仿宋" w:eastAsia="仿宋" w:cs="仿宋"/>
          <w:b w:val="0"/>
          <w:bCs w:val="0"/>
          <w:kern w:val="2"/>
          <w:sz w:val="32"/>
          <w:szCs w:val="32"/>
          <w:lang w:val="en-US" w:eastAsia="zh-CN" w:bidi="ar-SA"/>
        </w:rPr>
        <w:t>智慧城管</w:t>
      </w:r>
      <w:r>
        <w:rPr>
          <w:rFonts w:hint="eastAsia" w:ascii="CESI仿宋-GB2312" w:hAnsi="CESI仿宋-GB2312" w:eastAsia="CESI仿宋-GB2312" w:cs="CESI仿宋-GB2312"/>
          <w:b w:val="0"/>
          <w:bCs w:val="0"/>
          <w:sz w:val="32"/>
          <w:szCs w:val="32"/>
          <w:lang w:val="en-US" w:eastAsia="zh-CN"/>
        </w:rPr>
        <w:t>系统运行风险不断增大，主要原因为</w:t>
      </w:r>
      <w:r>
        <w:rPr>
          <w:rFonts w:hint="eastAsia" w:ascii="仿宋" w:hAnsi="仿宋" w:eastAsia="仿宋" w:cs="仿宋"/>
          <w:b w:val="0"/>
          <w:bCs w:val="0"/>
          <w:kern w:val="2"/>
          <w:sz w:val="32"/>
          <w:szCs w:val="32"/>
          <w:lang w:val="en-US" w:eastAsia="zh-CN" w:bidi="ar-SA"/>
        </w:rPr>
        <w:t>系统硬件设备大部分已运行多年，存在一定安全隐患和风险</w:t>
      </w:r>
      <w:r>
        <w:rPr>
          <w:rFonts w:hint="eastAsia" w:ascii="仿宋_GB2312" w:hAnsi="仿宋_GB2312" w:eastAsia="仿宋_GB2312" w:cs="仿宋_GB2312"/>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下一步改进措施：</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管理界限仍需进一步明确。主要原因为随着城市发展和机制体制改革，出现了部分新的城市管理问题职责边界不清的情况，问题处置时存在推诿现象，实际工作中只能单独处理，降低了工作效率。下一步将加强与相关管理单位的沟通，确定职责范围，提升工作质量与效率。二是进一步提升</w:t>
      </w:r>
      <w:r>
        <w:rPr>
          <w:rFonts w:hint="eastAsia" w:ascii="仿宋_GB2312" w:hAnsi="仿宋_GB2312" w:eastAsia="仿宋_GB2312" w:cs="仿宋_GB2312"/>
          <w:sz w:val="32"/>
          <w:szCs w:val="32"/>
        </w:rPr>
        <w:t>技术创新能力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当前，在城市管理工作中引入了物联感知设备来获取</w:t>
      </w:r>
      <w:r>
        <w:rPr>
          <w:rFonts w:hint="eastAsia" w:ascii="仿宋_GB2312" w:hAnsi="仿宋_GB2312" w:eastAsia="仿宋_GB2312" w:cs="仿宋_GB2312"/>
          <w:sz w:val="32"/>
          <w:szCs w:val="32"/>
          <w:lang w:val="en-US" w:eastAsia="zh-CN"/>
        </w:rPr>
        <w:t>城区内涝</w:t>
      </w:r>
      <w:r>
        <w:rPr>
          <w:rFonts w:hint="eastAsia" w:ascii="仿宋_GB2312" w:hAnsi="仿宋_GB2312" w:eastAsia="仿宋_GB2312" w:cs="仿宋_GB2312"/>
          <w:sz w:val="32"/>
          <w:szCs w:val="32"/>
        </w:rPr>
        <w:t>相关的数据等，但从整体层面来看，</w:t>
      </w:r>
      <w:r>
        <w:rPr>
          <w:rFonts w:hint="eastAsia" w:ascii="仿宋_GB2312" w:hAnsi="仿宋_GB2312" w:eastAsia="仿宋_GB2312" w:cs="仿宋_GB2312"/>
          <w:sz w:val="32"/>
          <w:szCs w:val="32"/>
          <w:lang w:val="en-US" w:eastAsia="zh-CN"/>
        </w:rPr>
        <w:t>覆盖范围不能满足日常城市管理需要，</w:t>
      </w:r>
      <w:r>
        <w:rPr>
          <w:rFonts w:hint="eastAsia" w:ascii="仿宋_GB2312" w:hAnsi="仿宋_GB2312" w:eastAsia="仿宋_GB2312" w:cs="仿宋_GB2312"/>
          <w:sz w:val="32"/>
          <w:szCs w:val="32"/>
        </w:rPr>
        <w:t>技术创新能力还未达到较</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水平。与先进的城市对比，仍然存在着一定的差距。在智能化应用方面，物联感知设备采集数据的智能化处理还不够深入和高效；在大数据分析方面，</w:t>
      </w:r>
      <w:r>
        <w:rPr>
          <w:rFonts w:hint="eastAsia" w:ascii="仿宋_GB2312" w:hAnsi="仿宋_GB2312" w:eastAsia="仿宋_GB2312" w:cs="仿宋_GB2312"/>
          <w:sz w:val="32"/>
          <w:szCs w:val="32"/>
          <w:lang w:val="en-US" w:eastAsia="zh-CN"/>
        </w:rPr>
        <w:t>城市管理问题采集、处置的智能化程度不高，</w:t>
      </w:r>
      <w:r>
        <w:rPr>
          <w:rFonts w:hint="eastAsia" w:ascii="仿宋_GB2312" w:hAnsi="仿宋_GB2312" w:eastAsia="仿宋_GB2312" w:cs="仿宋_GB2312"/>
          <w:sz w:val="32"/>
          <w:szCs w:val="32"/>
        </w:rPr>
        <w:t>系统软件</w:t>
      </w:r>
      <w:r>
        <w:rPr>
          <w:rFonts w:hint="eastAsia" w:ascii="仿宋_GB2312" w:hAnsi="仿宋_GB2312" w:eastAsia="仿宋_GB2312" w:cs="仿宋_GB2312"/>
          <w:sz w:val="32"/>
          <w:szCs w:val="32"/>
          <w:lang w:val="en-US" w:eastAsia="zh-CN"/>
        </w:rPr>
        <w:t>亟需</w:t>
      </w:r>
      <w:r>
        <w:rPr>
          <w:rFonts w:hint="eastAsia" w:ascii="仿宋_GB2312" w:hAnsi="仿宋_GB2312" w:eastAsia="仿宋_GB2312" w:cs="仿宋_GB2312"/>
          <w:sz w:val="32"/>
          <w:szCs w:val="32"/>
        </w:rPr>
        <w:t>升级。</w:t>
      </w:r>
      <w:r>
        <w:rPr>
          <w:rFonts w:hint="eastAsia" w:ascii="仿宋_GB2312" w:hAnsi="仿宋_GB2312" w:eastAsia="仿宋_GB2312" w:cs="仿宋_GB2312"/>
          <w:sz w:val="32"/>
          <w:szCs w:val="32"/>
          <w:lang w:val="en-US" w:eastAsia="zh-CN"/>
        </w:rPr>
        <w:t>三是学习其他城市先进管理经验，合理调配预算资金，及时进行系统软件升级与维护。</w:t>
      </w:r>
    </w:p>
    <w:p>
      <w:pPr>
        <w:pStyle w:val="2"/>
        <w:keepNext w:val="0"/>
        <w:keepLines w:val="0"/>
        <w:pageBreakBefore w:val="0"/>
        <w:numPr>
          <w:ilvl w:val="0"/>
          <w:numId w:val="0"/>
        </w:numPr>
        <w:wordWrap/>
        <w:overflowPunct/>
        <w:topLinePunct w:val="0"/>
        <w:bidi w:val="0"/>
        <w:spacing w:line="600" w:lineRule="exact"/>
        <w:ind w:firstLine="640" w:firstLineChars="200"/>
        <w:rPr>
          <w:rFonts w:hint="default" w:ascii="仿宋_GB2312" w:hAnsi="仿宋_GB2312" w:eastAsia="仿宋_GB2312" w:cs="仿宋_GB2312"/>
          <w:sz w:val="32"/>
          <w:szCs w:val="32"/>
          <w:lang w:val="en-US"/>
        </w:rPr>
      </w:pP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7"/>
        <w:jc w:val="both"/>
        <w:rPr>
          <w:rFonts w:hint="eastAsia" w:ascii="方正小标宋_GBK" w:hAnsi="方正小标宋_GBK" w:eastAsia="方正小标宋_GBK" w:cs="方正小标宋_GBK"/>
          <w:sz w:val="44"/>
          <w:szCs w:val="44"/>
        </w:rPr>
      </w:pPr>
    </w:p>
    <w:p>
      <w:pPr>
        <w:pStyle w:val="17"/>
        <w:jc w:val="center"/>
      </w:pPr>
      <w:r>
        <w:rPr>
          <w:rFonts w:hint="eastAsia" w:ascii="方正小标宋简体" w:hAnsi="方正小标宋简体" w:eastAsia="方正小标宋简体" w:cs="方正小标宋简体"/>
          <w:b/>
          <w:bCs/>
          <w:sz w:val="44"/>
          <w:szCs w:val="44"/>
        </w:rPr>
        <w:t>第四部分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color w:val="000000"/>
          <w:kern w:val="0"/>
          <w:sz w:val="44"/>
          <w:szCs w:val="44"/>
        </w:rPr>
        <w:t>名词解释</w:t>
      </w:r>
    </w:p>
    <w:p/>
    <w:p>
      <w:pPr>
        <w:pStyle w:val="11"/>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
      <w:pPr>
        <w:pStyle w:val="2"/>
      </w:pPr>
    </w:p>
    <w:p>
      <w:pPr>
        <w:pStyle w:val="17"/>
        <w:ind w:firstLine="3080" w:firstLineChars="700"/>
        <w:jc w:val="both"/>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第</w:t>
      </w:r>
      <w:r>
        <w:rPr>
          <w:rFonts w:hint="eastAsia" w:ascii="方正小标宋简体" w:hAnsi="方正小标宋简体" w:eastAsia="方正小标宋简体" w:cs="方正小标宋简体"/>
          <w:b/>
          <w:bCs/>
          <w:sz w:val="44"/>
          <w:szCs w:val="44"/>
          <w:lang w:eastAsia="zh-CN"/>
        </w:rPr>
        <w:t>五</w:t>
      </w:r>
      <w:r>
        <w:rPr>
          <w:rFonts w:hint="eastAsia" w:ascii="方正小标宋简体" w:hAnsi="方正小标宋简体" w:eastAsia="方正小标宋简体" w:cs="方正小标宋简体"/>
          <w:b/>
          <w:bCs/>
          <w:sz w:val="44"/>
          <w:szCs w:val="44"/>
        </w:rPr>
        <w:t>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附</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w:t>
      </w:r>
      <w:r>
        <w:rPr>
          <w:rFonts w:hint="default" w:ascii="宋体" w:hAnsi="宋体" w:eastAsia="宋体" w:cs="黑体"/>
          <w:b/>
          <w:color w:val="000000"/>
          <w:kern w:val="0"/>
          <w:sz w:val="32"/>
          <w:szCs w:val="32"/>
          <w:lang w:val="en" w:eastAsia="zh-CN"/>
        </w:rPr>
        <w:t>4</w:t>
      </w:r>
      <w:r>
        <w:rPr>
          <w:rFonts w:hint="eastAsia" w:ascii="宋体" w:hAnsi="宋体" w:eastAsia="宋体" w:cs="黑体"/>
          <w:b/>
          <w:color w:val="000000"/>
          <w:kern w:val="0"/>
          <w:sz w:val="32"/>
          <w:szCs w:val="32"/>
          <w:lang w:val="en-US" w:eastAsia="zh-CN"/>
        </w:rPr>
        <w:t>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default" w:ascii="宋体" w:hAnsi="宋体" w:eastAsia="宋体" w:cs="黑体"/>
          <w:b/>
          <w:color w:val="000000"/>
          <w:kern w:val="0"/>
          <w:sz w:val="32"/>
          <w:szCs w:val="32"/>
          <w:lang w:val="en" w:eastAsia="zh-CN"/>
        </w:rPr>
        <w:t>4</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18030">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5B6E6"/>
    <w:multiLevelType w:val="singleLevel"/>
    <w:tmpl w:val="0025B6E6"/>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9301C"/>
    <w:rsid w:val="01B91D0C"/>
    <w:rsid w:val="01DD75E6"/>
    <w:rsid w:val="01F176F8"/>
    <w:rsid w:val="02BF15A4"/>
    <w:rsid w:val="04B862AB"/>
    <w:rsid w:val="053C0C8A"/>
    <w:rsid w:val="055A55B4"/>
    <w:rsid w:val="059958AD"/>
    <w:rsid w:val="06C857E7"/>
    <w:rsid w:val="07D478A0"/>
    <w:rsid w:val="083640B7"/>
    <w:rsid w:val="08BA6A96"/>
    <w:rsid w:val="08C24A73"/>
    <w:rsid w:val="097C01EF"/>
    <w:rsid w:val="0A2368BD"/>
    <w:rsid w:val="0A51342A"/>
    <w:rsid w:val="0A8455AD"/>
    <w:rsid w:val="0AD16319"/>
    <w:rsid w:val="0BCF0AAA"/>
    <w:rsid w:val="107C0AD5"/>
    <w:rsid w:val="10BD35C7"/>
    <w:rsid w:val="12583BA5"/>
    <w:rsid w:val="128B14A3"/>
    <w:rsid w:val="129465AA"/>
    <w:rsid w:val="13BA5B9C"/>
    <w:rsid w:val="13FB7F63"/>
    <w:rsid w:val="158E72E0"/>
    <w:rsid w:val="18136AFE"/>
    <w:rsid w:val="18C9062F"/>
    <w:rsid w:val="195645B9"/>
    <w:rsid w:val="1A057D8D"/>
    <w:rsid w:val="1A4A39F2"/>
    <w:rsid w:val="1B4F3E91"/>
    <w:rsid w:val="1D350989"/>
    <w:rsid w:val="1D793DB8"/>
    <w:rsid w:val="1D97DEFF"/>
    <w:rsid w:val="1DB93368"/>
    <w:rsid w:val="1DFF72E5"/>
    <w:rsid w:val="1EFC6F07"/>
    <w:rsid w:val="1F0527A6"/>
    <w:rsid w:val="1F3F6307"/>
    <w:rsid w:val="1F4D0006"/>
    <w:rsid w:val="20E64474"/>
    <w:rsid w:val="21787096"/>
    <w:rsid w:val="22177787"/>
    <w:rsid w:val="22AC03C2"/>
    <w:rsid w:val="235A6A54"/>
    <w:rsid w:val="239A1BA6"/>
    <w:rsid w:val="255120D8"/>
    <w:rsid w:val="262275D1"/>
    <w:rsid w:val="270D0281"/>
    <w:rsid w:val="27B33BC4"/>
    <w:rsid w:val="290A0F1C"/>
    <w:rsid w:val="2B2D0EF2"/>
    <w:rsid w:val="2E440A0E"/>
    <w:rsid w:val="2FC35981"/>
    <w:rsid w:val="2FDF85B8"/>
    <w:rsid w:val="2FFFEE04"/>
    <w:rsid w:val="30823A8E"/>
    <w:rsid w:val="31777E1D"/>
    <w:rsid w:val="31C95635"/>
    <w:rsid w:val="31D12F09"/>
    <w:rsid w:val="327F0285"/>
    <w:rsid w:val="338E26F1"/>
    <w:rsid w:val="33B757FC"/>
    <w:rsid w:val="34DF85B0"/>
    <w:rsid w:val="377D6D5D"/>
    <w:rsid w:val="39074B30"/>
    <w:rsid w:val="39DC5FBD"/>
    <w:rsid w:val="3B262E22"/>
    <w:rsid w:val="3B8F36BC"/>
    <w:rsid w:val="3C8A7F52"/>
    <w:rsid w:val="3CA803D8"/>
    <w:rsid w:val="3D187A09"/>
    <w:rsid w:val="3D2C2DB7"/>
    <w:rsid w:val="3DEC3EE6"/>
    <w:rsid w:val="3EA62904"/>
    <w:rsid w:val="3EDE7FF0"/>
    <w:rsid w:val="40F956A6"/>
    <w:rsid w:val="41235825"/>
    <w:rsid w:val="427775F2"/>
    <w:rsid w:val="42AB29D0"/>
    <w:rsid w:val="43505326"/>
    <w:rsid w:val="441D78FE"/>
    <w:rsid w:val="442962A2"/>
    <w:rsid w:val="45AA6F6F"/>
    <w:rsid w:val="490948F4"/>
    <w:rsid w:val="491FF225"/>
    <w:rsid w:val="4C237A7B"/>
    <w:rsid w:val="4C667968"/>
    <w:rsid w:val="4CFA4C80"/>
    <w:rsid w:val="4D3BD8C5"/>
    <w:rsid w:val="4D602609"/>
    <w:rsid w:val="4D811490"/>
    <w:rsid w:val="4EB64BD7"/>
    <w:rsid w:val="4F2F6737"/>
    <w:rsid w:val="4FFD214C"/>
    <w:rsid w:val="5352765A"/>
    <w:rsid w:val="54493DF7"/>
    <w:rsid w:val="55DE2790"/>
    <w:rsid w:val="5777D4F5"/>
    <w:rsid w:val="57DB4303"/>
    <w:rsid w:val="583D5F38"/>
    <w:rsid w:val="59D15132"/>
    <w:rsid w:val="59DD8326"/>
    <w:rsid w:val="5AC4067B"/>
    <w:rsid w:val="5B24736C"/>
    <w:rsid w:val="5BA81D4B"/>
    <w:rsid w:val="5C1C635A"/>
    <w:rsid w:val="5DEF592A"/>
    <w:rsid w:val="5EAB1D7E"/>
    <w:rsid w:val="5F5024DD"/>
    <w:rsid w:val="5F8F167A"/>
    <w:rsid w:val="5F9B1FEC"/>
    <w:rsid w:val="5FC6BB1E"/>
    <w:rsid w:val="5FF720F1"/>
    <w:rsid w:val="613C71BD"/>
    <w:rsid w:val="61A94127"/>
    <w:rsid w:val="61C52C5F"/>
    <w:rsid w:val="63425CDB"/>
    <w:rsid w:val="63780255"/>
    <w:rsid w:val="639F1C85"/>
    <w:rsid w:val="63B23767"/>
    <w:rsid w:val="657F3B1C"/>
    <w:rsid w:val="66091638"/>
    <w:rsid w:val="67FF5C0B"/>
    <w:rsid w:val="69BBD5A7"/>
    <w:rsid w:val="6A462E5B"/>
    <w:rsid w:val="6A9C6F1F"/>
    <w:rsid w:val="6BAA4A2F"/>
    <w:rsid w:val="6BFFF014"/>
    <w:rsid w:val="6C47110C"/>
    <w:rsid w:val="6CADCBEC"/>
    <w:rsid w:val="6D0D7C60"/>
    <w:rsid w:val="6D543AE1"/>
    <w:rsid w:val="6E5A5127"/>
    <w:rsid w:val="6EFC0924"/>
    <w:rsid w:val="6FAA79E8"/>
    <w:rsid w:val="6FB74722"/>
    <w:rsid w:val="6FC9CA8E"/>
    <w:rsid w:val="6FEF8B7E"/>
    <w:rsid w:val="71970440"/>
    <w:rsid w:val="71A6591B"/>
    <w:rsid w:val="72361A07"/>
    <w:rsid w:val="72F13B80"/>
    <w:rsid w:val="737D59BA"/>
    <w:rsid w:val="737F32B1"/>
    <w:rsid w:val="739E5AB6"/>
    <w:rsid w:val="742D0BE7"/>
    <w:rsid w:val="75994786"/>
    <w:rsid w:val="75DA08FB"/>
    <w:rsid w:val="769F83E4"/>
    <w:rsid w:val="777697D4"/>
    <w:rsid w:val="77C37683"/>
    <w:rsid w:val="77CD9F79"/>
    <w:rsid w:val="77D24288"/>
    <w:rsid w:val="7936EFA6"/>
    <w:rsid w:val="79BC6C95"/>
    <w:rsid w:val="79F471B5"/>
    <w:rsid w:val="79FA77BE"/>
    <w:rsid w:val="79FF515B"/>
    <w:rsid w:val="7A1E525A"/>
    <w:rsid w:val="7C4F7213"/>
    <w:rsid w:val="7CD662C0"/>
    <w:rsid w:val="7E9E1962"/>
    <w:rsid w:val="7E9F11B4"/>
    <w:rsid w:val="7EFB3612"/>
    <w:rsid w:val="7F2C21C7"/>
    <w:rsid w:val="7F37EC1E"/>
    <w:rsid w:val="7F7DCD9D"/>
    <w:rsid w:val="7F970A6F"/>
    <w:rsid w:val="7FC1FFF3"/>
    <w:rsid w:val="7FC69637"/>
    <w:rsid w:val="7FD05249"/>
    <w:rsid w:val="7FD763C6"/>
    <w:rsid w:val="7FDF8620"/>
    <w:rsid w:val="7FF24E19"/>
    <w:rsid w:val="7FF2EF9F"/>
    <w:rsid w:val="7FFB242F"/>
    <w:rsid w:val="7FFDB408"/>
    <w:rsid w:val="7FFE4EEB"/>
    <w:rsid w:val="8DBE235F"/>
    <w:rsid w:val="95FB2B98"/>
    <w:rsid w:val="9A639BC2"/>
    <w:rsid w:val="9FF7D786"/>
    <w:rsid w:val="9FFD49C6"/>
    <w:rsid w:val="ABBFB23D"/>
    <w:rsid w:val="AFCBA252"/>
    <w:rsid w:val="BECB242F"/>
    <w:rsid w:val="BFEE9FF8"/>
    <w:rsid w:val="C3B4DA5A"/>
    <w:rsid w:val="CBFF70E0"/>
    <w:rsid w:val="CF6F1A65"/>
    <w:rsid w:val="CFF50B82"/>
    <w:rsid w:val="CFFFAD89"/>
    <w:rsid w:val="D1BEBE24"/>
    <w:rsid w:val="DBFFD187"/>
    <w:rsid w:val="DFF9047A"/>
    <w:rsid w:val="DFFA0D78"/>
    <w:rsid w:val="DFFE359E"/>
    <w:rsid w:val="DFFE4FFD"/>
    <w:rsid w:val="DFFFB973"/>
    <w:rsid w:val="E5F847FB"/>
    <w:rsid w:val="EABEF557"/>
    <w:rsid w:val="EEABED75"/>
    <w:rsid w:val="F56FDF51"/>
    <w:rsid w:val="F6B69F17"/>
    <w:rsid w:val="F77F1D61"/>
    <w:rsid w:val="F7FED3A9"/>
    <w:rsid w:val="F8C9DB26"/>
    <w:rsid w:val="F97E8EAE"/>
    <w:rsid w:val="FA3F835A"/>
    <w:rsid w:val="FB36E1A6"/>
    <w:rsid w:val="FB3BE134"/>
    <w:rsid w:val="FCFF4275"/>
    <w:rsid w:val="FD7974CC"/>
    <w:rsid w:val="FD7FEEEA"/>
    <w:rsid w:val="FDDD80D7"/>
    <w:rsid w:val="FDF5224E"/>
    <w:rsid w:val="FDFFB577"/>
    <w:rsid w:val="FEEA50FE"/>
    <w:rsid w:val="FF6F899C"/>
    <w:rsid w:val="FF7D47A9"/>
    <w:rsid w:val="FFBEF60E"/>
    <w:rsid w:val="FFCF21CB"/>
    <w:rsid w:val="FFEB3543"/>
    <w:rsid w:val="FFF38EB1"/>
    <w:rsid w:val="FFFF1C8B"/>
    <w:rsid w:val="FFFFA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4">
    <w:name w:val="toa heading"/>
    <w:basedOn w:val="1"/>
    <w:next w:val="1"/>
    <w:unhideWhenUsed/>
    <w:qFormat/>
    <w:uiPriority w:val="99"/>
    <w:pPr>
      <w:spacing w:before="120" w:after="200" w:line="276" w:lineRule="auto"/>
    </w:pPr>
    <w:rPr>
      <w:rFonts w:hint="default"/>
      <w:sz w:val="24"/>
      <w:szCs w:val="24"/>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toc 5"/>
    <w:basedOn w:val="1"/>
    <w:next w:val="1"/>
    <w:qFormat/>
    <w:uiPriority w:val="0"/>
    <w:pPr>
      <w:ind w:left="1680" w:leftChars="800"/>
    </w:pPr>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6"/>
    <w:semiHidden/>
    <w:qFormat/>
    <w:uiPriority w:val="0"/>
    <w:pPr>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5532</Words>
  <Characters>5984</Characters>
  <Lines>63</Lines>
  <Paragraphs>18</Paragraphs>
  <TotalTime>2</TotalTime>
  <ScaleCrop>false</ScaleCrop>
  <LinksUpToDate>false</LinksUpToDate>
  <CharactersWithSpaces>6017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huawei</cp:lastModifiedBy>
  <cp:lastPrinted>2024-08-11T02:20:00Z</cp:lastPrinted>
  <dcterms:modified xsi:type="dcterms:W3CDTF">2025-09-23T16:24:30Z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ies>
</file>