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overflowPunct/>
        <w:topLinePunct w:val="0"/>
        <w:autoSpaceDE/>
        <w:autoSpaceDN/>
        <w:bidi w:val="0"/>
        <w:adjustRightInd/>
        <w:snapToGrid/>
        <w:spacing w:after="0" w:afterLines="0" w:line="500" w:lineRule="exact"/>
        <w:ind w:firstLine="320" w:firstLineChars="100"/>
        <w:jc w:val="left"/>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eastAsia="zh-CN"/>
        </w:rPr>
        <w:t>附件</w:t>
      </w:r>
      <w:r>
        <w:rPr>
          <w:rFonts w:hint="eastAsia" w:ascii="黑体" w:hAnsi="黑体" w:eastAsia="黑体" w:cs="黑体"/>
          <w:sz w:val="32"/>
          <w:szCs w:val="32"/>
          <w:highlight w:val="none"/>
          <w:lang w:val="en-US" w:eastAsia="zh-CN"/>
        </w:rPr>
        <w:t>1</w:t>
      </w:r>
      <w:bookmarkStart w:id="0" w:name="_GoBack"/>
      <w:bookmarkEnd w:id="0"/>
    </w:p>
    <w:p>
      <w:pPr>
        <w:keepNext w:val="0"/>
        <w:keepLines w:val="0"/>
        <w:pageBreakBefore w:val="0"/>
        <w:widowControl w:val="0"/>
        <w:kinsoku/>
        <w:overflowPunct/>
        <w:topLinePunct w:val="0"/>
        <w:autoSpaceDE/>
        <w:autoSpaceDN/>
        <w:bidi w:val="0"/>
        <w:adjustRightInd/>
        <w:snapToGrid/>
        <w:spacing w:after="0" w:afterLines="0" w:line="240" w:lineRule="auto"/>
        <w:ind w:firstLine="320" w:firstLineChars="100"/>
        <w:jc w:val="left"/>
        <w:textAlignment w:val="auto"/>
        <w:rPr>
          <w:rFonts w:hint="eastAsia" w:ascii="黑体" w:hAnsi="黑体" w:eastAsia="黑体" w:cs="黑体"/>
          <w:sz w:val="32"/>
          <w:szCs w:val="32"/>
          <w:highlight w:val="none"/>
          <w:lang w:val="en-US" w:eastAsia="zh-CN"/>
        </w:rPr>
      </w:pPr>
    </w:p>
    <w:p>
      <w:pPr>
        <w:keepNext w:val="0"/>
        <w:keepLines w:val="0"/>
        <w:pageBreakBefore w:val="0"/>
        <w:widowControl w:val="0"/>
        <w:kinsoku/>
        <w:overflowPunct/>
        <w:topLinePunct w:val="0"/>
        <w:autoSpaceDE/>
        <w:autoSpaceDN/>
        <w:bidi w:val="0"/>
        <w:adjustRightInd/>
        <w:snapToGrid/>
        <w:spacing w:after="120" w:afterLines="50" w:line="600" w:lineRule="exact"/>
        <w:jc w:val="center"/>
        <w:textAlignment w:val="auto"/>
        <w:rPr>
          <w:rFonts w:hint="eastAsia" w:ascii="方正小标宋简体" w:hAnsi="方正小标宋简体" w:eastAsia="方正小标宋简体" w:cs="方正小标宋简体"/>
          <w:sz w:val="24"/>
          <w:highlight w:val="none"/>
        </w:rPr>
      </w:pPr>
      <w:r>
        <w:rPr>
          <w:rFonts w:hint="eastAsia" w:ascii="方正小标宋简体" w:hAnsi="方正小标宋简体" w:eastAsia="方正小标宋简体" w:cs="方正小标宋简体"/>
          <w:sz w:val="36"/>
          <w:szCs w:val="36"/>
          <w:highlight w:val="none"/>
        </w:rPr>
        <w:t>202</w:t>
      </w:r>
      <w:r>
        <w:rPr>
          <w:rFonts w:hint="eastAsia" w:ascii="方正小标宋简体" w:hAnsi="方正小标宋简体" w:eastAsia="方正小标宋简体" w:cs="方正小标宋简体"/>
          <w:sz w:val="36"/>
          <w:szCs w:val="36"/>
          <w:highlight w:val="none"/>
          <w:lang w:val="en-US" w:eastAsia="zh-CN"/>
        </w:rPr>
        <w:t>5</w:t>
      </w:r>
      <w:r>
        <w:rPr>
          <w:rFonts w:hint="eastAsia" w:ascii="方正小标宋简体" w:hAnsi="方正小标宋简体" w:eastAsia="方正小标宋简体" w:cs="方正小标宋简体"/>
          <w:sz w:val="36"/>
          <w:szCs w:val="36"/>
          <w:highlight w:val="none"/>
        </w:rPr>
        <w:t>年度部门整体支出绩效评价基础数据表</w:t>
      </w:r>
    </w:p>
    <w:tbl>
      <w:tblPr>
        <w:tblStyle w:val="4"/>
        <w:tblW w:w="9673" w:type="dxa"/>
        <w:jc w:val="center"/>
        <w:tblLayout w:type="fixed"/>
        <w:tblCellMar>
          <w:top w:w="0" w:type="dxa"/>
          <w:left w:w="108" w:type="dxa"/>
          <w:bottom w:w="0" w:type="dxa"/>
          <w:right w:w="108" w:type="dxa"/>
        </w:tblCellMar>
      </w:tblPr>
      <w:tblGrid>
        <w:gridCol w:w="3354"/>
        <w:gridCol w:w="1189"/>
        <w:gridCol w:w="849"/>
        <w:gridCol w:w="1129"/>
        <w:gridCol w:w="1111"/>
        <w:gridCol w:w="1081"/>
        <w:gridCol w:w="960"/>
      </w:tblGrid>
      <w:tr>
        <w:tblPrEx>
          <w:tblCellMar>
            <w:top w:w="0" w:type="dxa"/>
            <w:left w:w="108" w:type="dxa"/>
            <w:bottom w:w="0" w:type="dxa"/>
            <w:right w:w="108" w:type="dxa"/>
          </w:tblCellMar>
        </w:tblPrEx>
        <w:trPr>
          <w:trHeight w:val="0" w:hRule="atLeast"/>
          <w:jc w:val="center"/>
        </w:trPr>
        <w:tc>
          <w:tcPr>
            <w:tcW w:w="3354"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财政供养人员情况（人）</w:t>
            </w:r>
          </w:p>
        </w:tc>
        <w:tc>
          <w:tcPr>
            <w:tcW w:w="2038" w:type="dxa"/>
            <w:gridSpan w:val="2"/>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编制数</w:t>
            </w:r>
          </w:p>
        </w:tc>
        <w:tc>
          <w:tcPr>
            <w:tcW w:w="2240" w:type="dxa"/>
            <w:gridSpan w:val="2"/>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eastAsia" w:ascii="仿宋_GB2312" w:hAnsi="仿宋_GB2312" w:eastAsia="仿宋_GB2312" w:cs="仿宋_GB2312"/>
                <w:b/>
                <w:bCs/>
                <w:sz w:val="20"/>
                <w:szCs w:val="20"/>
                <w:highlight w:val="none"/>
                <w:lang w:val="en-US" w:eastAsia="zh-CN"/>
              </w:rPr>
              <w:t>5</w:t>
            </w:r>
            <w:r>
              <w:rPr>
                <w:rFonts w:hint="eastAsia" w:ascii="仿宋_GB2312" w:hAnsi="仿宋_GB2312" w:eastAsia="仿宋_GB2312" w:cs="仿宋_GB2312"/>
                <w:b/>
                <w:bCs/>
                <w:sz w:val="20"/>
                <w:szCs w:val="20"/>
                <w:highlight w:val="none"/>
              </w:rPr>
              <w:t>年实际在职人数</w:t>
            </w:r>
          </w:p>
        </w:tc>
        <w:tc>
          <w:tcPr>
            <w:tcW w:w="2041" w:type="dxa"/>
            <w:gridSpan w:val="2"/>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控制率</w:t>
            </w:r>
          </w:p>
        </w:tc>
      </w:tr>
      <w:tr>
        <w:tblPrEx>
          <w:tblCellMar>
            <w:top w:w="0" w:type="dxa"/>
            <w:left w:w="108" w:type="dxa"/>
            <w:bottom w:w="0" w:type="dxa"/>
            <w:right w:w="108" w:type="dxa"/>
          </w:tblCellMar>
        </w:tblPrEx>
        <w:trPr>
          <w:trHeight w:val="0" w:hRule="atLeast"/>
          <w:jc w:val="center"/>
        </w:trPr>
        <w:tc>
          <w:tcPr>
            <w:tcW w:w="335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p>
        </w:tc>
        <w:tc>
          <w:tcPr>
            <w:tcW w:w="2038" w:type="dxa"/>
            <w:gridSpan w:val="2"/>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81</w:t>
            </w:r>
          </w:p>
        </w:tc>
        <w:tc>
          <w:tcPr>
            <w:tcW w:w="2240" w:type="dxa"/>
            <w:gridSpan w:val="2"/>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77</w:t>
            </w:r>
          </w:p>
        </w:tc>
        <w:tc>
          <w:tcPr>
            <w:tcW w:w="2041" w:type="dxa"/>
            <w:gridSpan w:val="2"/>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95%</w:t>
            </w:r>
          </w:p>
        </w:tc>
      </w:tr>
      <w:tr>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经费控制情况（万元）</w:t>
            </w:r>
          </w:p>
        </w:tc>
        <w:tc>
          <w:tcPr>
            <w:tcW w:w="2038" w:type="dxa"/>
            <w:gridSpan w:val="2"/>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eastAsia" w:ascii="仿宋_GB2312" w:hAnsi="仿宋_GB2312" w:eastAsia="仿宋_GB2312" w:cs="仿宋_GB2312"/>
                <w:b/>
                <w:bCs/>
                <w:sz w:val="20"/>
                <w:szCs w:val="20"/>
                <w:highlight w:val="none"/>
                <w:lang w:val="en-US" w:eastAsia="zh-CN"/>
              </w:rPr>
              <w:t>4</w:t>
            </w:r>
            <w:r>
              <w:rPr>
                <w:rFonts w:hint="eastAsia" w:ascii="仿宋_GB2312" w:hAnsi="仿宋_GB2312" w:eastAsia="仿宋_GB2312" w:cs="仿宋_GB2312"/>
                <w:b/>
                <w:bCs/>
                <w:sz w:val="20"/>
                <w:szCs w:val="20"/>
                <w:highlight w:val="none"/>
              </w:rPr>
              <w:t>年决算数</w:t>
            </w:r>
          </w:p>
        </w:tc>
        <w:tc>
          <w:tcPr>
            <w:tcW w:w="2240" w:type="dxa"/>
            <w:gridSpan w:val="2"/>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eastAsia" w:ascii="仿宋_GB2312" w:hAnsi="仿宋_GB2312" w:eastAsia="仿宋_GB2312" w:cs="仿宋_GB2312"/>
                <w:b/>
                <w:bCs/>
                <w:sz w:val="20"/>
                <w:szCs w:val="20"/>
                <w:highlight w:val="none"/>
                <w:lang w:val="en-US" w:eastAsia="zh-CN"/>
              </w:rPr>
              <w:t>5</w:t>
            </w:r>
            <w:r>
              <w:rPr>
                <w:rFonts w:hint="eastAsia" w:ascii="仿宋_GB2312" w:hAnsi="仿宋_GB2312" w:eastAsia="仿宋_GB2312" w:cs="仿宋_GB2312"/>
                <w:b/>
                <w:bCs/>
                <w:sz w:val="20"/>
                <w:szCs w:val="20"/>
                <w:highlight w:val="none"/>
              </w:rPr>
              <w:t>年预算数</w:t>
            </w:r>
          </w:p>
        </w:tc>
        <w:tc>
          <w:tcPr>
            <w:tcW w:w="2041" w:type="dxa"/>
            <w:gridSpan w:val="2"/>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eastAsia" w:ascii="仿宋_GB2312" w:hAnsi="仿宋_GB2312" w:eastAsia="仿宋_GB2312" w:cs="仿宋_GB2312"/>
                <w:b/>
                <w:bCs/>
                <w:sz w:val="20"/>
                <w:szCs w:val="20"/>
                <w:highlight w:val="none"/>
                <w:lang w:val="en-US" w:eastAsia="zh-CN"/>
              </w:rPr>
              <w:t>5</w:t>
            </w:r>
            <w:r>
              <w:rPr>
                <w:rFonts w:hint="eastAsia" w:ascii="仿宋_GB2312" w:hAnsi="仿宋_GB2312" w:eastAsia="仿宋_GB2312" w:cs="仿宋_GB2312"/>
                <w:b/>
                <w:bCs/>
                <w:sz w:val="20"/>
                <w:szCs w:val="20"/>
                <w:highlight w:val="none"/>
              </w:rPr>
              <w:t>年决算数</w:t>
            </w:r>
          </w:p>
        </w:tc>
      </w:tr>
      <w:tr>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三公经费</w:t>
            </w:r>
          </w:p>
        </w:tc>
        <w:tc>
          <w:tcPr>
            <w:tcW w:w="2038" w:type="dxa"/>
            <w:gridSpan w:val="2"/>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0.08</w:t>
            </w:r>
          </w:p>
        </w:tc>
        <w:tc>
          <w:tcPr>
            <w:tcW w:w="2240" w:type="dxa"/>
            <w:gridSpan w:val="2"/>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3.5</w:t>
            </w:r>
          </w:p>
        </w:tc>
        <w:tc>
          <w:tcPr>
            <w:tcW w:w="2041" w:type="dxa"/>
            <w:gridSpan w:val="2"/>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0.056</w:t>
            </w:r>
          </w:p>
        </w:tc>
      </w:tr>
      <w:tr>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1、公务用车购置和维护经费</w:t>
            </w:r>
          </w:p>
        </w:tc>
        <w:tc>
          <w:tcPr>
            <w:tcW w:w="2038" w:type="dxa"/>
            <w:gridSpan w:val="2"/>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lang w:eastAsia="zh-CN"/>
              </w:rPr>
            </w:pPr>
          </w:p>
        </w:tc>
        <w:tc>
          <w:tcPr>
            <w:tcW w:w="2240" w:type="dxa"/>
            <w:gridSpan w:val="2"/>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lang w:eastAsia="zh-CN"/>
              </w:rPr>
            </w:pPr>
            <w:r>
              <w:rPr>
                <w:rFonts w:hint="eastAsia" w:ascii="仿宋_GB2312" w:hAnsi="仿宋_GB2312" w:eastAsia="仿宋_GB2312" w:cs="仿宋_GB2312"/>
                <w:sz w:val="20"/>
                <w:szCs w:val="20"/>
                <w:highlight w:val="none"/>
                <w:lang w:val="en-US" w:eastAsia="zh-CN"/>
              </w:rPr>
              <w:t>3</w:t>
            </w:r>
          </w:p>
        </w:tc>
        <w:tc>
          <w:tcPr>
            <w:tcW w:w="2041" w:type="dxa"/>
            <w:gridSpan w:val="2"/>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lang w:eastAsia="zh-CN"/>
              </w:rPr>
            </w:pPr>
          </w:p>
        </w:tc>
      </w:tr>
      <w:tr>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其中：公车购置</w:t>
            </w:r>
          </w:p>
        </w:tc>
        <w:tc>
          <w:tcPr>
            <w:tcW w:w="2038" w:type="dxa"/>
            <w:gridSpan w:val="2"/>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p>
        </w:tc>
        <w:tc>
          <w:tcPr>
            <w:tcW w:w="2240" w:type="dxa"/>
            <w:gridSpan w:val="2"/>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p>
        </w:tc>
        <w:tc>
          <w:tcPr>
            <w:tcW w:w="2041" w:type="dxa"/>
            <w:gridSpan w:val="2"/>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w:t>
            </w:r>
          </w:p>
        </w:tc>
      </w:tr>
      <w:tr>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公车运行维护</w:t>
            </w:r>
          </w:p>
        </w:tc>
        <w:tc>
          <w:tcPr>
            <w:tcW w:w="2038" w:type="dxa"/>
            <w:gridSpan w:val="2"/>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p>
        </w:tc>
        <w:tc>
          <w:tcPr>
            <w:tcW w:w="2240" w:type="dxa"/>
            <w:gridSpan w:val="2"/>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lang w:eastAsia="zh-CN"/>
              </w:rPr>
            </w:pPr>
            <w:r>
              <w:rPr>
                <w:rFonts w:hint="eastAsia" w:ascii="仿宋_GB2312" w:hAnsi="仿宋_GB2312" w:eastAsia="仿宋_GB2312" w:cs="仿宋_GB2312"/>
                <w:sz w:val="20"/>
                <w:szCs w:val="20"/>
                <w:highlight w:val="none"/>
                <w:lang w:val="en-US" w:eastAsia="zh-CN"/>
              </w:rPr>
              <w:t>3</w:t>
            </w:r>
          </w:p>
        </w:tc>
        <w:tc>
          <w:tcPr>
            <w:tcW w:w="2041" w:type="dxa"/>
            <w:gridSpan w:val="2"/>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w:t>
            </w:r>
          </w:p>
        </w:tc>
      </w:tr>
      <w:tr>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2、出国经费</w:t>
            </w:r>
          </w:p>
        </w:tc>
        <w:tc>
          <w:tcPr>
            <w:tcW w:w="2038" w:type="dxa"/>
            <w:gridSpan w:val="2"/>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lang w:eastAsia="zh-CN"/>
              </w:rPr>
            </w:pPr>
          </w:p>
        </w:tc>
        <w:tc>
          <w:tcPr>
            <w:tcW w:w="2240" w:type="dxa"/>
            <w:gridSpan w:val="2"/>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w:t>
            </w:r>
          </w:p>
        </w:tc>
        <w:tc>
          <w:tcPr>
            <w:tcW w:w="2041" w:type="dxa"/>
            <w:gridSpan w:val="2"/>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w:t>
            </w:r>
          </w:p>
        </w:tc>
      </w:tr>
      <w:tr>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3、公务接待</w:t>
            </w:r>
          </w:p>
        </w:tc>
        <w:tc>
          <w:tcPr>
            <w:tcW w:w="2038" w:type="dxa"/>
            <w:gridSpan w:val="2"/>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0.08</w:t>
            </w:r>
          </w:p>
        </w:tc>
        <w:tc>
          <w:tcPr>
            <w:tcW w:w="2240" w:type="dxa"/>
            <w:gridSpan w:val="2"/>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0.5</w:t>
            </w:r>
          </w:p>
        </w:tc>
        <w:tc>
          <w:tcPr>
            <w:tcW w:w="2041" w:type="dxa"/>
            <w:gridSpan w:val="2"/>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0.056</w:t>
            </w:r>
          </w:p>
        </w:tc>
      </w:tr>
      <w:tr>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项目支出：</w:t>
            </w:r>
          </w:p>
        </w:tc>
        <w:tc>
          <w:tcPr>
            <w:tcW w:w="2038" w:type="dxa"/>
            <w:gridSpan w:val="2"/>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23</w:t>
            </w:r>
          </w:p>
        </w:tc>
        <w:tc>
          <w:tcPr>
            <w:tcW w:w="2240" w:type="dxa"/>
            <w:gridSpan w:val="2"/>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22</w:t>
            </w:r>
          </w:p>
        </w:tc>
        <w:tc>
          <w:tcPr>
            <w:tcW w:w="2041" w:type="dxa"/>
            <w:gridSpan w:val="2"/>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22</w:t>
            </w:r>
          </w:p>
        </w:tc>
      </w:tr>
      <w:tr>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1、业务工作经费</w:t>
            </w:r>
          </w:p>
        </w:tc>
        <w:tc>
          <w:tcPr>
            <w:tcW w:w="2038" w:type="dxa"/>
            <w:gridSpan w:val="2"/>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15</w:t>
            </w:r>
          </w:p>
        </w:tc>
        <w:tc>
          <w:tcPr>
            <w:tcW w:w="2240" w:type="dxa"/>
            <w:gridSpan w:val="2"/>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14</w:t>
            </w:r>
          </w:p>
        </w:tc>
        <w:tc>
          <w:tcPr>
            <w:tcW w:w="2041" w:type="dxa"/>
            <w:gridSpan w:val="2"/>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14</w:t>
            </w:r>
          </w:p>
        </w:tc>
      </w:tr>
      <w:tr>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2、运行维护经费</w:t>
            </w:r>
          </w:p>
        </w:tc>
        <w:tc>
          <w:tcPr>
            <w:tcW w:w="2038" w:type="dxa"/>
            <w:gridSpan w:val="2"/>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8</w:t>
            </w:r>
          </w:p>
        </w:tc>
        <w:tc>
          <w:tcPr>
            <w:tcW w:w="2240" w:type="dxa"/>
            <w:gridSpan w:val="2"/>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lang w:eastAsia="zh-CN"/>
              </w:rPr>
            </w:pPr>
            <w:r>
              <w:rPr>
                <w:rFonts w:hint="eastAsia" w:ascii="仿宋_GB2312" w:hAnsi="仿宋_GB2312" w:eastAsia="仿宋_GB2312" w:cs="仿宋_GB2312"/>
                <w:sz w:val="20"/>
                <w:szCs w:val="20"/>
                <w:highlight w:val="none"/>
                <w:lang w:val="en-US" w:eastAsia="zh-CN"/>
              </w:rPr>
              <w:t>8</w:t>
            </w:r>
          </w:p>
        </w:tc>
        <w:tc>
          <w:tcPr>
            <w:tcW w:w="2041" w:type="dxa"/>
            <w:gridSpan w:val="2"/>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lang w:eastAsia="zh-CN"/>
              </w:rPr>
            </w:pPr>
            <w:r>
              <w:rPr>
                <w:rFonts w:hint="eastAsia" w:ascii="仿宋_GB2312" w:hAnsi="仿宋_GB2312" w:eastAsia="仿宋_GB2312" w:cs="仿宋_GB2312"/>
                <w:sz w:val="20"/>
                <w:szCs w:val="20"/>
                <w:highlight w:val="none"/>
                <w:lang w:val="en-US" w:eastAsia="zh-CN"/>
              </w:rPr>
              <w:t>8</w:t>
            </w:r>
          </w:p>
        </w:tc>
      </w:tr>
      <w:tr>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w:t>
            </w:r>
          </w:p>
        </w:tc>
        <w:tc>
          <w:tcPr>
            <w:tcW w:w="2038" w:type="dxa"/>
            <w:gridSpan w:val="2"/>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p>
        </w:tc>
        <w:tc>
          <w:tcPr>
            <w:tcW w:w="2240" w:type="dxa"/>
            <w:gridSpan w:val="2"/>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p>
        </w:tc>
        <w:tc>
          <w:tcPr>
            <w:tcW w:w="2041" w:type="dxa"/>
            <w:gridSpan w:val="2"/>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p>
        </w:tc>
      </w:tr>
      <w:tr>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3、</w:t>
            </w:r>
            <w:r>
              <w:rPr>
                <w:rFonts w:hint="eastAsia" w:ascii="仿宋_GB2312" w:hAnsi="仿宋_GB2312" w:eastAsia="仿宋_GB2312" w:cs="仿宋_GB2312"/>
                <w:sz w:val="20"/>
                <w:szCs w:val="20"/>
                <w:highlight w:val="none"/>
                <w:lang w:eastAsia="zh-CN"/>
              </w:rPr>
              <w:t>市级</w:t>
            </w:r>
            <w:r>
              <w:rPr>
                <w:rFonts w:hint="eastAsia" w:ascii="仿宋_GB2312" w:hAnsi="仿宋_GB2312" w:eastAsia="仿宋_GB2312" w:cs="仿宋_GB2312"/>
                <w:sz w:val="20"/>
                <w:szCs w:val="20"/>
                <w:highlight w:val="none"/>
              </w:rPr>
              <w:t>专项资金（一个专项一行）</w:t>
            </w:r>
          </w:p>
        </w:tc>
        <w:tc>
          <w:tcPr>
            <w:tcW w:w="2038" w:type="dxa"/>
            <w:gridSpan w:val="2"/>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p>
        </w:tc>
        <w:tc>
          <w:tcPr>
            <w:tcW w:w="2240" w:type="dxa"/>
            <w:gridSpan w:val="2"/>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w:t>
            </w:r>
          </w:p>
        </w:tc>
        <w:tc>
          <w:tcPr>
            <w:tcW w:w="2041" w:type="dxa"/>
            <w:gridSpan w:val="2"/>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w:t>
            </w:r>
          </w:p>
        </w:tc>
      </w:tr>
      <w:tr>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w:t>
            </w:r>
          </w:p>
        </w:tc>
        <w:tc>
          <w:tcPr>
            <w:tcW w:w="2038" w:type="dxa"/>
            <w:gridSpan w:val="2"/>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p>
        </w:tc>
        <w:tc>
          <w:tcPr>
            <w:tcW w:w="2240" w:type="dxa"/>
            <w:gridSpan w:val="2"/>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p>
        </w:tc>
        <w:tc>
          <w:tcPr>
            <w:tcW w:w="2041" w:type="dxa"/>
            <w:gridSpan w:val="2"/>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p>
        </w:tc>
      </w:tr>
      <w:tr>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公用经费</w:t>
            </w:r>
          </w:p>
        </w:tc>
        <w:tc>
          <w:tcPr>
            <w:tcW w:w="2038" w:type="dxa"/>
            <w:gridSpan w:val="2"/>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160.63</w:t>
            </w:r>
            <w:r>
              <w:rPr>
                <w:rFonts w:hint="eastAsia" w:ascii="仿宋_GB2312" w:hAnsi="仿宋_GB2312" w:eastAsia="仿宋_GB2312" w:cs="仿宋_GB2312"/>
                <w:sz w:val="20"/>
                <w:szCs w:val="20"/>
                <w:highlight w:val="none"/>
              </w:rPr>
              <w:t>　</w:t>
            </w:r>
          </w:p>
        </w:tc>
        <w:tc>
          <w:tcPr>
            <w:tcW w:w="2240" w:type="dxa"/>
            <w:gridSpan w:val="2"/>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140.32</w:t>
            </w:r>
            <w:r>
              <w:rPr>
                <w:rFonts w:hint="eastAsia" w:ascii="仿宋_GB2312" w:hAnsi="仿宋_GB2312" w:eastAsia="仿宋_GB2312" w:cs="仿宋_GB2312"/>
                <w:sz w:val="20"/>
                <w:szCs w:val="20"/>
                <w:highlight w:val="none"/>
              </w:rPr>
              <w:t>　</w:t>
            </w:r>
          </w:p>
        </w:tc>
        <w:tc>
          <w:tcPr>
            <w:tcW w:w="2041" w:type="dxa"/>
            <w:gridSpan w:val="2"/>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　</w:t>
            </w:r>
            <w:r>
              <w:rPr>
                <w:rFonts w:hint="eastAsia" w:ascii="仿宋_GB2312" w:hAnsi="仿宋_GB2312" w:eastAsia="仿宋_GB2312" w:cs="仿宋_GB2312"/>
                <w:sz w:val="20"/>
                <w:szCs w:val="20"/>
                <w:highlight w:val="none"/>
                <w:lang w:val="en-US" w:eastAsia="zh-CN"/>
              </w:rPr>
              <w:t>140.2</w:t>
            </w:r>
          </w:p>
        </w:tc>
      </w:tr>
      <w:tr>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其中：办公经费</w:t>
            </w:r>
          </w:p>
        </w:tc>
        <w:tc>
          <w:tcPr>
            <w:tcW w:w="2038" w:type="dxa"/>
            <w:gridSpan w:val="2"/>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8.97</w:t>
            </w:r>
          </w:p>
        </w:tc>
        <w:tc>
          <w:tcPr>
            <w:tcW w:w="2240" w:type="dxa"/>
            <w:gridSpan w:val="2"/>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lang w:val="en-US" w:eastAsia="zh-CN"/>
              </w:rPr>
              <w:t>59.6</w:t>
            </w:r>
            <w:r>
              <w:rPr>
                <w:rFonts w:hint="eastAsia" w:ascii="仿宋_GB2312" w:hAnsi="仿宋_GB2312" w:eastAsia="仿宋_GB2312" w:cs="仿宋_GB2312"/>
                <w:color w:val="auto"/>
                <w:sz w:val="20"/>
                <w:szCs w:val="20"/>
                <w:highlight w:val="none"/>
              </w:rPr>
              <w:t>　</w:t>
            </w:r>
          </w:p>
        </w:tc>
        <w:tc>
          <w:tcPr>
            <w:tcW w:w="2041" w:type="dxa"/>
            <w:gridSpan w:val="2"/>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59.6</w:t>
            </w:r>
          </w:p>
        </w:tc>
      </w:tr>
      <w:tr>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水费、电费、差旅费</w:t>
            </w:r>
          </w:p>
        </w:tc>
        <w:tc>
          <w:tcPr>
            <w:tcW w:w="2038" w:type="dxa"/>
            <w:gridSpan w:val="2"/>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26.79</w:t>
            </w:r>
          </w:p>
        </w:tc>
        <w:tc>
          <w:tcPr>
            <w:tcW w:w="2240" w:type="dxa"/>
            <w:gridSpan w:val="2"/>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lang w:val="en-US" w:eastAsia="zh-CN"/>
              </w:rPr>
              <w:t>24.64</w:t>
            </w:r>
            <w:r>
              <w:rPr>
                <w:rFonts w:hint="eastAsia" w:ascii="仿宋_GB2312" w:hAnsi="仿宋_GB2312" w:eastAsia="仿宋_GB2312" w:cs="仿宋_GB2312"/>
                <w:color w:val="auto"/>
                <w:sz w:val="20"/>
                <w:szCs w:val="20"/>
                <w:highlight w:val="none"/>
              </w:rPr>
              <w:t>　</w:t>
            </w:r>
          </w:p>
        </w:tc>
        <w:tc>
          <w:tcPr>
            <w:tcW w:w="2041" w:type="dxa"/>
            <w:gridSpan w:val="2"/>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24.64</w:t>
            </w:r>
          </w:p>
        </w:tc>
      </w:tr>
      <w:tr>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会议费、培训费</w:t>
            </w:r>
          </w:p>
        </w:tc>
        <w:tc>
          <w:tcPr>
            <w:tcW w:w="2038" w:type="dxa"/>
            <w:gridSpan w:val="2"/>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rPr>
              <w:t>　</w:t>
            </w:r>
            <w:r>
              <w:rPr>
                <w:rFonts w:hint="eastAsia" w:ascii="仿宋_GB2312" w:hAnsi="仿宋_GB2312" w:eastAsia="仿宋_GB2312" w:cs="仿宋_GB2312"/>
                <w:color w:val="auto"/>
                <w:sz w:val="20"/>
                <w:szCs w:val="20"/>
                <w:highlight w:val="none"/>
                <w:lang w:val="en-US" w:eastAsia="zh-CN"/>
              </w:rPr>
              <w:t>0.37</w:t>
            </w:r>
          </w:p>
        </w:tc>
        <w:tc>
          <w:tcPr>
            <w:tcW w:w="2240" w:type="dxa"/>
            <w:gridSpan w:val="2"/>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rPr>
              <w:t>　</w:t>
            </w:r>
            <w:r>
              <w:rPr>
                <w:rFonts w:hint="eastAsia" w:ascii="仿宋_GB2312" w:hAnsi="仿宋_GB2312" w:eastAsia="仿宋_GB2312" w:cs="仿宋_GB2312"/>
                <w:color w:val="auto"/>
                <w:sz w:val="20"/>
                <w:szCs w:val="20"/>
                <w:highlight w:val="none"/>
                <w:lang w:val="en-US" w:eastAsia="zh-CN"/>
              </w:rPr>
              <w:t>3</w:t>
            </w:r>
          </w:p>
        </w:tc>
        <w:tc>
          <w:tcPr>
            <w:tcW w:w="2041" w:type="dxa"/>
            <w:gridSpan w:val="2"/>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2.95</w:t>
            </w:r>
          </w:p>
        </w:tc>
      </w:tr>
      <w:tr>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政府采购金额</w:t>
            </w:r>
          </w:p>
        </w:tc>
        <w:tc>
          <w:tcPr>
            <w:tcW w:w="2038" w:type="dxa"/>
            <w:gridSpan w:val="2"/>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w:t>
            </w:r>
          </w:p>
        </w:tc>
        <w:tc>
          <w:tcPr>
            <w:tcW w:w="2240" w:type="dxa"/>
            <w:gridSpan w:val="2"/>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50</w:t>
            </w:r>
          </w:p>
        </w:tc>
        <w:tc>
          <w:tcPr>
            <w:tcW w:w="2041" w:type="dxa"/>
            <w:gridSpan w:val="2"/>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40.6</w:t>
            </w:r>
          </w:p>
        </w:tc>
      </w:tr>
      <w:tr>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部门基本支出预算调整 </w:t>
            </w:r>
          </w:p>
        </w:tc>
        <w:tc>
          <w:tcPr>
            <w:tcW w:w="2038" w:type="dxa"/>
            <w:gridSpan w:val="2"/>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w:t>
            </w:r>
          </w:p>
        </w:tc>
        <w:tc>
          <w:tcPr>
            <w:tcW w:w="2240" w:type="dxa"/>
            <w:gridSpan w:val="2"/>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w:t>
            </w:r>
          </w:p>
        </w:tc>
        <w:tc>
          <w:tcPr>
            <w:tcW w:w="2041" w:type="dxa"/>
            <w:gridSpan w:val="2"/>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w:t>
            </w:r>
          </w:p>
        </w:tc>
      </w:tr>
      <w:tr>
        <w:tblPrEx>
          <w:tblCellMar>
            <w:top w:w="0" w:type="dxa"/>
            <w:left w:w="108" w:type="dxa"/>
            <w:bottom w:w="0" w:type="dxa"/>
            <w:right w:w="108" w:type="dxa"/>
          </w:tblCellMar>
        </w:tblPrEx>
        <w:trPr>
          <w:trHeight w:val="0" w:hRule="atLeast"/>
          <w:jc w:val="center"/>
        </w:trPr>
        <w:tc>
          <w:tcPr>
            <w:tcW w:w="3354"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lang w:eastAsia="zh-CN"/>
              </w:rPr>
            </w:pPr>
            <w:r>
              <w:rPr>
                <w:rFonts w:hint="eastAsia" w:ascii="仿宋_GB2312" w:hAnsi="仿宋_GB2312" w:eastAsia="仿宋_GB2312" w:cs="仿宋_GB2312"/>
                <w:sz w:val="20"/>
                <w:szCs w:val="20"/>
                <w:highlight w:val="none"/>
              </w:rPr>
              <w:t>楼堂馆所控制情况</w:t>
            </w:r>
          </w:p>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（202</w:t>
            </w:r>
            <w:r>
              <w:rPr>
                <w:rFonts w:hint="eastAsia" w:ascii="仿宋_GB2312" w:hAnsi="仿宋_GB2312" w:eastAsia="仿宋_GB2312" w:cs="仿宋_GB2312"/>
                <w:sz w:val="20"/>
                <w:szCs w:val="20"/>
                <w:highlight w:val="none"/>
                <w:lang w:val="en-US" w:eastAsia="zh-CN"/>
              </w:rPr>
              <w:t>5</w:t>
            </w:r>
            <w:r>
              <w:rPr>
                <w:rFonts w:hint="eastAsia" w:ascii="仿宋_GB2312" w:hAnsi="仿宋_GB2312" w:eastAsia="仿宋_GB2312" w:cs="仿宋_GB2312"/>
                <w:sz w:val="20"/>
                <w:szCs w:val="20"/>
                <w:highlight w:val="none"/>
              </w:rPr>
              <w:t>年完工项目）</w:t>
            </w:r>
          </w:p>
        </w:tc>
        <w:tc>
          <w:tcPr>
            <w:tcW w:w="1189"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0"/>
                <w:szCs w:val="20"/>
                <w:highlight w:val="none"/>
                <w:lang w:eastAsia="zh-CN"/>
              </w:rPr>
            </w:pPr>
            <w:r>
              <w:rPr>
                <w:rFonts w:hint="eastAsia" w:ascii="仿宋_GB2312" w:hAnsi="仿宋_GB2312" w:eastAsia="仿宋_GB2312" w:cs="仿宋_GB2312"/>
                <w:bCs/>
                <w:sz w:val="20"/>
                <w:szCs w:val="20"/>
                <w:highlight w:val="none"/>
              </w:rPr>
              <w:t>批复规模</w:t>
            </w:r>
          </w:p>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w:t>
            </w:r>
          </w:p>
        </w:tc>
        <w:tc>
          <w:tcPr>
            <w:tcW w:w="849"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实际规模（㎡）</w:t>
            </w:r>
          </w:p>
        </w:tc>
        <w:tc>
          <w:tcPr>
            <w:tcW w:w="1129"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规模控制率</w:t>
            </w:r>
          </w:p>
        </w:tc>
        <w:tc>
          <w:tcPr>
            <w:tcW w:w="1111"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预算投资（万元）</w:t>
            </w:r>
          </w:p>
        </w:tc>
        <w:tc>
          <w:tcPr>
            <w:tcW w:w="1081"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实际投资（万元）</w:t>
            </w:r>
          </w:p>
        </w:tc>
        <w:tc>
          <w:tcPr>
            <w:tcW w:w="960"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投资概算控制率</w:t>
            </w:r>
          </w:p>
        </w:tc>
      </w:tr>
      <w:tr>
        <w:tblPrEx>
          <w:tblCellMar>
            <w:top w:w="0" w:type="dxa"/>
            <w:left w:w="108" w:type="dxa"/>
            <w:bottom w:w="0" w:type="dxa"/>
            <w:right w:w="108" w:type="dxa"/>
          </w:tblCellMar>
        </w:tblPrEx>
        <w:trPr>
          <w:trHeight w:val="0" w:hRule="atLeast"/>
          <w:jc w:val="center"/>
        </w:trPr>
        <w:tc>
          <w:tcPr>
            <w:tcW w:w="3354"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p>
        </w:tc>
        <w:tc>
          <w:tcPr>
            <w:tcW w:w="1189"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w:t>
            </w:r>
          </w:p>
        </w:tc>
        <w:tc>
          <w:tcPr>
            <w:tcW w:w="849"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w:t>
            </w:r>
          </w:p>
        </w:tc>
        <w:tc>
          <w:tcPr>
            <w:tcW w:w="1129"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w:t>
            </w:r>
          </w:p>
        </w:tc>
        <w:tc>
          <w:tcPr>
            <w:tcW w:w="1111"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w:t>
            </w:r>
          </w:p>
        </w:tc>
        <w:tc>
          <w:tcPr>
            <w:tcW w:w="1081"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w:t>
            </w:r>
          </w:p>
        </w:tc>
        <w:tc>
          <w:tcPr>
            <w:tcW w:w="960"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w:t>
            </w:r>
          </w:p>
        </w:tc>
      </w:tr>
      <w:tr>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厉行节约保障措施</w:t>
            </w:r>
          </w:p>
        </w:tc>
        <w:tc>
          <w:tcPr>
            <w:tcW w:w="6319" w:type="dxa"/>
            <w:gridSpan w:val="6"/>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坚持过紧日子，严控各项经费支出</w:t>
            </w:r>
            <w:r>
              <w:rPr>
                <w:rFonts w:hint="eastAsia" w:ascii="仿宋_GB2312" w:hAnsi="仿宋_GB2312" w:eastAsia="仿宋_GB2312" w:cs="仿宋_GB2312"/>
                <w:sz w:val="20"/>
                <w:szCs w:val="20"/>
                <w:highlight w:val="none"/>
              </w:rPr>
              <w:t>　</w:t>
            </w:r>
          </w:p>
        </w:tc>
      </w:tr>
    </w:tbl>
    <w:p>
      <w:pPr>
        <w:keepNext w:val="0"/>
        <w:keepLines w:val="0"/>
        <w:pageBreakBefore w:val="0"/>
        <w:widowControl w:val="0"/>
        <w:kinsoku/>
        <w:overflowPunct/>
        <w:topLinePunct w:val="0"/>
        <w:autoSpaceDE/>
        <w:autoSpaceDN/>
        <w:bidi w:val="0"/>
        <w:adjustRightInd/>
        <w:snapToGrid/>
        <w:spacing w:afterLines="0" w:line="400" w:lineRule="exact"/>
        <w:ind w:left="660" w:hanging="660" w:hangingChars="300"/>
        <w:jc w:val="left"/>
        <w:textAlignment w:val="auto"/>
        <w:rPr>
          <w:rFonts w:hint="default" w:ascii="Times New Roman" w:hAnsi="Times New Roman" w:eastAsia="仿宋_GB2312" w:cs="Times New Roman"/>
          <w:sz w:val="22"/>
          <w:highlight w:val="none"/>
        </w:rPr>
      </w:pPr>
      <w:r>
        <w:rPr>
          <w:rFonts w:hint="default" w:ascii="Times New Roman" w:hAnsi="Times New Roman" w:eastAsia="仿宋_GB2312" w:cs="Times New Roman"/>
          <w:sz w:val="22"/>
          <w:highlight w:val="none"/>
        </w:rPr>
        <w:t>说明：“项目支出”需要填报基本支出以外的所有项目支出情况，“公用经费”填报基本支出中的一般商品和服务支出。</w:t>
      </w:r>
    </w:p>
    <w:p>
      <w:pPr>
        <w:keepNext w:val="0"/>
        <w:keepLines w:val="0"/>
        <w:pageBreakBefore w:val="0"/>
        <w:widowControl w:val="0"/>
        <w:kinsoku/>
        <w:overflowPunct/>
        <w:topLinePunct w:val="0"/>
        <w:autoSpaceDE/>
        <w:autoSpaceDN/>
        <w:bidi w:val="0"/>
        <w:adjustRightInd/>
        <w:snapToGrid/>
        <w:spacing w:afterLines="0" w:line="400" w:lineRule="exact"/>
        <w:jc w:val="left"/>
        <w:textAlignment w:val="auto"/>
        <w:rPr>
          <w:rFonts w:hint="default" w:ascii="Times New Roman" w:hAnsi="Times New Roman" w:eastAsia="仿宋_GB2312" w:cs="Times New Roman"/>
          <w:sz w:val="22"/>
          <w:highlight w:val="none"/>
        </w:rPr>
      </w:pPr>
    </w:p>
    <w:p>
      <w:pPr>
        <w:keepNext w:val="0"/>
        <w:keepLines w:val="0"/>
        <w:pageBreakBefore w:val="0"/>
        <w:widowControl w:val="0"/>
        <w:kinsoku/>
        <w:overflowPunct/>
        <w:topLinePunct w:val="0"/>
        <w:autoSpaceDE/>
        <w:autoSpaceDN/>
        <w:bidi w:val="0"/>
        <w:adjustRightInd/>
        <w:snapToGrid/>
        <w:spacing w:after="0" w:afterLines="0" w:line="400" w:lineRule="exact"/>
        <w:jc w:val="left"/>
        <w:textAlignment w:val="auto"/>
        <w:rPr>
          <w:rFonts w:hint="default" w:ascii="Times New Roman" w:hAnsi="Times New Roman" w:eastAsia="仿宋_GB2312" w:cs="Times New Roman"/>
          <w:sz w:val="22"/>
          <w:szCs w:val="22"/>
          <w:highlight w:val="none"/>
        </w:rPr>
      </w:pPr>
      <w:r>
        <w:rPr>
          <w:rFonts w:hint="default" w:ascii="Times New Roman" w:hAnsi="Times New Roman" w:eastAsia="仿宋_GB2312" w:cs="Times New Roman"/>
          <w:sz w:val="22"/>
          <w:szCs w:val="22"/>
          <w:highlight w:val="none"/>
        </w:rPr>
        <w:t>填表人：</w:t>
      </w:r>
      <w:r>
        <w:rPr>
          <w:rFonts w:hint="eastAsia" w:eastAsia="仿宋_GB2312" w:cs="Times New Roman"/>
          <w:sz w:val="22"/>
          <w:szCs w:val="22"/>
          <w:highlight w:val="none"/>
          <w:lang w:val="en-US" w:eastAsia="zh-CN"/>
        </w:rPr>
        <w:t>戴岑</w:t>
      </w:r>
      <w:r>
        <w:rPr>
          <w:rFonts w:hint="default" w:ascii="Times New Roman" w:hAnsi="Times New Roman" w:eastAsia="仿宋_GB2312" w:cs="Times New Roman"/>
          <w:sz w:val="22"/>
          <w:szCs w:val="22"/>
          <w:highlight w:val="none"/>
        </w:rPr>
        <w:t xml:space="preserve"> 填报日期：</w:t>
      </w:r>
      <w:r>
        <w:rPr>
          <w:rFonts w:hint="eastAsia" w:eastAsia="仿宋_GB2312" w:cs="Times New Roman"/>
          <w:sz w:val="22"/>
          <w:szCs w:val="22"/>
          <w:highlight w:val="none"/>
          <w:lang w:val="en-US" w:eastAsia="zh-CN"/>
        </w:rPr>
        <w:t>2026.07.11</w:t>
      </w:r>
      <w:r>
        <w:rPr>
          <w:rFonts w:hint="default" w:ascii="Times New Roman" w:hAnsi="Times New Roman" w:eastAsia="仿宋_GB2312" w:cs="Times New Roman"/>
          <w:sz w:val="22"/>
          <w:szCs w:val="22"/>
          <w:highlight w:val="none"/>
        </w:rPr>
        <w:t xml:space="preserve">  联系电话：</w:t>
      </w:r>
      <w:r>
        <w:rPr>
          <w:rFonts w:hint="eastAsia" w:eastAsia="仿宋_GB2312" w:cs="Times New Roman"/>
          <w:sz w:val="22"/>
          <w:szCs w:val="22"/>
          <w:highlight w:val="none"/>
          <w:lang w:val="en-US" w:eastAsia="zh-CN"/>
        </w:rPr>
        <w:t>13873000100</w:t>
      </w:r>
      <w:r>
        <w:rPr>
          <w:rFonts w:hint="eastAsia" w:ascii="Times New Roman" w:hAnsi="Times New Roman" w:eastAsia="仿宋_GB2312" w:cs="Times New Roman"/>
          <w:sz w:val="22"/>
          <w:szCs w:val="22"/>
          <w:highlight w:val="none"/>
          <w:lang w:val="en-US" w:eastAsia="zh-CN"/>
        </w:rPr>
        <w:t xml:space="preserve"> </w:t>
      </w:r>
      <w:r>
        <w:rPr>
          <w:rFonts w:hint="default" w:ascii="Times New Roman" w:hAnsi="Times New Roman" w:eastAsia="仿宋_GB2312" w:cs="Times New Roman"/>
          <w:sz w:val="22"/>
          <w:szCs w:val="22"/>
          <w:highlight w:val="none"/>
        </w:rPr>
        <w:t>单位负责人签字：</w:t>
      </w:r>
    </w:p>
    <w:p>
      <w:pPr>
        <w:keepNext w:val="0"/>
        <w:keepLines w:val="0"/>
        <w:pageBreakBefore w:val="0"/>
        <w:widowControl w:val="0"/>
        <w:kinsoku/>
        <w:overflowPunct/>
        <w:topLinePunct w:val="0"/>
        <w:autoSpaceDE/>
        <w:autoSpaceDN/>
        <w:bidi w:val="0"/>
        <w:adjustRightInd/>
        <w:snapToGrid/>
        <w:spacing w:after="0" w:afterLines="0" w:line="400" w:lineRule="exact"/>
        <w:jc w:val="left"/>
        <w:textAlignment w:val="auto"/>
        <w:rPr>
          <w:rFonts w:hint="default" w:ascii="Times New Roman" w:hAnsi="Times New Roman" w:eastAsia="仿宋_GB2312" w:cs="Times New Roman"/>
          <w:sz w:val="22"/>
          <w:szCs w:val="22"/>
          <w:highlight w:val="none"/>
        </w:rPr>
      </w:pPr>
    </w:p>
    <w:p>
      <w:pPr>
        <w:keepNext w:val="0"/>
        <w:keepLines w:val="0"/>
        <w:pageBreakBefore w:val="0"/>
        <w:widowControl w:val="0"/>
        <w:kinsoku/>
        <w:overflowPunct/>
        <w:topLinePunct w:val="0"/>
        <w:autoSpaceDE/>
        <w:autoSpaceDN/>
        <w:bidi w:val="0"/>
        <w:adjustRightInd/>
        <w:snapToGrid/>
        <w:spacing w:after="0" w:afterLines="0" w:line="400" w:lineRule="exact"/>
        <w:jc w:val="left"/>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2</w:t>
      </w:r>
    </w:p>
    <w:p>
      <w:pPr>
        <w:keepNext w:val="0"/>
        <w:keepLines w:val="0"/>
        <w:pageBreakBefore w:val="0"/>
        <w:widowControl w:val="0"/>
        <w:kinsoku/>
        <w:overflowPunct/>
        <w:topLinePunct w:val="0"/>
        <w:autoSpaceDE/>
        <w:autoSpaceDN/>
        <w:bidi w:val="0"/>
        <w:adjustRightInd/>
        <w:snapToGrid/>
        <w:spacing w:after="0" w:afterLines="0" w:line="400" w:lineRule="exact"/>
        <w:jc w:val="left"/>
        <w:textAlignment w:val="auto"/>
        <w:rPr>
          <w:rFonts w:hint="eastAsia" w:ascii="黑体" w:hAnsi="黑体" w:eastAsia="黑体" w:cs="黑体"/>
          <w:sz w:val="32"/>
          <w:szCs w:val="32"/>
          <w:highlight w:val="none"/>
          <w:lang w:val="en-US" w:eastAsia="zh-CN"/>
        </w:rPr>
      </w:pPr>
    </w:p>
    <w:p>
      <w:pPr>
        <w:keepNext w:val="0"/>
        <w:keepLines w:val="0"/>
        <w:pageBreakBefore w:val="0"/>
        <w:widowControl w:val="0"/>
        <w:kinsoku/>
        <w:overflowPunct/>
        <w:topLinePunct w:val="0"/>
        <w:autoSpaceDE/>
        <w:autoSpaceDN/>
        <w:bidi w:val="0"/>
        <w:adjustRightInd/>
        <w:snapToGrid/>
        <w:spacing w:after="120" w:afterLines="50"/>
        <w:jc w:val="center"/>
        <w:textAlignment w:val="auto"/>
        <w:rPr>
          <w:rFonts w:hint="eastAsia" w:ascii="方正小标宋简体" w:hAnsi="方正小标宋简体" w:eastAsia="方正小标宋简体" w:cs="方正小标宋简体"/>
          <w:color w:val="000000"/>
          <w:sz w:val="36"/>
          <w:szCs w:val="36"/>
          <w:highlight w:val="none"/>
        </w:rPr>
      </w:pPr>
      <w:r>
        <w:rPr>
          <w:rFonts w:hint="eastAsia" w:ascii="方正小标宋简体" w:hAnsi="方正小标宋简体" w:eastAsia="方正小标宋简体" w:cs="方正小标宋简体"/>
          <w:color w:val="000000"/>
          <w:sz w:val="36"/>
          <w:szCs w:val="36"/>
          <w:highlight w:val="none"/>
        </w:rPr>
        <w:t>202</w:t>
      </w:r>
      <w:r>
        <w:rPr>
          <w:rFonts w:hint="eastAsia" w:ascii="方正小标宋简体" w:hAnsi="方正小标宋简体" w:eastAsia="方正小标宋简体" w:cs="方正小标宋简体"/>
          <w:color w:val="000000"/>
          <w:sz w:val="36"/>
          <w:szCs w:val="36"/>
          <w:highlight w:val="none"/>
          <w:lang w:val="en-US" w:eastAsia="zh-CN"/>
        </w:rPr>
        <w:t>5</w:t>
      </w:r>
      <w:r>
        <w:rPr>
          <w:rFonts w:hint="eastAsia" w:ascii="方正小标宋简体" w:hAnsi="方正小标宋简体" w:eastAsia="方正小标宋简体" w:cs="方正小标宋简体"/>
          <w:color w:val="000000"/>
          <w:sz w:val="36"/>
          <w:szCs w:val="36"/>
          <w:highlight w:val="none"/>
        </w:rPr>
        <w:t>年度部门整体支出绩效自评表</w:t>
      </w:r>
    </w:p>
    <w:tbl>
      <w:tblPr>
        <w:tblStyle w:val="4"/>
        <w:tblW w:w="10079" w:type="dxa"/>
        <w:jc w:val="center"/>
        <w:tblLayout w:type="autofit"/>
        <w:tblCellMar>
          <w:top w:w="0" w:type="dxa"/>
          <w:left w:w="108" w:type="dxa"/>
          <w:bottom w:w="0" w:type="dxa"/>
          <w:right w:w="108" w:type="dxa"/>
        </w:tblCellMar>
      </w:tblPr>
      <w:tblGrid>
        <w:gridCol w:w="1080"/>
        <w:gridCol w:w="1080"/>
        <w:gridCol w:w="1034"/>
        <w:gridCol w:w="1270"/>
        <w:gridCol w:w="1311"/>
        <w:gridCol w:w="1269"/>
        <w:gridCol w:w="716"/>
        <w:gridCol w:w="873"/>
        <w:gridCol w:w="1446"/>
      </w:tblGrid>
      <w:tr>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市</w:t>
            </w:r>
            <w:r>
              <w:rPr>
                <w:rFonts w:hint="eastAsia" w:ascii="仿宋_GB2312" w:hAnsi="仿宋_GB2312" w:eastAsia="仿宋_GB2312" w:cs="仿宋_GB2312"/>
                <w:color w:val="000000"/>
                <w:sz w:val="20"/>
                <w:szCs w:val="20"/>
                <w:highlight w:val="none"/>
              </w:rPr>
              <w:t>级预算部门名称</w:t>
            </w:r>
          </w:p>
        </w:tc>
        <w:tc>
          <w:tcPr>
            <w:tcW w:w="8999" w:type="dxa"/>
            <w:gridSpan w:val="8"/>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岳阳市道路运输服务中心</w:t>
            </w:r>
            <w:r>
              <w:rPr>
                <w:rFonts w:hint="eastAsia" w:ascii="仿宋_GB2312" w:hAnsi="仿宋_GB2312" w:eastAsia="仿宋_GB2312" w:cs="仿宋_GB2312"/>
                <w:color w:val="000000"/>
                <w:sz w:val="20"/>
                <w:szCs w:val="20"/>
                <w:highlight w:val="none"/>
              </w:rPr>
              <w:t>　</w:t>
            </w: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年度预</w:t>
            </w:r>
          </w:p>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rPr>
              <w:t>算申请</w:t>
            </w:r>
          </w:p>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（万元）</w:t>
            </w:r>
          </w:p>
        </w:tc>
        <w:tc>
          <w:tcPr>
            <w:tcW w:w="2114" w:type="dxa"/>
            <w:gridSpan w:val="2"/>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highlight w:val="none"/>
              </w:rPr>
            </w:pPr>
          </w:p>
        </w:tc>
        <w:tc>
          <w:tcPr>
            <w:tcW w:w="1270"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年初预算数</w:t>
            </w:r>
          </w:p>
        </w:tc>
        <w:tc>
          <w:tcPr>
            <w:tcW w:w="1311"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全年预算数</w:t>
            </w:r>
          </w:p>
        </w:tc>
        <w:tc>
          <w:tcPr>
            <w:tcW w:w="1269"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全年执行数</w:t>
            </w:r>
          </w:p>
        </w:tc>
        <w:tc>
          <w:tcPr>
            <w:tcW w:w="716"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分值</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执行率</w:t>
            </w:r>
          </w:p>
        </w:tc>
        <w:tc>
          <w:tcPr>
            <w:tcW w:w="1446"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得分</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tc>
        <w:tc>
          <w:tcPr>
            <w:tcW w:w="2114" w:type="dxa"/>
            <w:gridSpan w:val="2"/>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color w:val="000000"/>
                <w:sz w:val="20"/>
                <w:szCs w:val="20"/>
                <w:highlight w:val="none"/>
              </w:rPr>
              <w:t>年度资金总额</w:t>
            </w:r>
          </w:p>
        </w:tc>
        <w:tc>
          <w:tcPr>
            <w:tcW w:w="1270"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1473.39</w:t>
            </w:r>
          </w:p>
        </w:tc>
        <w:tc>
          <w:tcPr>
            <w:tcW w:w="1311"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1940.78</w:t>
            </w:r>
          </w:p>
        </w:tc>
        <w:tc>
          <w:tcPr>
            <w:tcW w:w="1269"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1904.2</w:t>
            </w:r>
          </w:p>
        </w:tc>
        <w:tc>
          <w:tcPr>
            <w:tcW w:w="716"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95.45%</w:t>
            </w:r>
          </w:p>
        </w:tc>
        <w:tc>
          <w:tcPr>
            <w:tcW w:w="1446"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9.5</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4695" w:type="dxa"/>
            <w:gridSpan w:val="4"/>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按收入性质分：</w:t>
            </w:r>
          </w:p>
        </w:tc>
        <w:tc>
          <w:tcPr>
            <w:tcW w:w="4304" w:type="dxa"/>
            <w:gridSpan w:val="4"/>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按支出性质分：</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4695" w:type="dxa"/>
            <w:gridSpan w:val="4"/>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xml:space="preserve">  其中：  一般公共预算：</w:t>
            </w:r>
            <w:r>
              <w:rPr>
                <w:rFonts w:hint="eastAsia" w:ascii="仿宋_GB2312" w:hAnsi="仿宋_GB2312" w:eastAsia="仿宋_GB2312" w:cs="仿宋_GB2312"/>
                <w:color w:val="000000"/>
                <w:sz w:val="20"/>
                <w:szCs w:val="20"/>
                <w:highlight w:val="none"/>
                <w:lang w:val="en-US" w:eastAsia="zh-CN"/>
              </w:rPr>
              <w:t>1473.39</w:t>
            </w:r>
          </w:p>
        </w:tc>
        <w:tc>
          <w:tcPr>
            <w:tcW w:w="4304" w:type="dxa"/>
            <w:gridSpan w:val="4"/>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其中：基本支出：</w:t>
            </w:r>
            <w:r>
              <w:rPr>
                <w:rFonts w:hint="eastAsia" w:ascii="仿宋_GB2312" w:hAnsi="仿宋_GB2312" w:eastAsia="仿宋_GB2312" w:cs="仿宋_GB2312"/>
                <w:color w:val="000000"/>
                <w:sz w:val="20"/>
                <w:szCs w:val="20"/>
                <w:highlight w:val="none"/>
                <w:lang w:val="en-US" w:eastAsia="zh-CN"/>
              </w:rPr>
              <w:t>1980.2</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4695" w:type="dxa"/>
            <w:gridSpan w:val="4"/>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ind w:firstLine="800" w:firstLineChars="4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政府性基金拨款：</w:t>
            </w:r>
          </w:p>
        </w:tc>
        <w:tc>
          <w:tcPr>
            <w:tcW w:w="4304" w:type="dxa"/>
            <w:gridSpan w:val="4"/>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ind w:firstLine="600" w:firstLineChars="300"/>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项目支出：</w:t>
            </w:r>
            <w:r>
              <w:rPr>
                <w:rFonts w:hint="eastAsia" w:ascii="仿宋_GB2312" w:hAnsi="仿宋_GB2312" w:eastAsia="仿宋_GB2312" w:cs="仿宋_GB2312"/>
                <w:color w:val="000000"/>
                <w:sz w:val="20"/>
                <w:szCs w:val="20"/>
                <w:highlight w:val="none"/>
                <w:lang w:val="en-US" w:eastAsia="zh-CN"/>
              </w:rPr>
              <w:t>14</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4695" w:type="dxa"/>
            <w:gridSpan w:val="4"/>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纳入专户管理的非税收入拨款：</w:t>
            </w:r>
          </w:p>
        </w:tc>
        <w:tc>
          <w:tcPr>
            <w:tcW w:w="4304" w:type="dxa"/>
            <w:gridSpan w:val="4"/>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bottom w:val="single" w:color="000000"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4695" w:type="dxa"/>
            <w:gridSpan w:val="4"/>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ind w:firstLine="1400" w:firstLineChars="700"/>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其他资金：</w:t>
            </w:r>
            <w:r>
              <w:rPr>
                <w:rFonts w:hint="eastAsia" w:ascii="仿宋_GB2312" w:hAnsi="仿宋_GB2312" w:eastAsia="仿宋_GB2312" w:cs="仿宋_GB2312"/>
                <w:color w:val="000000"/>
                <w:sz w:val="20"/>
                <w:szCs w:val="20"/>
                <w:highlight w:val="none"/>
                <w:lang w:val="en-US" w:eastAsia="zh-CN"/>
              </w:rPr>
              <w:t>206.2</w:t>
            </w:r>
          </w:p>
        </w:tc>
        <w:tc>
          <w:tcPr>
            <w:tcW w:w="4304" w:type="dxa"/>
            <w:gridSpan w:val="4"/>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年度总体目标</w:t>
            </w:r>
          </w:p>
        </w:tc>
        <w:tc>
          <w:tcPr>
            <w:tcW w:w="4695" w:type="dxa"/>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预期目标</w:t>
            </w:r>
          </w:p>
        </w:tc>
        <w:tc>
          <w:tcPr>
            <w:tcW w:w="4304"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实际完成情况　</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4695" w:type="dxa"/>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18"/>
                <w:szCs w:val="18"/>
                <w:highlight w:val="none"/>
              </w:rPr>
            </w:pPr>
            <w:r>
              <w:rPr>
                <w:rFonts w:hint="eastAsia" w:ascii="仿宋_GB2312" w:hAnsi="仿宋_GB2312" w:eastAsia="仿宋_GB2312" w:cs="仿宋_GB2312"/>
                <w:color w:val="000000"/>
                <w:sz w:val="20"/>
                <w:szCs w:val="20"/>
                <w:highlight w:val="none"/>
              </w:rPr>
              <w:t>（</w:t>
            </w:r>
            <w:r>
              <w:rPr>
                <w:rFonts w:hint="eastAsia" w:ascii="仿宋_GB2312" w:hAnsi="仿宋_GB2312" w:eastAsia="仿宋_GB2312" w:cs="仿宋_GB2312"/>
                <w:color w:val="000000"/>
                <w:sz w:val="18"/>
                <w:szCs w:val="18"/>
                <w:highlight w:val="none"/>
              </w:rPr>
              <w:t>一）优化服务提质效。全年新增续牌办理新能源巡游出租车道路运输证436台，办理网络预约出租车道路运输证212台，完成货运道路运输证年审4671台，完成危货车辆道路运输证年审1007台。完成省际旅游包车业务备案复核4731次。指导并协助 56 家维修企业完成机动车维修备案，3家驾校完成线上备案，新增备案驾校1家，清理超期报废教练车68辆。处理12345热线投诉件973件，12328省厅投诉件共471件。完成货运司机投诉处置效率质量提升民生工作，整理问题数据8条、群众收益实事14条、制度16条。</w:t>
            </w:r>
          </w:p>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18"/>
                <w:szCs w:val="18"/>
                <w:highlight w:val="none"/>
              </w:rPr>
            </w:pPr>
            <w:r>
              <w:rPr>
                <w:rFonts w:hint="eastAsia" w:ascii="仿宋_GB2312" w:hAnsi="仿宋_GB2312" w:eastAsia="仿宋_GB2312" w:cs="仿宋_GB2312"/>
                <w:color w:val="000000"/>
                <w:sz w:val="18"/>
                <w:szCs w:val="18"/>
                <w:highlight w:val="none"/>
              </w:rPr>
              <w:t>（二）安全守护驻防线。组织开展“今冬明春”和“汛期暑期”道路运输安全生产重大风险隐患排查整治专项行动893次，发现并整改一般安全隐患821起、重大风险隐患3起。全市“两客一危”车辆上线率和入网率均达到了100%，车辆违规报警处理率达99.57%、处置率达100.00%，累计查处并整改违规车辆74辆。完成10476辆普通货物运输车辆设备升级换装，推进农村客运车辆766辆信息数据接入工作，实现100%接入目标。组织参与全省道路货物运输安全知识竞赛，以全省第一的成绩荣获“行业管理机构优秀组织奖”，全市15家企业荣获“企业管理优秀组织奖”。累计完成56处铁路沿线安全及环境隐患整治任务和2个连接道路建设项目及16个公铁并行地段护栏建设任务。</w:t>
            </w:r>
          </w:p>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18"/>
                <w:szCs w:val="18"/>
                <w:highlight w:val="none"/>
              </w:rPr>
            </w:pPr>
            <w:r>
              <w:rPr>
                <w:rFonts w:hint="eastAsia" w:ascii="仿宋_GB2312" w:hAnsi="仿宋_GB2312" w:eastAsia="仿宋_GB2312" w:cs="仿宋_GB2312"/>
                <w:color w:val="000000"/>
                <w:sz w:val="18"/>
                <w:szCs w:val="18"/>
                <w:highlight w:val="none"/>
              </w:rPr>
              <w:t>（三）规范管理促发展。2025年全市道路客运量1427万人次，同比下降3.7%；道路货运量18130万吨，同比增长24.5%，货物周转量134.5亿吨公里，同比增长10.3%。货物周转量累计同比增速目前位列全省第二名。组织完成出租车服务中心、公交停保场、交通驿站等5个项目的初步设计审查工作；全年度建设完工站场项目9个，累计完成年度总投资36900万元。加大对M站的监督管理力度，建成一家投资 600余万元的集中钣喷中心。</w:t>
            </w:r>
          </w:p>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18"/>
                <w:szCs w:val="18"/>
                <w:highlight w:val="none"/>
              </w:rPr>
              <w:t>（四）办好实事惠民生。全年通过“一网通办”核发货运从业资格证2164张，核发客危道路运输和出租车从业资格证3519张，业务全部网办，90%以上实现远程办理。完成危险货物运输车辆年度湘易办平台审验603件，三项普货业务86件。推动国四及以下老旧车辆报废补贴共计410辆。完成2244辆巡游出租车、86辆农村客运车辆的油补资金发放共1369.6万元。组织党员干部与出租车、网约车司机“一对一”结对帮扶，覆盖9家巡游出租车企业、1家网约车平台、243名司机，收集司机诉求46条</w:t>
            </w:r>
            <w:r>
              <w:rPr>
                <w:rFonts w:hint="eastAsia" w:ascii="仿宋_GB2312" w:hAnsi="仿宋_GB2312" w:eastAsia="仿宋_GB2312" w:cs="仿宋_GB2312"/>
                <w:color w:val="000000"/>
                <w:sz w:val="20"/>
                <w:szCs w:val="20"/>
                <w:highlight w:val="none"/>
              </w:rPr>
              <w:t>。　　</w:t>
            </w:r>
          </w:p>
        </w:tc>
        <w:tc>
          <w:tcPr>
            <w:tcW w:w="4304"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2025年，岳阳市道路运输服务中心圆满完成各项工作，成效显著：</w:t>
            </w:r>
          </w:p>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一是优化服务提质效。高效办理新能源出租车续牌436台、网约车证212台，完成普货及危货年审5678台次。妥善处置12345及12328热线投诉1444件，扎实开展货车司机投诉处置质量提升工作，切实解决急难愁盼问题。</w:t>
            </w:r>
          </w:p>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二是安全守护驻防线。开展隐患排查整治893次，整改隐患821起。实现“两客一危”车辆100%入网，违规处置率达100%。完成万余辆普货车设备升级，荣获全省道路货物运输安全知识竞赛优秀组织奖，并圆满完成56处铁路沿线隐患整治。</w:t>
            </w:r>
          </w:p>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三是规范管理促发展。全市货运量与货物周转量同比分别增长24.5%和10.3%，增速位居全省第二。全年完工9个站场项目，累计完成投资3.69亿元，并建成集中钣喷中心推动维修行业规范发展。</w:t>
            </w:r>
          </w:p>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四是办好实事惠民生。全面推行“一网通办”，90%以上业务实现远程办理。精准发放油补资金1369.6万元，推动410辆老旧车辆报废补贴。党员干部结对帮扶243名司机，收集解决诉求46条，有效传递了行业温暖。</w:t>
            </w: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绩</w:t>
            </w:r>
          </w:p>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w:t>
            </w:r>
          </w:p>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w:t>
            </w:r>
          </w:p>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标</w:t>
            </w:r>
          </w:p>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一级指标</w:t>
            </w:r>
          </w:p>
        </w:tc>
        <w:tc>
          <w:tcPr>
            <w:tcW w:w="1034"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二级指标</w:t>
            </w:r>
          </w:p>
        </w:tc>
        <w:tc>
          <w:tcPr>
            <w:tcW w:w="1270"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三级指标</w:t>
            </w:r>
          </w:p>
        </w:tc>
        <w:tc>
          <w:tcPr>
            <w:tcW w:w="1311"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年度指标值</w:t>
            </w:r>
          </w:p>
        </w:tc>
        <w:tc>
          <w:tcPr>
            <w:tcW w:w="1269"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实际完成值</w:t>
            </w:r>
          </w:p>
        </w:tc>
        <w:tc>
          <w:tcPr>
            <w:tcW w:w="716"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分值</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得分</w:t>
            </w:r>
          </w:p>
        </w:tc>
        <w:tc>
          <w:tcPr>
            <w:tcW w:w="1446"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偏差原因分析及改进措施</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nil"/>
              <w:left w:val="nil"/>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产出指标</w:t>
            </w:r>
          </w:p>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(50分)</w:t>
            </w:r>
          </w:p>
        </w:tc>
        <w:tc>
          <w:tcPr>
            <w:tcW w:w="1034" w:type="dxa"/>
            <w:vMerge w:val="restart"/>
            <w:tcBorders>
              <w:top w:val="nil"/>
              <w:left w:val="nil"/>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数量指标</w:t>
            </w:r>
          </w:p>
        </w:tc>
        <w:tc>
          <w:tcPr>
            <w:tcW w:w="1270"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安全隐患排查</w:t>
            </w:r>
          </w:p>
        </w:tc>
        <w:tc>
          <w:tcPr>
            <w:tcW w:w="1311"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800次</w:t>
            </w:r>
          </w:p>
        </w:tc>
        <w:tc>
          <w:tcPr>
            <w:tcW w:w="1269"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893次</w:t>
            </w:r>
          </w:p>
        </w:tc>
        <w:tc>
          <w:tcPr>
            <w:tcW w:w="716"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1446"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continue"/>
            <w:tcBorders>
              <w:left w:val="nil"/>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tc>
        <w:tc>
          <w:tcPr>
            <w:tcW w:w="1270"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系能源出租车续牌</w:t>
            </w:r>
          </w:p>
        </w:tc>
        <w:tc>
          <w:tcPr>
            <w:tcW w:w="1311"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400台</w:t>
            </w:r>
          </w:p>
        </w:tc>
        <w:tc>
          <w:tcPr>
            <w:tcW w:w="1269"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436台</w:t>
            </w:r>
          </w:p>
        </w:tc>
        <w:tc>
          <w:tcPr>
            <w:tcW w:w="716"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1446"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continue"/>
            <w:tcBorders>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tc>
        <w:tc>
          <w:tcPr>
            <w:tcW w:w="1270"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w:t>
            </w:r>
          </w:p>
        </w:tc>
        <w:tc>
          <w:tcPr>
            <w:tcW w:w="1311"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269"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716"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46"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restart"/>
            <w:tcBorders>
              <w:top w:val="nil"/>
              <w:left w:val="nil"/>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质量指标</w:t>
            </w:r>
          </w:p>
        </w:tc>
        <w:tc>
          <w:tcPr>
            <w:tcW w:w="1270"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热线投诉处置</w:t>
            </w:r>
          </w:p>
        </w:tc>
        <w:tc>
          <w:tcPr>
            <w:tcW w:w="1311"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完成≥98%</w:t>
            </w:r>
          </w:p>
        </w:tc>
        <w:tc>
          <w:tcPr>
            <w:tcW w:w="1269"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完成100%</w:t>
            </w:r>
          </w:p>
        </w:tc>
        <w:tc>
          <w:tcPr>
            <w:tcW w:w="716"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w:t>
            </w:r>
          </w:p>
        </w:tc>
        <w:tc>
          <w:tcPr>
            <w:tcW w:w="1446"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continue"/>
            <w:tcBorders>
              <w:left w:val="nil"/>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tc>
        <w:tc>
          <w:tcPr>
            <w:tcW w:w="1270"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“两客一危”车辆入网</w:t>
            </w:r>
          </w:p>
        </w:tc>
        <w:tc>
          <w:tcPr>
            <w:tcW w:w="1311"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2"/>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完成≥98%</w:t>
            </w:r>
          </w:p>
        </w:tc>
        <w:tc>
          <w:tcPr>
            <w:tcW w:w="1269"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2"/>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完成100%</w:t>
            </w:r>
          </w:p>
        </w:tc>
        <w:tc>
          <w:tcPr>
            <w:tcW w:w="716"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w:t>
            </w:r>
          </w:p>
        </w:tc>
        <w:tc>
          <w:tcPr>
            <w:tcW w:w="1446"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continue"/>
            <w:tcBorders>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tc>
        <w:tc>
          <w:tcPr>
            <w:tcW w:w="1270"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w:t>
            </w:r>
          </w:p>
        </w:tc>
        <w:tc>
          <w:tcPr>
            <w:tcW w:w="1311"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269"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716"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46"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restart"/>
            <w:tcBorders>
              <w:top w:val="nil"/>
              <w:left w:val="nil"/>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时效指标</w:t>
            </w:r>
          </w:p>
        </w:tc>
        <w:tc>
          <w:tcPr>
            <w:tcW w:w="1270"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both"/>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2025年</w:t>
            </w:r>
          </w:p>
        </w:tc>
        <w:tc>
          <w:tcPr>
            <w:tcW w:w="1311"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2025年</w:t>
            </w:r>
          </w:p>
        </w:tc>
        <w:tc>
          <w:tcPr>
            <w:tcW w:w="1269"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2025年</w:t>
            </w:r>
          </w:p>
        </w:tc>
        <w:tc>
          <w:tcPr>
            <w:tcW w:w="716"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w:t>
            </w:r>
          </w:p>
        </w:tc>
        <w:tc>
          <w:tcPr>
            <w:tcW w:w="1446"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continue"/>
            <w:tcBorders>
              <w:left w:val="nil"/>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tc>
        <w:tc>
          <w:tcPr>
            <w:tcW w:w="1270"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tc>
        <w:tc>
          <w:tcPr>
            <w:tcW w:w="1311"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269"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716"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46"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continue"/>
            <w:tcBorders>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tc>
        <w:tc>
          <w:tcPr>
            <w:tcW w:w="1270"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w:t>
            </w:r>
          </w:p>
        </w:tc>
        <w:tc>
          <w:tcPr>
            <w:tcW w:w="1311"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269"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716"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46"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CellMar>
            <w:top w:w="0" w:type="dxa"/>
            <w:left w:w="108" w:type="dxa"/>
            <w:bottom w:w="0" w:type="dxa"/>
            <w:right w:w="108" w:type="dxa"/>
          </w:tblCellMar>
        </w:tblPrEx>
        <w:trPr>
          <w:trHeight w:val="90" w:hRule="atLeast"/>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restart"/>
            <w:tcBorders>
              <w:top w:val="nil"/>
              <w:left w:val="nil"/>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成本指标</w:t>
            </w:r>
          </w:p>
        </w:tc>
        <w:tc>
          <w:tcPr>
            <w:tcW w:w="1270"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预算执行率</w:t>
            </w:r>
          </w:p>
        </w:tc>
        <w:tc>
          <w:tcPr>
            <w:tcW w:w="1311"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100%</w:t>
            </w:r>
          </w:p>
        </w:tc>
        <w:tc>
          <w:tcPr>
            <w:tcW w:w="1269"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99.5%</w:t>
            </w:r>
          </w:p>
        </w:tc>
        <w:tc>
          <w:tcPr>
            <w:tcW w:w="716"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9.5</w:t>
            </w:r>
          </w:p>
        </w:tc>
        <w:tc>
          <w:tcPr>
            <w:tcW w:w="1446"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单位整体搬迁，预算资金使用跨年。</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continue"/>
            <w:tcBorders>
              <w:left w:val="nil"/>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270"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社会成本指标</w:t>
            </w:r>
          </w:p>
        </w:tc>
        <w:tc>
          <w:tcPr>
            <w:tcW w:w="1311"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未对社会造成负面影响</w:t>
            </w:r>
          </w:p>
        </w:tc>
        <w:tc>
          <w:tcPr>
            <w:tcW w:w="1269"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未对社会造成负面影响</w:t>
            </w:r>
          </w:p>
        </w:tc>
        <w:tc>
          <w:tcPr>
            <w:tcW w:w="716"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1446"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continue"/>
            <w:tcBorders>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270"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生态环境成本指标</w:t>
            </w:r>
          </w:p>
        </w:tc>
        <w:tc>
          <w:tcPr>
            <w:tcW w:w="1311"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未对生态环境造成负面影响</w:t>
            </w:r>
          </w:p>
        </w:tc>
        <w:tc>
          <w:tcPr>
            <w:tcW w:w="1269"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未对生态环境造成负面影响</w:t>
            </w:r>
          </w:p>
        </w:tc>
        <w:tc>
          <w:tcPr>
            <w:tcW w:w="716"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1446"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nil"/>
              <w:left w:val="nil"/>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效益指标</w:t>
            </w:r>
          </w:p>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（30分）</w:t>
            </w:r>
          </w:p>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034" w:type="dxa"/>
            <w:vMerge w:val="restart"/>
            <w:tcBorders>
              <w:top w:val="nil"/>
              <w:left w:val="nil"/>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经济效</w:t>
            </w:r>
          </w:p>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70"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对交通运输行业经济发展的促进作用</w:t>
            </w:r>
          </w:p>
        </w:tc>
        <w:tc>
          <w:tcPr>
            <w:tcW w:w="1311"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效果良好</w:t>
            </w:r>
          </w:p>
        </w:tc>
        <w:tc>
          <w:tcPr>
            <w:tcW w:w="1269"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效果良好</w:t>
            </w:r>
          </w:p>
        </w:tc>
        <w:tc>
          <w:tcPr>
            <w:tcW w:w="716"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1446"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continue"/>
            <w:tcBorders>
              <w:left w:val="nil"/>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tc>
        <w:tc>
          <w:tcPr>
            <w:tcW w:w="1270"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tc>
        <w:tc>
          <w:tcPr>
            <w:tcW w:w="1311"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269"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716"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46"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continue"/>
            <w:tcBorders>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tc>
        <w:tc>
          <w:tcPr>
            <w:tcW w:w="1270"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w:t>
            </w:r>
          </w:p>
        </w:tc>
        <w:tc>
          <w:tcPr>
            <w:tcW w:w="1311"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269"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716"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46"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restart"/>
            <w:tcBorders>
              <w:top w:val="nil"/>
              <w:left w:val="nil"/>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社会效</w:t>
            </w:r>
          </w:p>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70"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提升交通运输市场秩序</w:t>
            </w:r>
          </w:p>
        </w:tc>
        <w:tc>
          <w:tcPr>
            <w:tcW w:w="1311"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2"/>
                <w:sz w:val="20"/>
                <w:szCs w:val="20"/>
                <w:highlight w:val="none"/>
                <w:lang w:val="en-US" w:eastAsia="zh-CN" w:bidi="ar-SA"/>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效果良好</w:t>
            </w:r>
          </w:p>
        </w:tc>
        <w:tc>
          <w:tcPr>
            <w:tcW w:w="1269"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2"/>
                <w:sz w:val="20"/>
                <w:szCs w:val="20"/>
                <w:highlight w:val="none"/>
                <w:lang w:val="en-US" w:eastAsia="zh-CN" w:bidi="ar-SA"/>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效果良好</w:t>
            </w:r>
          </w:p>
        </w:tc>
        <w:tc>
          <w:tcPr>
            <w:tcW w:w="716"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2"/>
                <w:sz w:val="20"/>
                <w:szCs w:val="20"/>
                <w:highlight w:val="none"/>
                <w:lang w:val="en-US" w:eastAsia="zh-CN" w:bidi="ar-SA"/>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2"/>
                <w:sz w:val="20"/>
                <w:szCs w:val="20"/>
                <w:highlight w:val="none"/>
                <w:lang w:val="en-US" w:eastAsia="zh-CN" w:bidi="ar-SA"/>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1446"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continue"/>
            <w:tcBorders>
              <w:left w:val="nil"/>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tc>
        <w:tc>
          <w:tcPr>
            <w:tcW w:w="1270"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提升专用线铁路运输市场秩序</w:t>
            </w:r>
          </w:p>
        </w:tc>
        <w:tc>
          <w:tcPr>
            <w:tcW w:w="1311"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2"/>
                <w:sz w:val="20"/>
                <w:szCs w:val="20"/>
                <w:highlight w:val="none"/>
                <w:lang w:val="en-US" w:eastAsia="zh-CN" w:bidi="ar-SA"/>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效果良好</w:t>
            </w:r>
          </w:p>
        </w:tc>
        <w:tc>
          <w:tcPr>
            <w:tcW w:w="1269"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2"/>
                <w:sz w:val="20"/>
                <w:szCs w:val="20"/>
                <w:highlight w:val="none"/>
                <w:lang w:val="en-US" w:eastAsia="zh-CN" w:bidi="ar-SA"/>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效果良好</w:t>
            </w:r>
          </w:p>
        </w:tc>
        <w:tc>
          <w:tcPr>
            <w:tcW w:w="716"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2"/>
                <w:sz w:val="20"/>
                <w:szCs w:val="20"/>
                <w:highlight w:val="none"/>
                <w:lang w:val="en-US" w:eastAsia="zh-CN" w:bidi="ar-SA"/>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2"/>
                <w:sz w:val="20"/>
                <w:szCs w:val="20"/>
                <w:highlight w:val="none"/>
                <w:lang w:val="en-US" w:eastAsia="zh-CN" w:bidi="ar-SA"/>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1446"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continue"/>
            <w:tcBorders>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tc>
        <w:tc>
          <w:tcPr>
            <w:tcW w:w="1270"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w:t>
            </w:r>
          </w:p>
        </w:tc>
        <w:tc>
          <w:tcPr>
            <w:tcW w:w="1311"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269"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716"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46"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restart"/>
            <w:tcBorders>
              <w:top w:val="nil"/>
              <w:left w:val="nil"/>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生态效</w:t>
            </w:r>
          </w:p>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70"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铁路沿线环境整治</w:t>
            </w:r>
          </w:p>
        </w:tc>
        <w:tc>
          <w:tcPr>
            <w:tcW w:w="1311"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2"/>
                <w:sz w:val="20"/>
                <w:szCs w:val="20"/>
                <w:highlight w:val="none"/>
                <w:lang w:val="en-US" w:eastAsia="zh-CN" w:bidi="ar-SA"/>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效果良好</w:t>
            </w:r>
          </w:p>
        </w:tc>
        <w:tc>
          <w:tcPr>
            <w:tcW w:w="1269"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2"/>
                <w:sz w:val="20"/>
                <w:szCs w:val="20"/>
                <w:highlight w:val="none"/>
                <w:lang w:val="en-US" w:eastAsia="zh-CN" w:bidi="ar-SA"/>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效果良好</w:t>
            </w:r>
          </w:p>
        </w:tc>
        <w:tc>
          <w:tcPr>
            <w:tcW w:w="716"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2"/>
                <w:sz w:val="20"/>
                <w:szCs w:val="20"/>
                <w:highlight w:val="none"/>
                <w:lang w:val="en-US" w:eastAsia="zh-CN" w:bidi="ar-SA"/>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2"/>
                <w:sz w:val="20"/>
                <w:szCs w:val="20"/>
                <w:highlight w:val="none"/>
                <w:lang w:val="en-US" w:eastAsia="zh-CN" w:bidi="ar-SA"/>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1446"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continue"/>
            <w:tcBorders>
              <w:left w:val="nil"/>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270"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tc>
        <w:tc>
          <w:tcPr>
            <w:tcW w:w="1311"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269"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716"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46"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continue"/>
            <w:tcBorders>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270"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w:t>
            </w:r>
          </w:p>
        </w:tc>
        <w:tc>
          <w:tcPr>
            <w:tcW w:w="1311"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269"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716"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46"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CellMar>
            <w:top w:w="0" w:type="dxa"/>
            <w:left w:w="108" w:type="dxa"/>
            <w:bottom w:w="0" w:type="dxa"/>
            <w:right w:w="108" w:type="dxa"/>
          </w:tblCellMar>
        </w:tblPrEx>
        <w:trPr>
          <w:trHeight w:val="290" w:hRule="atLeast"/>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可持续影响指标</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tc>
        <w:tc>
          <w:tcPr>
            <w:tcW w:w="131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2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7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CellMar>
            <w:top w:w="0" w:type="dxa"/>
            <w:left w:w="108" w:type="dxa"/>
            <w:bottom w:w="0" w:type="dxa"/>
            <w:right w:w="108" w:type="dxa"/>
          </w:tblCellMar>
        </w:tblPrEx>
        <w:trPr>
          <w:trHeight w:val="270" w:hRule="atLeast"/>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continue"/>
            <w:tcBorders>
              <w:left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27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tc>
        <w:tc>
          <w:tcPr>
            <w:tcW w:w="1311"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269"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716"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46"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CellMar>
            <w:top w:w="0" w:type="dxa"/>
            <w:left w:w="108" w:type="dxa"/>
            <w:bottom w:w="0" w:type="dxa"/>
            <w:right w:w="108" w:type="dxa"/>
          </w:tblCellMar>
        </w:tblPrEx>
        <w:trPr>
          <w:trHeight w:val="270" w:hRule="atLeast"/>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270"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w:t>
            </w:r>
          </w:p>
        </w:tc>
        <w:tc>
          <w:tcPr>
            <w:tcW w:w="1311"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269"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716"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46"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CellMar>
            <w:top w:w="0" w:type="dxa"/>
            <w:left w:w="108" w:type="dxa"/>
            <w:bottom w:w="0" w:type="dxa"/>
            <w:right w:w="108" w:type="dxa"/>
          </w:tblCellMar>
        </w:tblPrEx>
        <w:trPr>
          <w:trHeight w:val="330" w:hRule="atLeast"/>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nil"/>
              <w:left w:val="nil"/>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满意度</w:t>
            </w:r>
          </w:p>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w:t>
            </w:r>
          </w:p>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（10分）</w:t>
            </w:r>
          </w:p>
        </w:tc>
        <w:tc>
          <w:tcPr>
            <w:tcW w:w="1034" w:type="dxa"/>
            <w:vMerge w:val="restart"/>
            <w:tcBorders>
              <w:top w:val="nil"/>
              <w:left w:val="nil"/>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服务对象满意度指标</w:t>
            </w:r>
          </w:p>
        </w:tc>
        <w:tc>
          <w:tcPr>
            <w:tcW w:w="1270"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kern w:val="2"/>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企业满意度</w:t>
            </w:r>
          </w:p>
        </w:tc>
        <w:tc>
          <w:tcPr>
            <w:tcW w:w="1311"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lang w:val="en-US" w:eastAsia="zh-CN" w:bidi="ar-SA"/>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≥95%</w:t>
            </w:r>
          </w:p>
        </w:tc>
        <w:tc>
          <w:tcPr>
            <w:tcW w:w="1269"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lang w:val="en-US" w:eastAsia="zh-CN" w:bidi="ar-SA"/>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98%</w:t>
            </w:r>
          </w:p>
        </w:tc>
        <w:tc>
          <w:tcPr>
            <w:tcW w:w="716"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lang w:val="en-US" w:eastAsia="zh-CN" w:bidi="ar-SA"/>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1446"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CellMar>
            <w:top w:w="0" w:type="dxa"/>
            <w:left w:w="108" w:type="dxa"/>
            <w:bottom w:w="0" w:type="dxa"/>
            <w:right w:w="108" w:type="dxa"/>
          </w:tblCellMar>
        </w:tblPrEx>
        <w:trPr>
          <w:trHeight w:val="270" w:hRule="atLeast"/>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continue"/>
            <w:tcBorders>
              <w:left w:val="nil"/>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270"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群众满意度</w:t>
            </w:r>
          </w:p>
        </w:tc>
        <w:tc>
          <w:tcPr>
            <w:tcW w:w="1311"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lang w:val="en-US" w:eastAsia="zh-CN" w:bidi="ar-SA"/>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≥95%</w:t>
            </w:r>
          </w:p>
        </w:tc>
        <w:tc>
          <w:tcPr>
            <w:tcW w:w="1269"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lang w:val="en-US" w:eastAsia="zh-CN" w:bidi="ar-SA"/>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98%</w:t>
            </w:r>
          </w:p>
        </w:tc>
        <w:tc>
          <w:tcPr>
            <w:tcW w:w="716"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lang w:val="en-US" w:eastAsia="zh-CN" w:bidi="ar-SA"/>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1446"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CellMar>
            <w:top w:w="0" w:type="dxa"/>
            <w:left w:w="108" w:type="dxa"/>
            <w:bottom w:w="0" w:type="dxa"/>
            <w:right w:w="108" w:type="dxa"/>
          </w:tblCellMar>
        </w:tblPrEx>
        <w:trPr>
          <w:trHeight w:val="270" w:hRule="atLeast"/>
          <w:jc w:val="center"/>
        </w:trPr>
        <w:tc>
          <w:tcPr>
            <w:tcW w:w="1080"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continue"/>
            <w:tcBorders>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270"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w:t>
            </w:r>
          </w:p>
        </w:tc>
        <w:tc>
          <w:tcPr>
            <w:tcW w:w="1311"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269"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716"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46"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CellMar>
            <w:top w:w="0" w:type="dxa"/>
            <w:left w:w="108" w:type="dxa"/>
            <w:bottom w:w="0" w:type="dxa"/>
            <w:right w:w="108" w:type="dxa"/>
          </w:tblCellMar>
        </w:tblPrEx>
        <w:trPr>
          <w:trHeight w:val="270" w:hRule="atLeast"/>
          <w:jc w:val="center"/>
        </w:trPr>
        <w:tc>
          <w:tcPr>
            <w:tcW w:w="7044" w:type="dxa"/>
            <w:gridSpan w:val="6"/>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总分</w:t>
            </w:r>
          </w:p>
        </w:tc>
        <w:tc>
          <w:tcPr>
            <w:tcW w:w="716"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99.5</w:t>
            </w:r>
          </w:p>
        </w:tc>
        <w:tc>
          <w:tcPr>
            <w:tcW w:w="1446" w:type="dxa"/>
            <w:tcBorders>
              <w:top w:val="nil"/>
              <w:left w:val="nil"/>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bl>
    <w:p>
      <w:pPr>
        <w:keepNext w:val="0"/>
        <w:keepLines w:val="0"/>
        <w:pageBreakBefore w:val="0"/>
        <w:widowControl w:val="0"/>
        <w:kinsoku/>
        <w:overflowPunct/>
        <w:topLinePunct w:val="0"/>
        <w:autoSpaceDE/>
        <w:autoSpaceDN/>
        <w:bidi w:val="0"/>
        <w:adjustRightInd/>
        <w:snapToGrid/>
        <w:spacing w:line="600" w:lineRule="exact"/>
        <w:jc w:val="left"/>
        <w:textAlignment w:val="auto"/>
        <w:rPr>
          <w:rFonts w:hint="eastAsia" w:ascii="黑体" w:hAnsi="黑体" w:eastAsia="黑体" w:cs="黑体"/>
          <w:sz w:val="32"/>
          <w:szCs w:val="32"/>
          <w:highlight w:val="none"/>
          <w:lang w:val="en-US" w:eastAsia="zh-CN"/>
        </w:rPr>
      </w:pPr>
      <w:r>
        <w:rPr>
          <w:rFonts w:hint="default" w:ascii="Times New Roman" w:hAnsi="Times New Roman" w:eastAsia="仿宋_GB2312" w:cs="Times New Roman"/>
          <w:sz w:val="22"/>
          <w:szCs w:val="22"/>
          <w:highlight w:val="none"/>
        </w:rPr>
        <w:t>填表人：</w:t>
      </w:r>
      <w:r>
        <w:rPr>
          <w:rFonts w:hint="eastAsia" w:eastAsia="仿宋_GB2312" w:cs="Times New Roman"/>
          <w:sz w:val="22"/>
          <w:szCs w:val="22"/>
          <w:highlight w:val="none"/>
          <w:lang w:val="en-US" w:eastAsia="zh-CN"/>
        </w:rPr>
        <w:t>戴岑</w:t>
      </w:r>
      <w:r>
        <w:rPr>
          <w:rFonts w:hint="default" w:ascii="Times New Roman" w:hAnsi="Times New Roman" w:eastAsia="仿宋_GB2312" w:cs="Times New Roman"/>
          <w:sz w:val="22"/>
          <w:szCs w:val="22"/>
          <w:highlight w:val="none"/>
        </w:rPr>
        <w:t xml:space="preserve"> 填报日期：</w:t>
      </w:r>
      <w:r>
        <w:rPr>
          <w:rFonts w:hint="eastAsia" w:eastAsia="仿宋_GB2312" w:cs="Times New Roman"/>
          <w:sz w:val="22"/>
          <w:szCs w:val="22"/>
          <w:highlight w:val="none"/>
          <w:lang w:val="en-US" w:eastAsia="zh-CN"/>
        </w:rPr>
        <w:t>2026.07.11</w:t>
      </w:r>
      <w:r>
        <w:rPr>
          <w:rFonts w:hint="default" w:ascii="Times New Roman" w:hAnsi="Times New Roman" w:eastAsia="仿宋_GB2312" w:cs="Times New Roman"/>
          <w:sz w:val="22"/>
          <w:szCs w:val="22"/>
          <w:highlight w:val="none"/>
        </w:rPr>
        <w:t xml:space="preserve">  联系电话：</w:t>
      </w:r>
      <w:r>
        <w:rPr>
          <w:rFonts w:hint="eastAsia" w:eastAsia="仿宋_GB2312" w:cs="Times New Roman"/>
          <w:sz w:val="22"/>
          <w:szCs w:val="22"/>
          <w:highlight w:val="none"/>
          <w:lang w:val="en-US" w:eastAsia="zh-CN"/>
        </w:rPr>
        <w:t>13873000100</w:t>
      </w:r>
      <w:r>
        <w:rPr>
          <w:rFonts w:hint="eastAsia" w:ascii="Times New Roman" w:hAnsi="Times New Roman" w:eastAsia="仿宋_GB2312" w:cs="Times New Roman"/>
          <w:sz w:val="22"/>
          <w:szCs w:val="22"/>
          <w:highlight w:val="none"/>
          <w:lang w:val="en-US" w:eastAsia="zh-CN"/>
        </w:rPr>
        <w:t xml:space="preserve"> </w:t>
      </w:r>
      <w:r>
        <w:rPr>
          <w:rFonts w:hint="default" w:ascii="Times New Roman" w:hAnsi="Times New Roman" w:eastAsia="仿宋_GB2312" w:cs="Times New Roman"/>
          <w:sz w:val="22"/>
          <w:szCs w:val="22"/>
          <w:highlight w:val="none"/>
        </w:rPr>
        <w:t>单位负责人签字：</w:t>
      </w:r>
      <w:r>
        <w:rPr>
          <w:rFonts w:hint="default" w:ascii="Times New Roman" w:hAnsi="Times New Roman" w:eastAsia="仿宋_GB2312" w:cs="Times New Roman"/>
          <w:sz w:val="22"/>
          <w:szCs w:val="22"/>
          <w:highlight w:val="none"/>
        </w:rPr>
        <w:br w:type="page"/>
      </w: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3</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黑体" w:hAnsi="黑体" w:eastAsia="黑体" w:cs="黑体"/>
          <w:sz w:val="32"/>
          <w:szCs w:val="32"/>
          <w:highlight w:val="none"/>
          <w:lang w:val="en-US" w:eastAsia="zh-CN"/>
        </w:rPr>
      </w:pPr>
    </w:p>
    <w:p>
      <w:pPr>
        <w:keepNext w:val="0"/>
        <w:keepLines w:val="0"/>
        <w:pageBreakBefore w:val="0"/>
        <w:widowControl w:val="0"/>
        <w:kinsoku/>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000000"/>
          <w:sz w:val="36"/>
          <w:szCs w:val="36"/>
          <w:highlight w:val="none"/>
        </w:rPr>
      </w:pPr>
      <w:r>
        <w:rPr>
          <w:rFonts w:hint="eastAsia" w:ascii="方正小标宋简体" w:hAnsi="方正小标宋简体" w:eastAsia="方正小标宋简体" w:cs="方正小标宋简体"/>
          <w:color w:val="000000"/>
          <w:sz w:val="36"/>
          <w:szCs w:val="36"/>
          <w:highlight w:val="none"/>
        </w:rPr>
        <w:t>202</w:t>
      </w:r>
      <w:r>
        <w:rPr>
          <w:rFonts w:hint="eastAsia" w:ascii="方正小标宋简体" w:hAnsi="方正小标宋简体" w:eastAsia="方正小标宋简体" w:cs="方正小标宋简体"/>
          <w:color w:val="000000"/>
          <w:sz w:val="36"/>
          <w:szCs w:val="36"/>
          <w:highlight w:val="none"/>
          <w:lang w:val="en-US" w:eastAsia="zh-CN"/>
        </w:rPr>
        <w:t>5</w:t>
      </w:r>
      <w:r>
        <w:rPr>
          <w:rFonts w:hint="eastAsia" w:ascii="方正小标宋简体" w:hAnsi="方正小标宋简体" w:eastAsia="方正小标宋简体" w:cs="方正小标宋简体"/>
          <w:color w:val="000000"/>
          <w:sz w:val="36"/>
          <w:szCs w:val="36"/>
          <w:highlight w:val="none"/>
        </w:rPr>
        <w:t>年度项目支出绩效自评表</w:t>
      </w:r>
    </w:p>
    <w:tbl>
      <w:tblPr>
        <w:tblStyle w:val="4"/>
        <w:tblW w:w="9851" w:type="dxa"/>
        <w:jc w:val="center"/>
        <w:tblLayout w:type="autofit"/>
        <w:tblCellMar>
          <w:top w:w="0" w:type="dxa"/>
          <w:left w:w="108" w:type="dxa"/>
          <w:bottom w:w="0" w:type="dxa"/>
          <w:right w:w="108" w:type="dxa"/>
        </w:tblCellMar>
      </w:tblPr>
      <w:tblGrid>
        <w:gridCol w:w="1080"/>
        <w:gridCol w:w="1080"/>
        <w:gridCol w:w="1080"/>
        <w:gridCol w:w="1224"/>
        <w:gridCol w:w="1134"/>
        <w:gridCol w:w="1134"/>
        <w:gridCol w:w="828"/>
        <w:gridCol w:w="873"/>
        <w:gridCol w:w="1418"/>
      </w:tblGrid>
      <w:tr>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项目支</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出名称</w:t>
            </w:r>
          </w:p>
        </w:tc>
        <w:tc>
          <w:tcPr>
            <w:tcW w:w="8771" w:type="dxa"/>
            <w:gridSpan w:val="8"/>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default" w:ascii="仿宋_GB2312" w:hAnsi="宋体" w:eastAsia="仿宋_GB2312" w:cs="仿宋_GB2312"/>
                <w:i w:val="0"/>
                <w:iCs w:val="0"/>
                <w:color w:val="000000"/>
                <w:kern w:val="0"/>
                <w:sz w:val="18"/>
                <w:szCs w:val="18"/>
                <w:u w:val="none"/>
                <w:lang w:val="en-US" w:eastAsia="zh-CN" w:bidi="ar"/>
              </w:rPr>
              <w:t>道路安全监管</w:t>
            </w:r>
            <w:r>
              <w:rPr>
                <w:rFonts w:hint="eastAsia" w:ascii="仿宋_GB2312" w:hAnsi="宋体" w:eastAsia="仿宋_GB2312" w:cs="仿宋_GB2312"/>
                <w:i w:val="0"/>
                <w:iCs w:val="0"/>
                <w:color w:val="000000"/>
                <w:kern w:val="0"/>
                <w:sz w:val="18"/>
                <w:szCs w:val="18"/>
                <w:u w:val="none"/>
                <w:lang w:val="en-US" w:eastAsia="zh-CN" w:bidi="ar"/>
              </w:rPr>
              <w:t>(铁路安全监管及</w:t>
            </w:r>
            <w:r>
              <w:rPr>
                <w:rFonts w:hint="default" w:ascii="仿宋_GB2312" w:hAnsi="宋体" w:eastAsia="仿宋_GB2312" w:cs="仿宋_GB2312"/>
                <w:i w:val="0"/>
                <w:iCs w:val="0"/>
                <w:color w:val="000000"/>
                <w:kern w:val="0"/>
                <w:sz w:val="18"/>
                <w:szCs w:val="18"/>
                <w:u w:val="none"/>
                <w:lang w:val="en-US" w:eastAsia="zh-CN" w:bidi="ar"/>
              </w:rPr>
              <w:t>铁路沿线环境综合整治</w:t>
            </w:r>
            <w:r>
              <w:rPr>
                <w:rFonts w:hint="eastAsia" w:ascii="仿宋_GB2312" w:hAnsi="宋体" w:eastAsia="仿宋_GB2312" w:cs="仿宋_GB2312"/>
                <w:i w:val="0"/>
                <w:iCs w:val="0"/>
                <w:color w:val="000000"/>
                <w:kern w:val="0"/>
                <w:sz w:val="18"/>
                <w:szCs w:val="18"/>
                <w:u w:val="none"/>
                <w:lang w:val="en-US" w:eastAsia="zh-CN" w:bidi="ar"/>
              </w:rPr>
              <w:t>）</w:t>
            </w:r>
            <w:r>
              <w:rPr>
                <w:rFonts w:hint="eastAsia" w:ascii="仿宋_GB2312" w:hAnsi="仿宋_GB2312" w:eastAsia="仿宋_GB2312" w:cs="仿宋_GB2312"/>
                <w:color w:val="000000"/>
                <w:sz w:val="20"/>
                <w:szCs w:val="20"/>
                <w:highlight w:val="none"/>
              </w:rPr>
              <w:t>　</w:t>
            </w:r>
          </w:p>
        </w:tc>
      </w:tr>
      <w:tr>
        <w:tblPrEx>
          <w:tblCellMar>
            <w:top w:w="0" w:type="dxa"/>
            <w:left w:w="108" w:type="dxa"/>
            <w:bottom w:w="0" w:type="dxa"/>
            <w:right w:w="108" w:type="dxa"/>
          </w:tblCellMar>
        </w:tblPrEx>
        <w:trPr>
          <w:jc w:val="center"/>
        </w:trPr>
        <w:tc>
          <w:tcPr>
            <w:tcW w:w="1080"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主管部门</w:t>
            </w:r>
          </w:p>
        </w:tc>
        <w:tc>
          <w:tcPr>
            <w:tcW w:w="4518"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岳阳市交通运输局</w:t>
            </w:r>
          </w:p>
        </w:tc>
        <w:tc>
          <w:tcPr>
            <w:tcW w:w="1134" w:type="dxa"/>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实施单位</w:t>
            </w:r>
          </w:p>
        </w:tc>
        <w:tc>
          <w:tcPr>
            <w:tcW w:w="3119" w:type="dxa"/>
            <w:gridSpan w:val="3"/>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岳阳市道路运输服务中心</w:t>
            </w: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rPr>
              <w:t>项目资金</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（万元）</w:t>
            </w: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年初</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预算数</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全年</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预算数</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执行数</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分值</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执行率</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得分</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年度资金总额</w:t>
            </w:r>
            <w:r>
              <w:rPr>
                <w:rFonts w:hint="eastAsia" w:ascii="仿宋_GB2312" w:hAnsi="仿宋_GB2312" w:eastAsia="仿宋_GB2312" w:cs="仿宋_GB2312"/>
                <w:color w:val="000000"/>
                <w:sz w:val="20"/>
                <w:szCs w:val="20"/>
                <w:highlight w:val="none"/>
                <w:lang w:val="en-US" w:eastAsia="zh-CN"/>
              </w:rPr>
              <w:t xml:space="preserve"> 14</w:t>
            </w:r>
            <w:r>
              <w:rPr>
                <w:rFonts w:hint="eastAsia" w:ascii="仿宋_GB2312" w:hAnsi="仿宋_GB2312" w:eastAsia="仿宋_GB2312" w:cs="仿宋_GB2312"/>
                <w:color w:val="000000"/>
                <w:sz w:val="20"/>
                <w:szCs w:val="20"/>
                <w:highlight w:val="none"/>
              </w:rPr>
              <w:t>　</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14</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14</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14</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其中：当年财政拨款　</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ind w:firstLine="600" w:firstLineChars="3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上年结转资金　</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ind w:firstLine="600" w:firstLineChars="3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其他资金</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年度总体目标</w:t>
            </w:r>
          </w:p>
        </w:tc>
        <w:tc>
          <w:tcPr>
            <w:tcW w:w="4518" w:type="dxa"/>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预期目标</w:t>
            </w:r>
          </w:p>
        </w:tc>
        <w:tc>
          <w:tcPr>
            <w:tcW w:w="4253"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实际完成情况　</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4518" w:type="dxa"/>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sz w:val="18"/>
                <w:szCs w:val="18"/>
                <w:vertAlign w:val="baseline"/>
              </w:rPr>
              <w:t>1、铁路在建工程质量监督，加强铁路建设的新建和改建及实施铁路建设工程质量监督管理。2、铁路道口安全和铁路运输安全管理，加强保障铁路安全教育，加强铁路专用线铁路道口安全防护设施风险管理和隐患排查整治等。</w:t>
            </w:r>
            <w:r>
              <w:rPr>
                <w:rFonts w:hint="eastAsia" w:ascii="仿宋_GB2312" w:hAnsi="仿宋_GB2312" w:eastAsia="仿宋_GB2312" w:cs="仿宋_GB2312"/>
                <w:color w:val="000000"/>
                <w:sz w:val="20"/>
                <w:szCs w:val="20"/>
                <w:highlight w:val="none"/>
                <w:lang w:val="en-US" w:eastAsia="zh-CN"/>
              </w:rPr>
              <w:t>3</w:t>
            </w:r>
            <w:r>
              <w:rPr>
                <w:rFonts w:hint="eastAsia" w:ascii="仿宋_GB2312" w:hAnsi="仿宋_GB2312" w:eastAsia="仿宋_GB2312" w:cs="仿宋_GB2312"/>
                <w:color w:val="000000"/>
                <w:sz w:val="20"/>
                <w:szCs w:val="20"/>
                <w:highlight w:val="none"/>
              </w:rPr>
              <w:t>、2025年全年铁路专用线无安全生产责任事故，铁路道口无责任事故。</w:t>
            </w:r>
            <w:r>
              <w:rPr>
                <w:rFonts w:hint="eastAsia" w:ascii="仿宋_GB2312" w:hAnsi="仿宋_GB2312" w:eastAsia="仿宋_GB2312" w:cs="仿宋_GB2312"/>
                <w:color w:val="000000"/>
                <w:sz w:val="20"/>
                <w:szCs w:val="20"/>
                <w:highlight w:val="none"/>
                <w:lang w:val="en-US" w:eastAsia="zh-CN"/>
              </w:rPr>
              <w:t>4</w:t>
            </w:r>
            <w:r>
              <w:rPr>
                <w:rFonts w:hint="eastAsia" w:ascii="仿宋_GB2312" w:hAnsi="仿宋_GB2312" w:eastAsia="仿宋_GB2312" w:cs="仿宋_GB2312"/>
                <w:color w:val="000000"/>
                <w:sz w:val="20"/>
                <w:szCs w:val="20"/>
                <w:highlight w:val="none"/>
              </w:rPr>
              <w:t>、202</w:t>
            </w:r>
            <w:r>
              <w:rPr>
                <w:rFonts w:hint="eastAsia" w:ascii="仿宋_GB2312" w:hAnsi="仿宋_GB2312" w:eastAsia="仿宋_GB2312" w:cs="仿宋_GB2312"/>
                <w:color w:val="000000"/>
                <w:sz w:val="20"/>
                <w:szCs w:val="20"/>
                <w:highlight w:val="none"/>
                <w:lang w:val="en-US" w:eastAsia="zh-CN"/>
              </w:rPr>
              <w:t>5</w:t>
            </w:r>
            <w:r>
              <w:rPr>
                <w:rFonts w:hint="eastAsia" w:ascii="仿宋_GB2312" w:hAnsi="仿宋_GB2312" w:eastAsia="仿宋_GB2312" w:cs="仿宋_GB2312"/>
                <w:color w:val="000000"/>
                <w:sz w:val="20"/>
                <w:szCs w:val="20"/>
                <w:highlight w:val="none"/>
              </w:rPr>
              <w:t>年全年运量2500万吨。</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4253"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2025全年铁路专用线、铁路道口无安全责任事故，2025年年运量2559.65万吨</w:t>
            </w:r>
            <w:r>
              <w:rPr>
                <w:rFonts w:hint="eastAsia" w:ascii="仿宋_GB2312" w:hAnsi="仿宋_GB2312" w:eastAsia="仿宋_GB2312" w:cs="仿宋_GB2312"/>
                <w:color w:val="000000"/>
                <w:sz w:val="20"/>
                <w:szCs w:val="20"/>
                <w:highlight w:val="none"/>
                <w:lang w:eastAsia="zh-CN"/>
              </w:rPr>
              <w:t>。</w:t>
            </w:r>
            <w:r>
              <w:rPr>
                <w:rFonts w:hint="eastAsia" w:ascii="仿宋_GB2312" w:hAnsi="仿宋_GB2312" w:eastAsia="仿宋_GB2312" w:cs="仿宋_GB2312"/>
                <w:sz w:val="18"/>
                <w:szCs w:val="18"/>
                <w:vertAlign w:val="baseline"/>
                <w:lang w:eastAsia="zh-CN"/>
              </w:rPr>
              <w:t>在建项目、道口、专用线无责任安全事故发生</w:t>
            </w: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绩</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标</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一级指标</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二级指标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三级指标</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指标值</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完成值</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分值</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得分</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偏差原因分析及改进措施</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nil"/>
              <w:left w:val="nil"/>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产出指标</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(50分)</w:t>
            </w:r>
          </w:p>
        </w:tc>
        <w:tc>
          <w:tcPr>
            <w:tcW w:w="1080" w:type="dxa"/>
            <w:vMerge w:val="restart"/>
            <w:tcBorders>
              <w:top w:val="nil"/>
              <w:left w:val="nil"/>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数量指标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安全巡查次数</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≥12次</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12次</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铁路沿线安全宣讲</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≥2次</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2次</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nil"/>
              <w:left w:val="nil"/>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质量指标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运输安全零重特大事故</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全年无重特大事故</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全年无重特大事故</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应急处理办结合格率</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突发事件处置及时，合格率100%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合格率100%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nil"/>
              <w:left w:val="nil"/>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时效指标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全年工作按时完成</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按年初计划完成全部工作</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突发事件应急响应率</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nil"/>
              <w:left w:val="nil"/>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成本指标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专项经费执行率</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lang w:val="en-US" w:eastAsia="zh-CN" w:bidi="ar-SA"/>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lang w:val="en-US" w:eastAsia="zh-CN" w:bidi="ar-SA"/>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nil"/>
              <w:left w:val="nil"/>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效益指标</w:t>
            </w:r>
          </w:p>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（30分）</w:t>
            </w:r>
          </w:p>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080" w:type="dxa"/>
            <w:vMerge w:val="restart"/>
            <w:tcBorders>
              <w:top w:val="nil"/>
              <w:left w:val="nil"/>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经济效</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nil"/>
              <w:left w:val="nil"/>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社会效</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沿线群众出行安全</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多次进行安全宣讲</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多次进行安全宣讲</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在建工程安全施工</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多次进行安全宣讲、监督</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多次进行安全宣讲、监督</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nil"/>
              <w:left w:val="nil"/>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生态效</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长期可持续</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符合持续发展目标</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符合持续发展目标</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可持续影响指标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安全生产、出行长期效果</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企业、群众安全意识提升</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企业、群众安全意识提升</w:t>
            </w:r>
            <w:r>
              <w:rPr>
                <w:rFonts w:hint="eastAsia" w:ascii="仿宋_GB2312" w:hAnsi="仿宋_GB2312" w:eastAsia="仿宋_GB2312" w:cs="仿宋_GB2312"/>
                <w:color w:val="000000"/>
                <w:sz w:val="20"/>
                <w:szCs w:val="20"/>
                <w:highlight w:val="none"/>
              </w:rPr>
              <w:t>　</w:t>
            </w:r>
          </w:p>
        </w:tc>
        <w:tc>
          <w:tcPr>
            <w:tcW w:w="8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22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13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2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1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nil"/>
              <w:left w:val="nil"/>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满意度</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（10分）</w:t>
            </w:r>
          </w:p>
        </w:tc>
        <w:tc>
          <w:tcPr>
            <w:tcW w:w="1080" w:type="dxa"/>
            <w:vMerge w:val="restart"/>
            <w:tcBorders>
              <w:top w:val="nil"/>
              <w:left w:val="nil"/>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服务对象满意度指标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企业满意度</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≥95%</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98%</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群众满意度</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≥95%</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98%</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CellMar>
            <w:top w:w="0" w:type="dxa"/>
            <w:left w:w="108" w:type="dxa"/>
            <w:bottom w:w="0" w:type="dxa"/>
            <w:right w:w="108" w:type="dxa"/>
          </w:tblCellMar>
        </w:tblPrEx>
        <w:trPr>
          <w:jc w:val="center"/>
        </w:trPr>
        <w:tc>
          <w:tcPr>
            <w:tcW w:w="6732" w:type="dxa"/>
            <w:gridSpan w:val="6"/>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总分</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bl>
    <w:p>
      <w:pPr>
        <w:keepNext w:val="0"/>
        <w:keepLines w:val="0"/>
        <w:pageBreakBefore w:val="0"/>
        <w:widowControl w:val="0"/>
        <w:kinsoku/>
        <w:overflowPunct/>
        <w:topLinePunct w:val="0"/>
        <w:autoSpaceDE/>
        <w:autoSpaceDN/>
        <w:bidi w:val="0"/>
        <w:adjustRightInd/>
        <w:snapToGrid/>
        <w:textAlignment w:val="auto"/>
        <w:rPr>
          <w:rFonts w:hint="eastAsia" w:ascii="Times New Roman" w:hAnsi="Times New Roman" w:eastAsia="仿宋_GB2312" w:cs="Times New Roman"/>
          <w:sz w:val="18"/>
          <w:szCs w:val="18"/>
          <w:highlight w:val="none"/>
          <w:lang w:eastAsia="zh-CN"/>
        </w:rPr>
      </w:pPr>
      <w:r>
        <w:rPr>
          <w:rFonts w:hint="default" w:ascii="Times New Roman" w:hAnsi="Times New Roman" w:eastAsia="仿宋_GB2312" w:cs="Times New Roman"/>
          <w:sz w:val="18"/>
          <w:szCs w:val="18"/>
          <w:highlight w:val="none"/>
        </w:rPr>
        <w:t>备注：一个一级项目支出一张表。</w:t>
      </w:r>
      <w:r>
        <w:rPr>
          <w:rFonts w:hint="eastAsia" w:ascii="Times New Roman" w:hAnsi="Times New Roman" w:eastAsia="仿宋_GB2312" w:cs="Times New Roman"/>
          <w:sz w:val="18"/>
          <w:szCs w:val="18"/>
          <w:highlight w:val="none"/>
          <w:lang w:eastAsia="zh-CN"/>
        </w:rPr>
        <w:t>如，</w:t>
      </w:r>
      <w:r>
        <w:rPr>
          <w:rFonts w:hint="default" w:ascii="Times New Roman" w:hAnsi="Times New Roman" w:eastAsia="仿宋_GB2312" w:cs="Times New Roman"/>
          <w:sz w:val="18"/>
          <w:szCs w:val="18"/>
          <w:highlight w:val="none"/>
        </w:rPr>
        <w:t>业务工作经费</w:t>
      </w:r>
      <w:r>
        <w:rPr>
          <w:rFonts w:hint="eastAsia" w:ascii="Times New Roman" w:hAnsi="Times New Roman" w:eastAsia="仿宋_GB2312" w:cs="Times New Roman"/>
          <w:sz w:val="18"/>
          <w:szCs w:val="18"/>
          <w:highlight w:val="none"/>
          <w:lang w:eastAsia="zh-CN"/>
        </w:rPr>
        <w:t>，</w:t>
      </w:r>
      <w:r>
        <w:rPr>
          <w:rFonts w:hint="default" w:ascii="Times New Roman" w:hAnsi="Times New Roman" w:eastAsia="仿宋_GB2312" w:cs="Times New Roman"/>
          <w:sz w:val="18"/>
          <w:szCs w:val="18"/>
          <w:highlight w:val="none"/>
        </w:rPr>
        <w:t>运行维护经费</w:t>
      </w:r>
      <w:r>
        <w:rPr>
          <w:rFonts w:hint="eastAsia" w:ascii="Times New Roman" w:hAnsi="Times New Roman" w:eastAsia="仿宋_GB2312" w:cs="Times New Roman"/>
          <w:sz w:val="18"/>
          <w:szCs w:val="18"/>
          <w:highlight w:val="none"/>
          <w:lang w:eastAsia="zh-CN"/>
        </w:rPr>
        <w:t>，其他事业发展类资金…各一张表。</w:t>
      </w:r>
    </w:p>
    <w:p>
      <w:pPr>
        <w:keepNext w:val="0"/>
        <w:keepLines w:val="0"/>
        <w:pageBreakBefore w:val="0"/>
        <w:widowControl w:val="0"/>
        <w:kinsoku/>
        <w:overflowPunct/>
        <w:topLinePunct w:val="0"/>
        <w:autoSpaceDE/>
        <w:autoSpaceDN/>
        <w:bidi w:val="0"/>
        <w:adjustRightInd/>
        <w:snapToGrid/>
        <w:textAlignment w:val="auto"/>
        <w:rPr>
          <w:rFonts w:hint="default" w:ascii="Times New Roman" w:hAnsi="Times New Roman" w:eastAsia="仿宋_GB2312" w:cs="Times New Roman"/>
          <w:sz w:val="22"/>
          <w:szCs w:val="22"/>
          <w:highlight w:val="none"/>
        </w:rPr>
      </w:pPr>
    </w:p>
    <w:p>
      <w:pPr>
        <w:keepNext w:val="0"/>
        <w:keepLines w:val="0"/>
        <w:pageBreakBefore w:val="0"/>
        <w:widowControl w:val="0"/>
        <w:kinsoku/>
        <w:overflowPunct/>
        <w:topLinePunct w:val="0"/>
        <w:autoSpaceDE/>
        <w:autoSpaceDN/>
        <w:bidi w:val="0"/>
        <w:adjustRightInd/>
        <w:snapToGrid/>
        <w:textAlignment w:val="auto"/>
        <w:rPr>
          <w:rFonts w:hint="eastAsia" w:ascii="黑体" w:hAnsi="黑体" w:eastAsia="黑体" w:cs="黑体"/>
          <w:sz w:val="32"/>
          <w:szCs w:val="32"/>
          <w:highlight w:val="none"/>
          <w:lang w:val="en-US" w:eastAsia="zh-CN"/>
        </w:rPr>
      </w:pPr>
      <w:r>
        <w:rPr>
          <w:rFonts w:hint="default" w:ascii="Times New Roman" w:hAnsi="Times New Roman" w:eastAsia="仿宋_GB2312" w:cs="Times New Roman"/>
          <w:sz w:val="22"/>
          <w:szCs w:val="22"/>
          <w:highlight w:val="none"/>
        </w:rPr>
        <w:t>填表人：</w:t>
      </w:r>
      <w:r>
        <w:rPr>
          <w:rFonts w:hint="eastAsia" w:eastAsia="仿宋_GB2312" w:cs="Times New Roman"/>
          <w:sz w:val="22"/>
          <w:szCs w:val="22"/>
          <w:highlight w:val="none"/>
          <w:lang w:val="en-US" w:eastAsia="zh-CN"/>
        </w:rPr>
        <w:t>戴岑</w:t>
      </w:r>
      <w:r>
        <w:rPr>
          <w:rFonts w:hint="default" w:ascii="Times New Roman" w:hAnsi="Times New Roman" w:eastAsia="仿宋_GB2312" w:cs="Times New Roman"/>
          <w:sz w:val="22"/>
          <w:szCs w:val="22"/>
          <w:highlight w:val="none"/>
        </w:rPr>
        <w:t xml:space="preserve"> </w:t>
      </w:r>
      <w:r>
        <w:rPr>
          <w:rFonts w:hint="eastAsia" w:eastAsia="仿宋_GB2312" w:cs="Times New Roman"/>
          <w:sz w:val="22"/>
          <w:szCs w:val="22"/>
          <w:highlight w:val="none"/>
          <w:lang w:val="en-US" w:eastAsia="zh-CN"/>
        </w:rPr>
        <w:t xml:space="preserve"> </w:t>
      </w:r>
      <w:r>
        <w:rPr>
          <w:rFonts w:hint="default" w:ascii="Times New Roman" w:hAnsi="Times New Roman" w:eastAsia="仿宋_GB2312" w:cs="Times New Roman"/>
          <w:sz w:val="22"/>
          <w:szCs w:val="22"/>
          <w:highlight w:val="none"/>
        </w:rPr>
        <w:t xml:space="preserve">填报日期： </w:t>
      </w:r>
      <w:r>
        <w:rPr>
          <w:rFonts w:hint="eastAsia" w:eastAsia="仿宋_GB2312" w:cs="Times New Roman"/>
          <w:sz w:val="22"/>
          <w:szCs w:val="22"/>
          <w:highlight w:val="none"/>
          <w:lang w:val="en-US" w:eastAsia="zh-CN"/>
        </w:rPr>
        <w:t>2026.07.10</w:t>
      </w:r>
      <w:r>
        <w:rPr>
          <w:rFonts w:hint="default" w:ascii="Times New Roman" w:hAnsi="Times New Roman" w:eastAsia="仿宋_GB2312" w:cs="Times New Roman"/>
          <w:sz w:val="22"/>
          <w:szCs w:val="22"/>
          <w:highlight w:val="none"/>
        </w:rPr>
        <w:t xml:space="preserve"> 联系电话： </w:t>
      </w:r>
      <w:r>
        <w:rPr>
          <w:rFonts w:hint="eastAsia" w:eastAsia="仿宋_GB2312" w:cs="Times New Roman"/>
          <w:sz w:val="22"/>
          <w:szCs w:val="22"/>
          <w:highlight w:val="none"/>
          <w:lang w:val="en-US" w:eastAsia="zh-CN"/>
        </w:rPr>
        <w:t>13873000100</w:t>
      </w:r>
      <w:r>
        <w:rPr>
          <w:rFonts w:hint="eastAsia" w:ascii="Times New Roman" w:hAnsi="Times New Roman" w:eastAsia="仿宋_GB2312" w:cs="Times New Roman"/>
          <w:sz w:val="22"/>
          <w:szCs w:val="22"/>
          <w:highlight w:val="none"/>
          <w:lang w:val="en-US" w:eastAsia="zh-CN"/>
        </w:rPr>
        <w:t xml:space="preserve"> </w:t>
      </w:r>
      <w:r>
        <w:rPr>
          <w:rFonts w:hint="default" w:ascii="Times New Roman" w:hAnsi="Times New Roman" w:eastAsia="仿宋_GB2312" w:cs="Times New Roman"/>
          <w:sz w:val="22"/>
          <w:szCs w:val="22"/>
          <w:highlight w:val="none"/>
        </w:rPr>
        <w:t xml:space="preserve"> 单位负责人签字：</w:t>
      </w:r>
      <w:r>
        <w:rPr>
          <w:rFonts w:hint="default" w:ascii="Times New Roman" w:hAnsi="Times New Roman" w:eastAsia="仿宋_GB2312" w:cs="Times New Roman"/>
          <w:sz w:val="22"/>
          <w:szCs w:val="22"/>
          <w:highlight w:val="none"/>
        </w:rPr>
        <w:br w:type="page"/>
      </w: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4</w:t>
      </w:r>
    </w:p>
    <w:p>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方正小标宋_GBK" w:cs="Times New Roman"/>
          <w:sz w:val="52"/>
          <w:szCs w:val="52"/>
          <w:highlight w:val="none"/>
        </w:rPr>
      </w:pPr>
    </w:p>
    <w:p>
      <w:pPr>
        <w:keepNext w:val="0"/>
        <w:keepLines w:val="0"/>
        <w:pageBreakBefore w:val="0"/>
        <w:widowControl w:val="0"/>
        <w:kinsoku/>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202</w:t>
      </w:r>
      <w:r>
        <w:rPr>
          <w:rFonts w:hint="eastAsia" w:ascii="方正小标宋简体" w:hAnsi="方正小标宋简体" w:eastAsia="方正小标宋简体" w:cs="方正小标宋简体"/>
          <w:sz w:val="44"/>
          <w:szCs w:val="44"/>
          <w:highlight w:val="none"/>
          <w:lang w:val="en-US" w:eastAsia="zh-CN"/>
        </w:rPr>
        <w:t>5</w:t>
      </w:r>
      <w:r>
        <w:rPr>
          <w:rFonts w:hint="eastAsia" w:ascii="方正小标宋简体" w:hAnsi="方正小标宋简体" w:eastAsia="方正小标宋简体" w:cs="方正小标宋简体"/>
          <w:sz w:val="44"/>
          <w:szCs w:val="44"/>
          <w:highlight w:val="none"/>
        </w:rPr>
        <w:t>年度</w:t>
      </w:r>
      <w:r>
        <w:rPr>
          <w:rFonts w:hint="eastAsia" w:ascii="方正小标宋简体" w:hAnsi="方正小标宋简体" w:eastAsia="方正小标宋简体" w:cs="方正小标宋简体"/>
          <w:sz w:val="44"/>
          <w:szCs w:val="44"/>
          <w:highlight w:val="none"/>
          <w:lang w:val="en-US" w:eastAsia="zh-CN"/>
        </w:rPr>
        <w:t>岳阳市道路运输服务中心</w:t>
      </w:r>
      <w:r>
        <w:rPr>
          <w:rFonts w:hint="eastAsia" w:ascii="方正小标宋简体" w:hAnsi="方正小标宋简体" w:eastAsia="方正小标宋简体" w:cs="方正小标宋简体"/>
          <w:sz w:val="44"/>
          <w:szCs w:val="44"/>
          <w:highlight w:val="none"/>
        </w:rPr>
        <w:t>整体支出</w:t>
      </w:r>
    </w:p>
    <w:p>
      <w:pPr>
        <w:keepNext w:val="0"/>
        <w:keepLines w:val="0"/>
        <w:pageBreakBefore w:val="0"/>
        <w:widowControl w:val="0"/>
        <w:kinsoku/>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绩效自评报告</w:t>
      </w:r>
    </w:p>
    <w:p>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方正小标宋_GBK" w:cs="Times New Roman"/>
          <w:b/>
          <w:sz w:val="52"/>
          <w:szCs w:val="52"/>
          <w:highlight w:val="none"/>
        </w:rPr>
      </w:pPr>
    </w:p>
    <w:p>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楷体_GB2312" w:cs="Times New Roman"/>
          <w:b/>
          <w:sz w:val="32"/>
          <w:szCs w:val="32"/>
          <w:highlight w:val="none"/>
        </w:rPr>
      </w:pPr>
    </w:p>
    <w:p>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楷体_GB2312" w:cs="Times New Roman"/>
          <w:b/>
          <w:sz w:val="32"/>
          <w:szCs w:val="32"/>
          <w:highlight w:val="none"/>
        </w:rPr>
      </w:pPr>
    </w:p>
    <w:p>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楷体_GB2312" w:cs="Times New Roman"/>
          <w:b/>
          <w:sz w:val="32"/>
          <w:szCs w:val="32"/>
          <w:highlight w:val="none"/>
        </w:rPr>
      </w:pPr>
    </w:p>
    <w:p>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楷体_GB2312" w:cs="Times New Roman"/>
          <w:b/>
          <w:sz w:val="32"/>
          <w:szCs w:val="32"/>
          <w:highlight w:val="none"/>
        </w:rPr>
      </w:pPr>
    </w:p>
    <w:p>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楷体_GB2312" w:cs="Times New Roman"/>
          <w:b/>
          <w:sz w:val="32"/>
          <w:szCs w:val="32"/>
          <w:highlight w:val="none"/>
        </w:rPr>
      </w:pPr>
    </w:p>
    <w:p>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楷体_GB2312" w:cs="Times New Roman"/>
          <w:b/>
          <w:sz w:val="32"/>
          <w:szCs w:val="32"/>
          <w:highlight w:val="none"/>
        </w:rPr>
      </w:pPr>
    </w:p>
    <w:p>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黑体" w:cs="Times New Roman"/>
          <w:sz w:val="32"/>
          <w:szCs w:val="32"/>
          <w:highlight w:val="none"/>
        </w:rPr>
      </w:pPr>
    </w:p>
    <w:p>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黑体" w:cs="Times New Roman"/>
          <w:sz w:val="32"/>
          <w:szCs w:val="32"/>
          <w:highlight w:val="none"/>
        </w:rPr>
      </w:pPr>
    </w:p>
    <w:p>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黑体" w:cs="Times New Roman"/>
          <w:sz w:val="32"/>
          <w:szCs w:val="32"/>
          <w:highlight w:val="none"/>
        </w:rPr>
      </w:pPr>
    </w:p>
    <w:p>
      <w:pPr>
        <w:keepNext w:val="0"/>
        <w:keepLines w:val="0"/>
        <w:pageBreakBefore w:val="0"/>
        <w:widowControl w:val="0"/>
        <w:kinsoku/>
        <w:overflowPunct/>
        <w:topLinePunct w:val="0"/>
        <w:autoSpaceDE/>
        <w:autoSpaceDN/>
        <w:bidi w:val="0"/>
        <w:adjustRightInd/>
        <w:snapToGrid/>
        <w:jc w:val="both"/>
        <w:textAlignment w:val="auto"/>
        <w:rPr>
          <w:rFonts w:hint="default" w:ascii="Times New Roman" w:hAnsi="Times New Roman" w:eastAsia="黑体" w:cs="Times New Roman"/>
          <w:sz w:val="32"/>
          <w:szCs w:val="32"/>
          <w:highlight w:val="none"/>
        </w:rPr>
      </w:pPr>
    </w:p>
    <w:p>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黑体" w:cs="Times New Roman"/>
          <w:sz w:val="32"/>
          <w:szCs w:val="32"/>
          <w:highlight w:val="none"/>
        </w:rPr>
      </w:pPr>
    </w:p>
    <w:p>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黑体" w:cs="Times New Roman"/>
          <w:sz w:val="32"/>
          <w:szCs w:val="32"/>
          <w:highlight w:val="none"/>
        </w:rPr>
      </w:pPr>
    </w:p>
    <w:p>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黑体" w:cs="Times New Roman"/>
          <w:sz w:val="32"/>
          <w:szCs w:val="32"/>
          <w:highlight w:val="none"/>
        </w:rPr>
      </w:pPr>
    </w:p>
    <w:p>
      <w:pPr>
        <w:keepNext w:val="0"/>
        <w:keepLines w:val="0"/>
        <w:pageBreakBefore w:val="0"/>
        <w:widowControl w:val="0"/>
        <w:kinsoku/>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sz w:val="32"/>
          <w:szCs w:val="32"/>
          <w:highlight w:val="none"/>
          <w:u w:val="single"/>
        </w:rPr>
      </w:pPr>
      <w:r>
        <w:rPr>
          <w:rFonts w:hint="default" w:ascii="Times New Roman" w:hAnsi="Times New Roman" w:eastAsia="仿宋_GB2312" w:cs="Times New Roman"/>
          <w:sz w:val="32"/>
          <w:szCs w:val="32"/>
          <w:highlight w:val="none"/>
        </w:rPr>
        <w:t>部门（单位）名称：</w:t>
      </w:r>
      <w:r>
        <w:rPr>
          <w:rFonts w:hint="default" w:ascii="Times New Roman" w:hAnsi="Times New Roman" w:eastAsia="仿宋_GB2312" w:cs="Times New Roman"/>
          <w:sz w:val="32"/>
          <w:szCs w:val="32"/>
          <w:highlight w:val="none"/>
          <w:u w:val="single"/>
        </w:rPr>
        <w:t>（盖章）</w:t>
      </w:r>
    </w:p>
    <w:p>
      <w:pPr>
        <w:keepNext w:val="0"/>
        <w:keepLines w:val="0"/>
        <w:pageBreakBefore w:val="0"/>
        <w:widowControl w:val="0"/>
        <w:kinsoku/>
        <w:overflowPunct/>
        <w:topLinePunct w:val="0"/>
        <w:autoSpaceDE/>
        <w:autoSpaceDN/>
        <w:bidi w:val="0"/>
        <w:adjustRightInd/>
        <w:snapToGrid/>
        <w:spacing w:line="600" w:lineRule="exact"/>
        <w:jc w:val="center"/>
        <w:textAlignment w:val="auto"/>
        <w:rPr>
          <w:rFonts w:hint="default" w:ascii="Times New Roman" w:hAnsi="Times New Roman" w:eastAsia="楷体_GB2312" w:cs="Times New Roman"/>
          <w:sz w:val="32"/>
          <w:szCs w:val="32"/>
          <w:highlight w:val="none"/>
        </w:rPr>
      </w:pPr>
      <w:r>
        <w:rPr>
          <w:rFonts w:hint="eastAsia" w:eastAsia="楷体_GB2312" w:cs="Times New Roman"/>
          <w:sz w:val="32"/>
          <w:szCs w:val="32"/>
          <w:highlight w:val="none"/>
          <w:lang w:val="en-US" w:eastAsia="zh-CN"/>
        </w:rPr>
        <w:t>2026</w:t>
      </w:r>
      <w:r>
        <w:rPr>
          <w:rFonts w:hint="default" w:ascii="Times New Roman" w:hAnsi="Times New Roman" w:eastAsia="楷体_GB2312" w:cs="Times New Roman"/>
          <w:sz w:val="32"/>
          <w:szCs w:val="32"/>
          <w:highlight w:val="none"/>
        </w:rPr>
        <w:t>年</w:t>
      </w:r>
      <w:r>
        <w:rPr>
          <w:rFonts w:hint="eastAsia" w:eastAsia="楷体_GB2312" w:cs="Times New Roman"/>
          <w:sz w:val="32"/>
          <w:szCs w:val="32"/>
          <w:highlight w:val="none"/>
          <w:lang w:val="en-US" w:eastAsia="zh-CN"/>
        </w:rPr>
        <w:t xml:space="preserve"> 07</w:t>
      </w:r>
      <w:r>
        <w:rPr>
          <w:rFonts w:hint="default" w:ascii="Times New Roman" w:hAnsi="Times New Roman" w:eastAsia="楷体_GB2312" w:cs="Times New Roman"/>
          <w:sz w:val="32"/>
          <w:szCs w:val="32"/>
          <w:highlight w:val="none"/>
        </w:rPr>
        <w:t>月</w:t>
      </w:r>
      <w:r>
        <w:rPr>
          <w:rFonts w:hint="eastAsia" w:eastAsia="楷体_GB2312" w:cs="Times New Roman"/>
          <w:sz w:val="32"/>
          <w:szCs w:val="32"/>
          <w:highlight w:val="none"/>
          <w:lang w:val="en-US" w:eastAsia="zh-CN"/>
        </w:rPr>
        <w:t>11</w:t>
      </w:r>
      <w:r>
        <w:rPr>
          <w:rFonts w:hint="default" w:ascii="Times New Roman" w:hAnsi="Times New Roman" w:eastAsia="楷体_GB2312" w:cs="Times New Roman"/>
          <w:sz w:val="32"/>
          <w:szCs w:val="32"/>
          <w:highlight w:val="none"/>
        </w:rPr>
        <w:t>日</w:t>
      </w:r>
    </w:p>
    <w:p>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（此页为封面）</w:t>
      </w:r>
    </w:p>
    <w:p>
      <w:pPr>
        <w:keepNext w:val="0"/>
        <w:keepLines w:val="0"/>
        <w:pageBreakBefore w:val="0"/>
        <w:widowControl w:val="0"/>
        <w:kinsoku/>
        <w:overflowPunct/>
        <w:topLinePunct w:val="0"/>
        <w:autoSpaceDE/>
        <w:autoSpaceDN/>
        <w:bidi w:val="0"/>
        <w:adjustRightInd/>
        <w:snapToGrid/>
        <w:ind w:firstLine="880" w:firstLineChars="200"/>
        <w:jc w:val="both"/>
        <w:textAlignment w:val="auto"/>
        <w:rPr>
          <w:rFonts w:hint="eastAsia" w:ascii="方正小标宋简体" w:hAnsi="方正小标宋简体" w:eastAsia="方正小标宋简体" w:cs="方正小标宋简体"/>
          <w:sz w:val="44"/>
          <w:szCs w:val="44"/>
          <w:highlight w:val="none"/>
          <w:lang w:val="en-US" w:eastAsia="zh-CN"/>
        </w:rPr>
      </w:pPr>
      <w:r>
        <w:rPr>
          <w:rFonts w:hint="eastAsia" w:ascii="方正小标宋简体" w:hAnsi="方正小标宋简体" w:eastAsia="方正小标宋简体" w:cs="方正小标宋简体"/>
          <w:sz w:val="44"/>
          <w:szCs w:val="44"/>
          <w:highlight w:val="none"/>
        </w:rPr>
        <w:t>202</w:t>
      </w:r>
      <w:r>
        <w:rPr>
          <w:rFonts w:hint="eastAsia" w:ascii="方正小标宋简体" w:hAnsi="方正小标宋简体" w:eastAsia="方正小标宋简体" w:cs="方正小标宋简体"/>
          <w:sz w:val="44"/>
          <w:szCs w:val="44"/>
          <w:highlight w:val="none"/>
          <w:lang w:val="en-US" w:eastAsia="zh-CN"/>
        </w:rPr>
        <w:t>5</w:t>
      </w:r>
      <w:r>
        <w:rPr>
          <w:rFonts w:hint="eastAsia" w:ascii="方正小标宋简体" w:hAnsi="方正小标宋简体" w:eastAsia="方正小标宋简体" w:cs="方正小标宋简体"/>
          <w:sz w:val="44"/>
          <w:szCs w:val="44"/>
          <w:highlight w:val="none"/>
        </w:rPr>
        <w:t>年度</w:t>
      </w:r>
      <w:r>
        <w:rPr>
          <w:rFonts w:hint="eastAsia" w:ascii="方正小标宋简体" w:hAnsi="方正小标宋简体" w:eastAsia="方正小标宋简体" w:cs="方正小标宋简体"/>
          <w:sz w:val="44"/>
          <w:szCs w:val="44"/>
          <w:highlight w:val="none"/>
          <w:lang w:val="en-US" w:eastAsia="zh-CN"/>
        </w:rPr>
        <w:t>岳阳市道路运输服务中心</w:t>
      </w:r>
    </w:p>
    <w:p>
      <w:pPr>
        <w:keepNext w:val="0"/>
        <w:keepLines w:val="0"/>
        <w:pageBreakBefore w:val="0"/>
        <w:widowControl w:val="0"/>
        <w:kinsoku/>
        <w:overflowPunct/>
        <w:topLinePunct w:val="0"/>
        <w:autoSpaceDE/>
        <w:autoSpaceDN/>
        <w:bidi w:val="0"/>
        <w:adjustRightInd/>
        <w:snapToGrid/>
        <w:ind w:firstLine="2640" w:firstLineChars="600"/>
        <w:jc w:val="both"/>
        <w:textAlignment w:val="auto"/>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整体支出绩效自评报告</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sz w:val="32"/>
          <w:szCs w:val="32"/>
          <w:highlight w:val="none"/>
        </w:rPr>
      </w:pPr>
    </w:p>
    <w:p>
      <w:pPr>
        <w:keepNext w:val="0"/>
        <w:keepLines w:val="0"/>
        <w:pageBreakBefore w:val="0"/>
        <w:widowControl w:val="0"/>
        <w:numPr>
          <w:ilvl w:val="0"/>
          <w:numId w:val="1"/>
        </w:numPr>
        <w:kinsoku/>
        <w:wordWrap/>
        <w:overflowPunct/>
        <w:topLinePunct w:val="0"/>
        <w:autoSpaceDE/>
        <w:autoSpaceDN/>
        <w:bidi w:val="0"/>
        <w:adjustRightInd/>
        <w:snapToGrid/>
        <w:spacing w:line="640" w:lineRule="exact"/>
        <w:ind w:left="-10" w:leftChars="0" w:firstLine="640" w:firstLineChars="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部门（单位）基本情况</w:t>
      </w:r>
    </w:p>
    <w:p>
      <w:pPr>
        <w:spacing w:line="640" w:lineRule="exact"/>
        <w:ind w:firstLine="640" w:firstLineChars="200"/>
        <w:rPr>
          <w:rFonts w:ascii="Times New Roman" w:hAnsi="Times New Roman" w:eastAsia="黑体"/>
          <w:sz w:val="32"/>
          <w:szCs w:val="32"/>
        </w:rPr>
      </w:pPr>
      <w:r>
        <w:rPr>
          <w:rFonts w:hint="eastAsia" w:ascii="仿宋_GB2312" w:hAnsi="仿宋_GB2312" w:eastAsia="仿宋_GB2312" w:cs="仿宋_GB2312"/>
          <w:sz w:val="32"/>
          <w:szCs w:val="40"/>
          <w:lang w:val="en-US" w:eastAsia="zh-CN"/>
        </w:rPr>
        <w:t>岳阳</w:t>
      </w:r>
      <w:r>
        <w:rPr>
          <w:rFonts w:hint="eastAsia" w:ascii="仿宋_GB2312" w:hAnsi="仿宋_GB2312" w:eastAsia="仿宋_GB2312" w:cs="仿宋_GB2312"/>
          <w:sz w:val="32"/>
          <w:szCs w:val="40"/>
        </w:rPr>
        <w:t>市道路运输服务中心核定全额拔款事业编制</w:t>
      </w:r>
      <w:r>
        <w:rPr>
          <w:rFonts w:hint="eastAsia" w:ascii="仿宋_GB2312" w:hAnsi="仿宋_GB2312" w:eastAsia="仿宋_GB2312" w:cs="仿宋_GB2312"/>
          <w:sz w:val="32"/>
          <w:szCs w:val="40"/>
          <w:lang w:val="en-US" w:eastAsia="zh-CN"/>
        </w:rPr>
        <w:t>8</w:t>
      </w:r>
      <w:r>
        <w:rPr>
          <w:rFonts w:hint="eastAsia" w:ascii="仿宋_GB2312" w:hAnsi="仿宋_GB2312" w:eastAsia="仿宋_GB2312" w:cs="仿宋_GB2312"/>
          <w:sz w:val="32"/>
          <w:szCs w:val="40"/>
        </w:rPr>
        <w:t>1名。单位</w:t>
      </w:r>
      <w:r>
        <w:rPr>
          <w:rFonts w:hint="eastAsia" w:ascii="仿宋_GB2312" w:eastAsia="仿宋_GB2312"/>
          <w:sz w:val="32"/>
          <w:szCs w:val="32"/>
        </w:rPr>
        <w:t>经费渠道为财政全额拨款。</w:t>
      </w:r>
      <w:r>
        <w:rPr>
          <w:rFonts w:hint="eastAsia" w:ascii="仿宋_GB2312" w:hAnsi="仿宋_GB2312" w:eastAsia="仿宋_GB2312" w:cs="仿宋_GB2312"/>
          <w:sz w:val="32"/>
          <w:szCs w:val="40"/>
        </w:rPr>
        <w:t>单位现实有在编人员</w:t>
      </w:r>
      <w:r>
        <w:rPr>
          <w:rFonts w:hint="eastAsia" w:ascii="仿宋_GB2312" w:hAnsi="仿宋_GB2312" w:eastAsia="仿宋_GB2312" w:cs="仿宋_GB2312"/>
          <w:sz w:val="32"/>
          <w:szCs w:val="40"/>
          <w:lang w:val="en-US" w:eastAsia="zh-CN"/>
        </w:rPr>
        <w:t>77</w:t>
      </w:r>
      <w:r>
        <w:rPr>
          <w:rFonts w:hint="eastAsia" w:ascii="仿宋_GB2312" w:hAnsi="仿宋_GB2312" w:eastAsia="仿宋_GB2312" w:cs="仿宋_GB2312"/>
          <w:sz w:val="32"/>
          <w:szCs w:val="40"/>
        </w:rPr>
        <w:t>名，其中202</w:t>
      </w:r>
      <w:r>
        <w:rPr>
          <w:rFonts w:hint="eastAsia" w:ascii="仿宋_GB2312" w:hAnsi="仿宋_GB2312" w:eastAsia="仿宋_GB2312" w:cs="仿宋_GB2312"/>
          <w:sz w:val="32"/>
          <w:szCs w:val="40"/>
          <w:lang w:val="en-US" w:eastAsia="zh-CN"/>
        </w:rPr>
        <w:t>5</w:t>
      </w:r>
      <w:r>
        <w:rPr>
          <w:rFonts w:hint="eastAsia" w:ascii="仿宋_GB2312" w:hAnsi="仿宋_GB2312" w:eastAsia="仿宋_GB2312" w:cs="仿宋_GB2312"/>
          <w:sz w:val="32"/>
          <w:szCs w:val="40"/>
        </w:rPr>
        <w:t>年度退休</w:t>
      </w:r>
      <w:r>
        <w:rPr>
          <w:rFonts w:hint="eastAsia" w:ascii="仿宋_GB2312" w:hAnsi="仿宋_GB2312" w:eastAsia="仿宋_GB2312" w:cs="仿宋_GB2312"/>
          <w:sz w:val="32"/>
          <w:szCs w:val="40"/>
          <w:lang w:val="en-US" w:eastAsia="zh-CN"/>
        </w:rPr>
        <w:t>1</w:t>
      </w:r>
      <w:r>
        <w:rPr>
          <w:rFonts w:hint="eastAsia" w:ascii="仿宋_GB2312" w:hAnsi="仿宋_GB2312" w:eastAsia="仿宋_GB2312" w:cs="仿宋_GB2312"/>
          <w:sz w:val="32"/>
          <w:szCs w:val="40"/>
        </w:rPr>
        <w:t>名，招聘1名</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lang w:val="en-US" w:eastAsia="zh-CN"/>
        </w:rPr>
        <w:t>退伍安置2人</w:t>
      </w:r>
      <w:r>
        <w:rPr>
          <w:rFonts w:hint="eastAsia" w:ascii="仿宋_GB2312" w:hAnsi="仿宋_GB2312" w:eastAsia="仿宋_GB2312" w:cs="仿宋_GB2312"/>
          <w:sz w:val="32"/>
          <w:szCs w:val="40"/>
        </w:rPr>
        <w:t>。核定领导职数6名，设主任（副处级）1名，党委副职（正科级）5名（其中党委专职副书记1名）；内设机构副科级领导职数11名（含党委办主任1名）；分支机构正科级领导职数3名、副科级领导职数6名。</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jc w:val="both"/>
        <w:textAlignment w:val="auto"/>
        <w:rPr>
          <w:rFonts w:hint="default" w:ascii="Times New Roman" w:hAnsi="Times New Roman" w:eastAsia="黑体" w:cs="Times New Roman"/>
          <w:sz w:val="32"/>
          <w:szCs w:val="32"/>
          <w:highlight w:val="none"/>
        </w:rPr>
      </w:pPr>
    </w:p>
    <w:p>
      <w:pPr>
        <w:pStyle w:val="7"/>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二、一般公共预算支出情况</w:t>
      </w:r>
    </w:p>
    <w:p>
      <w:pPr>
        <w:pStyle w:val="7"/>
        <w:keepNext w:val="0"/>
        <w:keepLines w:val="0"/>
        <w:pageBreakBefore w:val="0"/>
        <w:widowControl w:val="0"/>
        <w:kinsoku/>
        <w:wordWrap/>
        <w:overflowPunct/>
        <w:topLinePunct w:val="0"/>
        <w:autoSpaceDE/>
        <w:autoSpaceDN/>
        <w:bidi w:val="0"/>
        <w:adjustRightInd/>
        <w:snapToGrid/>
        <w:spacing w:line="640" w:lineRule="exact"/>
        <w:ind w:firstLine="643" w:firstLineChars="200"/>
        <w:jc w:val="both"/>
        <w:textAlignment w:val="auto"/>
        <w:rPr>
          <w:rFonts w:hint="default" w:ascii="Times New Roman" w:hAnsi="Times New Roman" w:eastAsia="楷体_GB2312" w:cs="Times New Roman"/>
          <w:b/>
          <w:sz w:val="32"/>
          <w:szCs w:val="32"/>
          <w:highlight w:val="none"/>
        </w:rPr>
      </w:pPr>
      <w:r>
        <w:rPr>
          <w:rFonts w:hint="default" w:ascii="Times New Roman" w:hAnsi="Times New Roman" w:eastAsia="楷体_GB2312" w:cs="Times New Roman"/>
          <w:b/>
          <w:sz w:val="32"/>
          <w:szCs w:val="32"/>
          <w:highlight w:val="none"/>
        </w:rPr>
        <w:t>（一）基本支出情况</w:t>
      </w:r>
    </w:p>
    <w:p>
      <w:pPr>
        <w:pStyle w:val="7"/>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方正仿宋_GB2312" w:hAnsi="方正仿宋_GB2312" w:eastAsia="方正仿宋_GB2312" w:cs="方正仿宋_GB2312"/>
          <w:b/>
          <w:sz w:val="32"/>
          <w:szCs w:val="32"/>
          <w:highlight w:val="none"/>
        </w:rPr>
      </w:pPr>
      <w:r>
        <w:rPr>
          <w:rFonts w:hint="eastAsia" w:ascii="方正仿宋_GB2312" w:hAnsi="方正仿宋_GB2312" w:eastAsia="方正仿宋_GB2312" w:cs="方正仿宋_GB2312"/>
          <w:sz w:val="32"/>
          <w:szCs w:val="32"/>
        </w:rPr>
        <w:t>2025年基本支出年</w:t>
      </w:r>
      <w:r>
        <w:rPr>
          <w:rFonts w:hint="eastAsia" w:ascii="方正仿宋_GB2312" w:hAnsi="方正仿宋_GB2312" w:eastAsia="方正仿宋_GB2312" w:cs="方正仿宋_GB2312"/>
          <w:sz w:val="32"/>
          <w:szCs w:val="32"/>
          <w:lang w:val="en-US" w:eastAsia="zh-CN"/>
        </w:rPr>
        <w:t>1980.2</w:t>
      </w:r>
      <w:r>
        <w:rPr>
          <w:rFonts w:hint="eastAsia" w:ascii="方正仿宋_GB2312" w:hAnsi="方正仿宋_GB2312" w:eastAsia="方正仿宋_GB2312" w:cs="方正仿宋_GB2312"/>
          <w:sz w:val="32"/>
          <w:szCs w:val="32"/>
        </w:rPr>
        <w:t>万元，是指为保障单位机构正常运转、完成日常工作任务而发生的各项支出，包括用于基本工资、津贴补贴等人员经费以及办公费、印刷费、水电费、差旅费等日常公用经费</w:t>
      </w:r>
    </w:p>
    <w:p>
      <w:pPr>
        <w:pStyle w:val="7"/>
        <w:keepNext w:val="0"/>
        <w:keepLines w:val="0"/>
        <w:pageBreakBefore w:val="0"/>
        <w:widowControl w:val="0"/>
        <w:numPr>
          <w:ilvl w:val="0"/>
          <w:numId w:val="2"/>
        </w:numPr>
        <w:kinsoku/>
        <w:wordWrap/>
        <w:overflowPunct/>
        <w:topLinePunct w:val="0"/>
        <w:autoSpaceDE/>
        <w:autoSpaceDN/>
        <w:bidi w:val="0"/>
        <w:adjustRightInd/>
        <w:snapToGrid/>
        <w:spacing w:line="640" w:lineRule="exact"/>
        <w:ind w:firstLine="643" w:firstLineChars="200"/>
        <w:jc w:val="both"/>
        <w:textAlignment w:val="auto"/>
        <w:rPr>
          <w:rFonts w:hint="default" w:ascii="Times New Roman" w:hAnsi="Times New Roman" w:eastAsia="楷体_GB2312" w:cs="Times New Roman"/>
          <w:b/>
          <w:sz w:val="32"/>
          <w:szCs w:val="32"/>
          <w:highlight w:val="none"/>
        </w:rPr>
      </w:pPr>
      <w:r>
        <w:rPr>
          <w:rFonts w:hint="default" w:ascii="Times New Roman" w:hAnsi="Times New Roman" w:eastAsia="楷体_GB2312" w:cs="Times New Roman"/>
          <w:b/>
          <w:sz w:val="32"/>
          <w:szCs w:val="32"/>
          <w:highlight w:val="none"/>
        </w:rPr>
        <w:t>项目支出情况</w:t>
      </w:r>
    </w:p>
    <w:p>
      <w:pPr>
        <w:pStyle w:val="7"/>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方正仿宋_GB2312" w:hAnsi="方正仿宋_GB2312" w:eastAsia="方正仿宋_GB2312" w:cs="方正仿宋_GB2312"/>
          <w:b/>
          <w:sz w:val="32"/>
          <w:szCs w:val="32"/>
          <w:highlight w:val="none"/>
        </w:rPr>
      </w:pPr>
      <w:r>
        <w:rPr>
          <w:rFonts w:hint="eastAsia" w:ascii="方正仿宋_GB2312" w:hAnsi="方正仿宋_GB2312" w:eastAsia="方正仿宋_GB2312" w:cs="方正仿宋_GB2312"/>
          <w:sz w:val="32"/>
          <w:szCs w:val="32"/>
          <w:lang w:val="en-US" w:eastAsia="zh-CN" w:bidi="ar"/>
        </w:rPr>
        <w:t>2025年项目支出年为14.00万元，是指单位为完成特定行政工作任务或事业发展目标而发生的支出，包括有关业务工作经费、运行维护经费、其他事业发展资金等。铁路运输工作经费专项经费，主要用于铁路在建工程质量监督，加强铁路建设的新建和改建及实施铁路建设工程质量监督管理。铁路道口安全和铁路运输安全管理，加强保障铁路安全教育，加强铁路专用线铁路道口安全防护设施风险管理和隐患排查整治方面。</w:t>
      </w:r>
    </w:p>
    <w:p>
      <w:pPr>
        <w:pStyle w:val="7"/>
        <w:keepNext w:val="0"/>
        <w:keepLines w:val="0"/>
        <w:pageBreakBefore w:val="0"/>
        <w:widowControl w:val="0"/>
        <w:numPr>
          <w:ilvl w:val="0"/>
          <w:numId w:val="1"/>
        </w:numPr>
        <w:kinsoku/>
        <w:wordWrap/>
        <w:overflowPunct/>
        <w:topLinePunct w:val="0"/>
        <w:autoSpaceDE/>
        <w:autoSpaceDN/>
        <w:bidi w:val="0"/>
        <w:adjustRightInd/>
        <w:snapToGrid/>
        <w:spacing w:line="640" w:lineRule="exact"/>
        <w:ind w:left="-10" w:leftChars="0" w:firstLine="640" w:firstLineChars="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政府性基金预算支出情况</w:t>
      </w:r>
    </w:p>
    <w:p>
      <w:pPr>
        <w:pStyle w:val="7"/>
        <w:keepNext w:val="0"/>
        <w:keepLines w:val="0"/>
        <w:pageBreakBefore w:val="0"/>
        <w:widowControl w:val="0"/>
        <w:numPr>
          <w:ilvl w:val="0"/>
          <w:numId w:val="0"/>
        </w:numPr>
        <w:kinsoku/>
        <w:wordWrap/>
        <w:overflowPunct/>
        <w:topLinePunct w:val="0"/>
        <w:autoSpaceDE/>
        <w:autoSpaceDN/>
        <w:bidi w:val="0"/>
        <w:adjustRightInd/>
        <w:snapToGrid/>
        <w:spacing w:line="640" w:lineRule="exact"/>
        <w:ind w:left="630" w:leftChars="0"/>
        <w:jc w:val="both"/>
        <w:textAlignment w:val="auto"/>
        <w:rPr>
          <w:rFonts w:hint="default" w:ascii="Times New Roman" w:hAnsi="Times New Roman" w:eastAsia="黑体" w:cs="Times New Roman"/>
          <w:sz w:val="32"/>
          <w:szCs w:val="32"/>
          <w:highlight w:val="none"/>
        </w:rPr>
      </w:pPr>
      <w:r>
        <w:rPr>
          <w:rFonts w:hint="eastAsia" w:ascii="仿宋_GB2312" w:hAnsi="仿宋" w:eastAsia="仿宋_GB2312" w:cs="黑体"/>
          <w:color w:val="000000"/>
          <w:sz w:val="32"/>
          <w:szCs w:val="32"/>
          <w:lang w:val="en-US" w:eastAsia="zh-CN"/>
        </w:rPr>
        <w:t>2025年</w:t>
      </w:r>
      <w:r>
        <w:rPr>
          <w:rFonts w:hint="eastAsia" w:ascii="仿宋_GB2312" w:hAnsi="仿宋" w:eastAsia="仿宋_GB2312" w:cs="黑体"/>
          <w:color w:val="000000"/>
          <w:sz w:val="32"/>
          <w:szCs w:val="32"/>
        </w:rPr>
        <w:t>无政府性基金预算支出</w:t>
      </w:r>
    </w:p>
    <w:p>
      <w:pPr>
        <w:pStyle w:val="7"/>
        <w:keepNext w:val="0"/>
        <w:keepLines w:val="0"/>
        <w:pageBreakBefore w:val="0"/>
        <w:widowControl w:val="0"/>
        <w:numPr>
          <w:ilvl w:val="0"/>
          <w:numId w:val="1"/>
        </w:numPr>
        <w:kinsoku/>
        <w:wordWrap/>
        <w:overflowPunct/>
        <w:topLinePunct w:val="0"/>
        <w:autoSpaceDE/>
        <w:autoSpaceDN/>
        <w:bidi w:val="0"/>
        <w:adjustRightInd/>
        <w:snapToGrid/>
        <w:spacing w:line="640" w:lineRule="exact"/>
        <w:ind w:left="-10" w:leftChars="0" w:firstLine="640" w:firstLineChars="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国有资本经营预算支出情况</w:t>
      </w:r>
    </w:p>
    <w:p>
      <w:pPr>
        <w:pStyle w:val="7"/>
        <w:keepNext w:val="0"/>
        <w:keepLines w:val="0"/>
        <w:pageBreakBefore w:val="0"/>
        <w:widowControl w:val="0"/>
        <w:numPr>
          <w:ilvl w:val="0"/>
          <w:numId w:val="0"/>
        </w:numPr>
        <w:kinsoku/>
        <w:wordWrap/>
        <w:overflowPunct/>
        <w:topLinePunct w:val="0"/>
        <w:autoSpaceDE/>
        <w:autoSpaceDN/>
        <w:bidi w:val="0"/>
        <w:adjustRightInd/>
        <w:snapToGrid/>
        <w:spacing w:line="640" w:lineRule="exact"/>
        <w:ind w:left="630" w:leftChars="0"/>
        <w:jc w:val="both"/>
        <w:textAlignment w:val="auto"/>
        <w:rPr>
          <w:rFonts w:hint="default" w:ascii="Times New Roman" w:hAnsi="Times New Roman" w:eastAsia="黑体" w:cs="Times New Roman"/>
          <w:sz w:val="32"/>
          <w:szCs w:val="32"/>
          <w:highlight w:val="none"/>
        </w:rPr>
      </w:pPr>
      <w:r>
        <w:rPr>
          <w:rFonts w:hint="eastAsia" w:ascii="仿宋_GB2312" w:hAnsi="仿宋" w:eastAsia="仿宋_GB2312" w:cs="黑体"/>
          <w:color w:val="000000"/>
          <w:sz w:val="32"/>
          <w:szCs w:val="32"/>
          <w:lang w:val="en-US" w:eastAsia="zh-CN"/>
        </w:rPr>
        <w:t>2025年</w:t>
      </w:r>
      <w:r>
        <w:rPr>
          <w:rFonts w:hint="eastAsia" w:ascii="仿宋_GB2312" w:hAnsi="仿宋" w:eastAsia="仿宋_GB2312" w:cs="黑体"/>
          <w:color w:val="000000"/>
          <w:sz w:val="32"/>
          <w:szCs w:val="32"/>
        </w:rPr>
        <w:t>无政府性基金预算支出</w:t>
      </w:r>
    </w:p>
    <w:p>
      <w:pPr>
        <w:pStyle w:val="7"/>
        <w:keepNext w:val="0"/>
        <w:keepLines w:val="0"/>
        <w:pageBreakBefore w:val="0"/>
        <w:widowControl w:val="0"/>
        <w:numPr>
          <w:ilvl w:val="0"/>
          <w:numId w:val="1"/>
        </w:numPr>
        <w:kinsoku/>
        <w:wordWrap/>
        <w:overflowPunct/>
        <w:topLinePunct w:val="0"/>
        <w:autoSpaceDE/>
        <w:autoSpaceDN/>
        <w:bidi w:val="0"/>
        <w:adjustRightInd/>
        <w:snapToGrid/>
        <w:spacing w:line="640" w:lineRule="exact"/>
        <w:ind w:left="-10" w:leftChars="0" w:firstLine="640" w:firstLineChars="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社会保险基金预算支出情况</w:t>
      </w:r>
    </w:p>
    <w:p>
      <w:pPr>
        <w:pStyle w:val="7"/>
        <w:keepNext w:val="0"/>
        <w:keepLines w:val="0"/>
        <w:pageBreakBefore w:val="0"/>
        <w:widowControl w:val="0"/>
        <w:numPr>
          <w:ilvl w:val="0"/>
          <w:numId w:val="0"/>
        </w:numPr>
        <w:kinsoku/>
        <w:wordWrap/>
        <w:overflowPunct/>
        <w:topLinePunct w:val="0"/>
        <w:autoSpaceDE/>
        <w:autoSpaceDN/>
        <w:bidi w:val="0"/>
        <w:adjustRightInd/>
        <w:snapToGrid/>
        <w:spacing w:line="640" w:lineRule="exact"/>
        <w:ind w:left="630" w:leftChars="0"/>
        <w:jc w:val="both"/>
        <w:textAlignment w:val="auto"/>
        <w:rPr>
          <w:rFonts w:hint="default" w:ascii="Times New Roman" w:hAnsi="Times New Roman" w:eastAsia="黑体" w:cs="Times New Roman"/>
          <w:sz w:val="32"/>
          <w:szCs w:val="32"/>
          <w:highlight w:val="none"/>
        </w:rPr>
      </w:pPr>
      <w:r>
        <w:rPr>
          <w:rFonts w:hint="eastAsia" w:ascii="仿宋_GB2312" w:hAnsi="仿宋" w:eastAsia="仿宋_GB2312" w:cs="黑体"/>
          <w:color w:val="000000"/>
          <w:sz w:val="32"/>
          <w:szCs w:val="32"/>
          <w:lang w:val="en-US" w:eastAsia="zh-CN"/>
        </w:rPr>
        <w:t>2025年</w:t>
      </w:r>
      <w:r>
        <w:rPr>
          <w:rFonts w:hint="eastAsia" w:ascii="仿宋_GB2312" w:hAnsi="仿宋" w:eastAsia="仿宋_GB2312" w:cs="黑体"/>
          <w:color w:val="000000"/>
          <w:sz w:val="32"/>
          <w:szCs w:val="32"/>
        </w:rPr>
        <w:t>无政府性基金预算支出</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eastAsia" w:eastAsia="黑体" w:cs="Times New Roman"/>
          <w:sz w:val="32"/>
          <w:szCs w:val="32"/>
          <w:highlight w:val="none"/>
          <w:lang w:val="en-US" w:eastAsia="zh-CN"/>
        </w:rPr>
        <w:t>五</w:t>
      </w:r>
      <w:r>
        <w:rPr>
          <w:rFonts w:hint="default" w:ascii="Times New Roman" w:hAnsi="Times New Roman" w:eastAsia="黑体" w:cs="Times New Roman"/>
          <w:sz w:val="32"/>
          <w:szCs w:val="32"/>
          <w:highlight w:val="none"/>
        </w:rPr>
        <w:t>、部门整体支出绩效情况</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方正仿宋_GB2312" w:hAnsi="方正仿宋_GB2312" w:eastAsia="方正仿宋_GB2312" w:cs="方正仿宋_GB2312"/>
          <w:color w:val="000000"/>
          <w:sz w:val="32"/>
          <w:szCs w:val="32"/>
          <w:highlight w:val="none"/>
        </w:rPr>
      </w:pPr>
      <w:r>
        <w:rPr>
          <w:rFonts w:hint="eastAsia" w:ascii="方正仿宋_GB2312" w:hAnsi="方正仿宋_GB2312" w:eastAsia="方正仿宋_GB2312" w:cs="方正仿宋_GB2312"/>
          <w:color w:val="000000"/>
          <w:sz w:val="32"/>
          <w:szCs w:val="32"/>
          <w:highlight w:val="none"/>
        </w:rPr>
        <w:t>2025年，岳阳市道路运输服务中心紧扣部门职责与行业发展规划，以“四本预算”资金管理为主线，全面提升资产管理与业务履职效能，整体绩效目标圆满完成。</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方正仿宋_GB2312" w:hAnsi="方正仿宋_GB2312" w:eastAsia="方正仿宋_GB2312" w:cs="方正仿宋_GB2312"/>
          <w:color w:val="000000"/>
          <w:sz w:val="32"/>
          <w:szCs w:val="32"/>
          <w:highlight w:val="none"/>
        </w:rPr>
      </w:pPr>
      <w:r>
        <w:rPr>
          <w:rFonts w:hint="eastAsia" w:ascii="方正仿宋_GB2312" w:hAnsi="方正仿宋_GB2312" w:eastAsia="方正仿宋_GB2312" w:cs="方正仿宋_GB2312"/>
          <w:color w:val="000000"/>
          <w:sz w:val="32"/>
          <w:szCs w:val="32"/>
          <w:highlight w:val="none"/>
        </w:rPr>
        <w:t>在运行成本与管理效率方面，中心坚持过紧日子思想，严格预算执行与绩效目标管理。通过深化“放管服”改革，全面推行“一网通办”与“湘易办”线上办理，90%以上业务实现远程办理，大幅降低了行政运行成本与群众办事成本。全年高效处置各类热线投诉1444件，货车司机投诉处置效率显著提升，实现了政务服务提质增效。</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方正仿宋_GB2312" w:hAnsi="方正仿宋_GB2312" w:eastAsia="方正仿宋_GB2312" w:cs="方正仿宋_GB2312"/>
          <w:color w:val="000000"/>
          <w:sz w:val="32"/>
          <w:szCs w:val="32"/>
          <w:highlight w:val="none"/>
        </w:rPr>
      </w:pPr>
      <w:r>
        <w:rPr>
          <w:rFonts w:hint="eastAsia" w:ascii="方正仿宋_GB2312" w:hAnsi="方正仿宋_GB2312" w:eastAsia="方正仿宋_GB2312" w:cs="方正仿宋_GB2312"/>
          <w:color w:val="000000"/>
          <w:sz w:val="32"/>
          <w:szCs w:val="32"/>
          <w:highlight w:val="none"/>
        </w:rPr>
        <w:t>在履职效能与资产管理方面，中心聚焦主责主业，全年新增及续牌新能源出租车436台，完成普货及危货年审5678台次，指导56家维修企业及驾校规范备案，清理报废教练车68辆。扎实开展隐患排查整治893次，整改隐患821起，“两客一危”车辆100%入网且违规处置率达100%。全年完工9个站场项目，累计完成投资3.69亿元，建成集中钣喷中心，行业基础设施资产效能得到显著盘活与提升。</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方正仿宋_GB2312" w:hAnsi="方正仿宋_GB2312" w:eastAsia="方正仿宋_GB2312" w:cs="方正仿宋_GB2312"/>
          <w:color w:val="000000"/>
          <w:sz w:val="32"/>
          <w:szCs w:val="32"/>
          <w:highlight w:val="none"/>
        </w:rPr>
      </w:pPr>
      <w:r>
        <w:rPr>
          <w:rFonts w:hint="eastAsia" w:ascii="方正仿宋_GB2312" w:hAnsi="方正仿宋_GB2312" w:eastAsia="方正仿宋_GB2312" w:cs="方正仿宋_GB2312"/>
          <w:color w:val="000000"/>
          <w:sz w:val="32"/>
          <w:szCs w:val="32"/>
          <w:highlight w:val="none"/>
        </w:rPr>
        <w:t>在社会效应与可持续发展能力方面，全市货运量与货物周转量同比分别增长24.5%和10.3%，增速位居全省第二，货运市场展现强劲韧性。中心荣获全省道路货物运输安全知识竞赛优秀组织奖，完成56处铁路沿线隐患整治，有力保障了区域交通大动脉的安全畅通。同时，精准发放油补资金1369.6万元，推动410辆老旧车辆报废更新，党员干部结对帮扶243名司机并解决诉求46条，切实增强了新就业形态劳动者的获得感。</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方正仿宋_GB2312" w:hAnsi="方正仿宋_GB2312" w:eastAsia="方正仿宋_GB2312" w:cs="方正仿宋_GB2312"/>
          <w:color w:val="000000"/>
          <w:sz w:val="32"/>
          <w:szCs w:val="32"/>
          <w:highlight w:val="none"/>
        </w:rPr>
      </w:pPr>
      <w:r>
        <w:rPr>
          <w:rFonts w:hint="eastAsia" w:ascii="方正仿宋_GB2312" w:hAnsi="方正仿宋_GB2312" w:eastAsia="方正仿宋_GB2312" w:cs="方正仿宋_GB2312"/>
          <w:color w:val="000000"/>
          <w:sz w:val="32"/>
          <w:szCs w:val="32"/>
          <w:highlight w:val="none"/>
        </w:rPr>
        <w:t>在服务对象满意度方面，中心坚持问题导向，用心用情解决群众及从业人员急难愁盼问题。通过常态化开展行风监督、移动体检专场等活动，有效化解了矛盾纠纷，提升了行业服务质量，群众及货车司机的满意度与归属感持续攀升，实现了社会效益与经济效益的统一。</w:t>
      </w:r>
    </w:p>
    <w:p>
      <w:pPr>
        <w:pStyle w:val="7"/>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lang w:val="en-US" w:eastAsia="zh-CN"/>
        </w:rPr>
        <w:t>六</w:t>
      </w:r>
      <w:r>
        <w:rPr>
          <w:rFonts w:hint="default" w:ascii="Times New Roman" w:hAnsi="Times New Roman" w:eastAsia="黑体" w:cs="Times New Roman"/>
          <w:sz w:val="32"/>
          <w:szCs w:val="32"/>
          <w:highlight w:val="none"/>
        </w:rPr>
        <w:t>、存在的问题及原因分析</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eastAsia="仿宋_GB2312" w:cs="Times New Roman"/>
          <w:sz w:val="32"/>
          <w:szCs w:val="32"/>
          <w:highlight w:val="none"/>
          <w:lang w:eastAsia="zh-CN"/>
        </w:rPr>
      </w:pPr>
      <w:r>
        <w:rPr>
          <w:rFonts w:hint="eastAsia" w:ascii="方正仿宋_GB2312" w:hAnsi="方正仿宋_GB2312" w:eastAsia="方正仿宋_GB2312" w:cs="方正仿宋_GB2312"/>
          <w:sz w:val="32"/>
          <w:szCs w:val="32"/>
          <w:highlight w:val="none"/>
        </w:rPr>
        <w:t>当前预算绩效目标设定不够科学量化，部分指标难以精准衡量，且绩效评价结果应用机制不健全。部门履职效能方面，面对海量热线投诉，复杂工单处置效率与质量仍有提升空间；“一网通办”虽已推行，但部分从业人员操作不熟练，窗口指导服务仍需优化。资金分配使用上，部分基建项目因前期审批滞后导致资金沉淀，执行进度不均衡。资产与财务管理中，老旧资产核销流程长，存在账实不符风险</w:t>
      </w:r>
      <w:r>
        <w:rPr>
          <w:rFonts w:hint="eastAsia" w:ascii="方正仿宋_GB2312" w:hAnsi="方正仿宋_GB2312" w:eastAsia="方正仿宋_GB2312" w:cs="方正仿宋_GB2312"/>
          <w:sz w:val="32"/>
          <w:szCs w:val="32"/>
          <w:highlight w:val="none"/>
          <w:lang w:eastAsia="zh-CN"/>
        </w:rPr>
        <w:t>。</w:t>
      </w:r>
    </w:p>
    <w:p>
      <w:pPr>
        <w:keepNext w:val="0"/>
        <w:keepLines w:val="0"/>
        <w:pageBreakBefore w:val="0"/>
        <w:widowControl w:val="0"/>
        <w:numPr>
          <w:ilvl w:val="0"/>
          <w:numId w:val="3"/>
        </w:numPr>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下一步改进措施</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是做实预算绩效，让指标更量化，并将评价结果与明年预算挂钩。二是提升服务效能，推行复杂投诉“一事一复盘”，加强线上办事指导，优化窗口服务。三是加快资金执行，定期调度通报，对滞后项目专班跟进，加快拨付。四是规范资产与财务，定期盘点清查，加快报废处置，加强财务人员培训。</w:t>
      </w:r>
    </w:p>
    <w:p>
      <w:pPr>
        <w:keepNext w:val="0"/>
        <w:keepLines w:val="0"/>
        <w:pageBreakBefore w:val="0"/>
        <w:widowControl w:val="0"/>
        <w:numPr>
          <w:ilvl w:val="0"/>
          <w:numId w:val="3"/>
        </w:numPr>
        <w:kinsoku/>
        <w:wordWrap/>
        <w:overflowPunct/>
        <w:topLinePunct w:val="0"/>
        <w:autoSpaceDE/>
        <w:autoSpaceDN/>
        <w:bidi w:val="0"/>
        <w:adjustRightInd/>
        <w:snapToGrid/>
        <w:spacing w:line="640" w:lineRule="exact"/>
        <w:ind w:left="0" w:leftChars="0"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部门整体支出绩效自评结果拟应用和公开情况</w:t>
      </w:r>
    </w:p>
    <w:p>
      <w:pPr>
        <w:pStyle w:val="2"/>
        <w:numPr>
          <w:ilvl w:val="0"/>
          <w:numId w:val="0"/>
        </w:numPr>
        <w:ind w:leftChars="200" w:firstLine="640" w:firstLineChars="20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202</w:t>
      </w:r>
      <w:r>
        <w:rPr>
          <w:rFonts w:hint="eastAsia" w:ascii="方正仿宋_GB2312" w:hAnsi="方正仿宋_GB2312" w:eastAsia="方正仿宋_GB2312" w:cs="方正仿宋_GB2312"/>
          <w:sz w:val="32"/>
          <w:szCs w:val="32"/>
          <w:lang w:val="en-US" w:eastAsia="zh-CN"/>
        </w:rPr>
        <w:t>5</w:t>
      </w:r>
      <w:r>
        <w:rPr>
          <w:rFonts w:hint="eastAsia" w:ascii="方正仿宋_GB2312" w:hAnsi="方正仿宋_GB2312" w:eastAsia="方正仿宋_GB2312" w:cs="方正仿宋_GB2312"/>
          <w:sz w:val="32"/>
          <w:szCs w:val="32"/>
        </w:rPr>
        <w:t>年，本单位紧紧围绕市委、市政府及省局工作部署，以年初工作计划与目标管理为抓手，主动作为、精细管理，高质量完成了全年既定目标。在抓好业务工作的同时，我们严格执行预算制度，持续优化内控制度，全面提升了单位整体支出绩效与资金使用效益。按照政务公开要求，本单位已于规定时限内，将202</w:t>
      </w:r>
      <w:r>
        <w:rPr>
          <w:rFonts w:hint="eastAsia" w:ascii="方正仿宋_GB2312" w:hAnsi="方正仿宋_GB2312" w:eastAsia="方正仿宋_GB2312" w:cs="方正仿宋_GB2312"/>
          <w:sz w:val="32"/>
          <w:szCs w:val="32"/>
          <w:lang w:val="en-US" w:eastAsia="zh-CN"/>
        </w:rPr>
        <w:t>5</w:t>
      </w:r>
      <w:r>
        <w:rPr>
          <w:rFonts w:hint="eastAsia" w:ascii="方正仿宋_GB2312" w:hAnsi="方正仿宋_GB2312" w:eastAsia="方正仿宋_GB2312" w:cs="方正仿宋_GB2312"/>
          <w:sz w:val="32"/>
          <w:szCs w:val="32"/>
        </w:rPr>
        <w:t>年部门整体支出绩效自评报告在岳阳市交通运输局门户网站予以公开，主动接受社会监督。</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其他需要说明的情况</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报告需要以下附件：</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部门整体支出绩效评价基础数据表</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部门整体支出绩效自评表</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项目支出绩效自评表（一个一级项目支出一张表）</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4</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政府性基金预算支出情况表</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5</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国有资本经营预算支出情况表</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6</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社会保险基金预算支出情况表</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rPr>
      </w:pP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rPr>
      </w:pP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rPr>
      </w:pP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rPr>
      </w:pP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rPr>
      </w:pP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rPr>
      </w:pP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rPr>
      </w:pP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rPr>
      </w:pPr>
    </w:p>
    <w:p>
      <w:pPr>
        <w:keepNext w:val="0"/>
        <w:keepLines w:val="0"/>
        <w:pageBreakBefore w:val="0"/>
        <w:widowControl w:val="0"/>
        <w:kinsoku/>
        <w:overflowPunct/>
        <w:topLinePunct w:val="0"/>
        <w:autoSpaceDE/>
        <w:autoSpaceDN/>
        <w:bidi w:val="0"/>
        <w:adjustRightInd/>
        <w:snapToGrid/>
        <w:spacing w:line="20" w:lineRule="exact"/>
        <w:ind w:firstLine="0"/>
        <w:jc w:val="left"/>
        <w:textAlignment w:val="auto"/>
        <w:rPr>
          <w:rFonts w:ascii="仿宋_GB2312" w:eastAsia="仿宋_GB2312"/>
          <w:sz w:val="32"/>
          <w:szCs w:val="32"/>
        </w:rPr>
      </w:pPr>
    </w:p>
    <w:p/>
    <w:sectPr>
      <w:footerReference r:id="rId3" w:type="default"/>
      <w:footerReference r:id="rId4" w:type="even"/>
      <w:pgSz w:w="11906" w:h="16838"/>
      <w:pgMar w:top="1587" w:right="1588" w:bottom="1587" w:left="1588"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35971D2-4672-402E-9C81-2146134D4BB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9C9510F9-77E8-4CE1-BE23-DEDB62D62C16}"/>
  </w:font>
  <w:font w:name="方正小标宋简体">
    <w:altName w:val="方正舒体"/>
    <w:panose1 w:val="02000000000000000000"/>
    <w:charset w:val="86"/>
    <w:family w:val="auto"/>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embedRegular r:id="rId3" w:fontKey="{9C387E88-F3C1-44C5-8FFE-B417E136AD5F}"/>
  </w:font>
  <w:font w:name="方正小标宋_GBK">
    <w:altName w:val="微软雅黑"/>
    <w:panose1 w:val="02000000000000000000"/>
    <w:charset w:val="86"/>
    <w:family w:val="script"/>
    <w:pitch w:val="default"/>
    <w:sig w:usb0="00000000" w:usb1="00000000" w:usb2="00082016" w:usb3="00000000" w:csb0="00040001" w:csb1="00000000"/>
  </w:font>
  <w:font w:name="楷体_GB2312">
    <w:altName w:val="楷体"/>
    <w:panose1 w:val="02010609030101010101"/>
    <w:charset w:val="86"/>
    <w:family w:val="modern"/>
    <w:pitch w:val="default"/>
    <w:sig w:usb0="00000000" w:usb1="00000000" w:usb2="00000000" w:usb3="00000000" w:csb0="00040000" w:csb1="00000000"/>
    <w:embedRegular r:id="rId4" w:fontKey="{0573C1D8-39C0-4D32-AED2-3E0B25718957}"/>
  </w:font>
  <w:font w:name="方正仿宋_GB2312">
    <w:panose1 w:val="02000000000000000000"/>
    <w:charset w:val="86"/>
    <w:family w:val="auto"/>
    <w:pitch w:val="default"/>
    <w:sig w:usb0="A00002BF" w:usb1="184F6CFA" w:usb2="00000012" w:usb3="00000000" w:csb0="00040001" w:csb1="00000000"/>
    <w:embedRegular r:id="rId5" w:fontKey="{B0891ADD-35AD-40D9-8854-B736F234C613}"/>
  </w:font>
  <w:font w:name="仿宋">
    <w:panose1 w:val="02010609060101010101"/>
    <w:charset w:val="86"/>
    <w:family w:val="auto"/>
    <w:pitch w:val="default"/>
    <w:sig w:usb0="800002BF" w:usb1="38CF7CFA" w:usb2="00000016" w:usb3="00000000" w:csb0="00040001" w:csb1="00000000"/>
    <w:embedRegular r:id="rId6" w:fontKey="{0693DBC2-D379-4DBE-945A-7D11E7955D69}"/>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sz w:val="24"/>
        <w:szCs w:val="24"/>
      </w:rPr>
    </w:pPr>
    <w:r>
      <w:rPr>
        <w:rStyle w:val="6"/>
        <w:rFonts w:hint="eastAsia"/>
        <w:sz w:val="24"/>
        <w:szCs w:val="24"/>
      </w:rPr>
      <w:t xml:space="preserve">— </w:t>
    </w:r>
    <w:r>
      <w:rPr>
        <w:sz w:val="24"/>
        <w:szCs w:val="24"/>
      </w:rPr>
      <w:fldChar w:fldCharType="begin"/>
    </w:r>
    <w:r>
      <w:rPr>
        <w:rStyle w:val="6"/>
        <w:sz w:val="24"/>
        <w:szCs w:val="24"/>
      </w:rPr>
      <w:instrText xml:space="preserve">PAGE  </w:instrText>
    </w:r>
    <w:r>
      <w:rPr>
        <w:sz w:val="24"/>
        <w:szCs w:val="24"/>
      </w:rPr>
      <w:fldChar w:fldCharType="separate"/>
    </w:r>
    <w:r>
      <w:rPr>
        <w:rStyle w:val="6"/>
        <w:sz w:val="24"/>
        <w:szCs w:val="24"/>
      </w:rPr>
      <w:t>1</w:t>
    </w:r>
    <w:r>
      <w:rPr>
        <w:sz w:val="24"/>
        <w:szCs w:val="24"/>
      </w:rPr>
      <w:fldChar w:fldCharType="end"/>
    </w:r>
    <w:r>
      <w:rPr>
        <w:rStyle w:val="6"/>
        <w:rFonts w:hint="eastAsia"/>
        <w:sz w:val="24"/>
        <w:szCs w:val="24"/>
      </w:rPr>
      <w:t xml:space="preserve"> —</w:t>
    </w:r>
  </w:p>
  <w:p>
    <w:pPr>
      <w:pStyle w:val="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rPr>
    </w:pPr>
    <w:r>
      <w:fldChar w:fldCharType="begin"/>
    </w:r>
    <w:r>
      <w:rPr>
        <w:rStyle w:val="6"/>
      </w:rPr>
      <w:instrText xml:space="preserve">PAGE  </w:instrText>
    </w:r>
    <w: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CAC22B"/>
    <w:multiLevelType w:val="singleLevel"/>
    <w:tmpl w:val="38CAC22B"/>
    <w:lvl w:ilvl="0" w:tentative="0">
      <w:start w:val="1"/>
      <w:numFmt w:val="chineseCounting"/>
      <w:suff w:val="nothing"/>
      <w:lvlText w:val="%1、"/>
      <w:lvlJc w:val="left"/>
      <w:pPr>
        <w:ind w:left="-10"/>
      </w:pPr>
      <w:rPr>
        <w:rFonts w:hint="eastAsia"/>
      </w:rPr>
    </w:lvl>
  </w:abstractNum>
  <w:abstractNum w:abstractNumId="1">
    <w:nsid w:val="3E585DA8"/>
    <w:multiLevelType w:val="singleLevel"/>
    <w:tmpl w:val="3E585DA8"/>
    <w:lvl w:ilvl="0" w:tentative="0">
      <w:start w:val="2"/>
      <w:numFmt w:val="chineseCounting"/>
      <w:suff w:val="nothing"/>
      <w:lvlText w:val="（%1）"/>
      <w:lvlJc w:val="left"/>
      <w:rPr>
        <w:rFonts w:hint="eastAsia"/>
      </w:rPr>
    </w:lvl>
  </w:abstractNum>
  <w:abstractNum w:abstractNumId="2">
    <w:nsid w:val="71A3B751"/>
    <w:multiLevelType w:val="singleLevel"/>
    <w:tmpl w:val="71A3B751"/>
    <w:lvl w:ilvl="0" w:tentative="0">
      <w:start w:val="7"/>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YwNjdkMDk1NWY5NDI2ZTVlNDUwZGFkNjEwNjgwYWIifQ=="/>
  </w:docVars>
  <w:rsids>
    <w:rsidRoot w:val="00000000"/>
    <w:rsid w:val="07977072"/>
    <w:rsid w:val="2DC00A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toa heading"/>
    <w:basedOn w:val="1"/>
    <w:next w:val="1"/>
    <w:qFormat/>
    <w:uiPriority w:val="99"/>
    <w:pPr>
      <w:spacing w:before="120" w:after="200" w:line="276" w:lineRule="auto"/>
    </w:pPr>
    <w:rPr>
      <w:rFonts w:ascii="Arial" w:hAnsi="Arial"/>
      <w:sz w:val="24"/>
    </w:rPr>
  </w:style>
  <w:style w:type="paragraph" w:styleId="3">
    <w:name w:val="footer"/>
    <w:basedOn w:val="1"/>
    <w:uiPriority w:val="0"/>
    <w:pPr>
      <w:tabs>
        <w:tab w:val="center" w:pos="4153"/>
        <w:tab w:val="right" w:pos="8306"/>
      </w:tabs>
      <w:snapToGrid w:val="0"/>
      <w:jc w:val="left"/>
    </w:pPr>
    <w:rPr>
      <w:kern w:val="0"/>
      <w:sz w:val="18"/>
      <w:szCs w:val="18"/>
    </w:rPr>
  </w:style>
  <w:style w:type="character" w:styleId="6">
    <w:name w:val="page number"/>
    <w:uiPriority w:val="0"/>
  </w:style>
  <w:style w:type="paragraph" w:styleId="7">
    <w:name w:val="List Paragraph"/>
    <w:basedOn w:val="1"/>
    <w:qFormat/>
    <w:uiPriority w:val="99"/>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5022</Words>
  <Characters>5618</Characters>
  <Lines>0</Lines>
  <Paragraphs>0</Paragraphs>
  <TotalTime>2</TotalTime>
  <ScaleCrop>false</ScaleCrop>
  <LinksUpToDate>false</LinksUpToDate>
  <CharactersWithSpaces>6053</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2026-07-13T01:08:00Z</dcterms:created>
  <dc:creator>LENOVO</dc:creator>
  <cp:lastModifiedBy>戴岑</cp:lastModifiedBy>
  <cp:lastPrinted>2026-07-13T03:34:17Z</cp:lastPrinted>
  <dcterms:modified xsi:type="dcterms:W3CDTF">2026-07-13T03:35:32Z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807E776210C2403CA88D335E69C9F7F9_13</vt:lpwstr>
  </property>
</Properties>
</file>