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sz w:val="56"/>
          <w:szCs w:val="56"/>
        </w:rPr>
      </w:pPr>
    </w:p>
    <w:p>
      <w:pPr>
        <w:pStyle w:val="13"/>
        <w:jc w:val="center"/>
        <w:rPr>
          <w:sz w:val="56"/>
          <w:szCs w:val="56"/>
        </w:rPr>
      </w:pPr>
    </w:p>
    <w:p>
      <w:pPr>
        <w:pStyle w:val="13"/>
        <w:jc w:val="center"/>
        <w:rPr>
          <w:sz w:val="84"/>
          <w:szCs w:val="84"/>
        </w:rPr>
      </w:pPr>
    </w:p>
    <w:p>
      <w:pPr>
        <w:pStyle w:val="13"/>
        <w:jc w:val="center"/>
        <w:rPr>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岳阳市科学技术局</w:t>
      </w:r>
      <w:r>
        <w:rPr>
          <w:rFonts w:hint="eastAsia" w:ascii="方正小标宋_GBK" w:hAnsi="方正小标宋_GBK" w:eastAsia="方正小标宋_GBK" w:cs="方正小标宋_GBK"/>
          <w:sz w:val="84"/>
          <w:szCs w:val="84"/>
        </w:rPr>
        <w:t>部门决算</w:t>
      </w:r>
    </w:p>
    <w:p>
      <w:pPr>
        <w:pStyle w:val="13"/>
        <w:jc w:val="center"/>
        <w:rPr>
          <w:rFonts w:hint="eastAsia" w:ascii="方正小标宋_GBK" w:hAnsi="方正小标宋_GBK" w:eastAsia="方正小标宋_GBK" w:cs="方正小标宋_GBK"/>
          <w:sz w:val="56"/>
          <w:szCs w:val="56"/>
        </w:rPr>
      </w:pP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spacing w:line="540" w:lineRule="exact"/>
        <w:jc w:val="center"/>
        <w:rPr>
          <w:sz w:val="56"/>
          <w:szCs w:val="56"/>
        </w:rPr>
      </w:pPr>
    </w:p>
    <w:p>
      <w:pPr>
        <w:pStyle w:val="13"/>
        <w:spacing w:line="500" w:lineRule="exact"/>
        <w:jc w:val="both"/>
        <w:rPr>
          <w:b/>
          <w:sz w:val="36"/>
          <w:szCs w:val="28"/>
        </w:rPr>
      </w:pPr>
    </w:p>
    <w:p>
      <w:pPr>
        <w:pStyle w:val="13"/>
        <w:spacing w:line="500" w:lineRule="exact"/>
        <w:jc w:val="center"/>
        <w:rPr>
          <w:b/>
          <w:sz w:val="36"/>
          <w:szCs w:val="28"/>
        </w:rPr>
      </w:pPr>
      <w:r>
        <w:rPr>
          <w:rFonts w:hint="eastAsia"/>
          <w:b/>
          <w:sz w:val="36"/>
          <w:szCs w:val="28"/>
        </w:rPr>
        <w:t>目录</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岳阳市科学技术局</w:t>
      </w:r>
      <w:r>
        <w:rPr>
          <w:rFonts w:hint="eastAsia" w:ascii="黑体" w:hAnsi="黑体" w:eastAsia="黑体" w:cs="黑体"/>
          <w:b w:val="0"/>
          <w:bCs/>
          <w:sz w:val="28"/>
          <w:szCs w:val="28"/>
        </w:rPr>
        <w:t>概况</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3"/>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pPr>
        <w:pStyle w:val="13"/>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3"/>
        <w:jc w:val="center"/>
        <w:rPr>
          <w:rFonts w:hint="eastAsia" w:ascii="方正小标宋_GBK" w:hAnsi="方正小标宋_GBK" w:eastAsia="方正小标宋_GBK" w:cs="方正小标宋_GBK"/>
          <w:sz w:val="84"/>
          <w:szCs w:val="84"/>
        </w:rPr>
      </w:pPr>
    </w:p>
    <w:p>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岳阳市科学技术局</w:t>
      </w:r>
      <w:r>
        <w:rPr>
          <w:rFonts w:hint="eastAsia" w:ascii="方正小标宋_GBK" w:hAnsi="方正小标宋_GBK" w:eastAsia="方正小标宋_GBK" w:cs="方正小标宋_GBK"/>
          <w:sz w:val="84"/>
          <w:szCs w:val="84"/>
        </w:rPr>
        <w:t>概况</w:t>
      </w:r>
    </w:p>
    <w:p>
      <w:pPr>
        <w:pStyle w:val="2"/>
        <w:rPr>
          <w:rFonts w:hint="eastAsia" w:ascii="方正小标宋_GBK" w:hAnsi="方正小标宋_GBK" w:eastAsia="方正小标宋_GBK" w:cs="方正小标宋_GBK"/>
          <w:sz w:val="84"/>
          <w:szCs w:val="84"/>
        </w:rPr>
      </w:pPr>
    </w:p>
    <w:p>
      <w:pPr>
        <w:pStyle w:val="3"/>
        <w:rPr>
          <w:rFonts w:hint="eastAsia" w:ascii="方正小标宋_GBK" w:hAnsi="方正小标宋_GBK" w:eastAsia="方正小标宋_GBK" w:cs="方正小标宋_GBK"/>
          <w:sz w:val="84"/>
          <w:szCs w:val="84"/>
        </w:rPr>
      </w:pPr>
    </w:p>
    <w:p>
      <w:pPr>
        <w:rPr>
          <w:rFonts w:hint="eastAsia" w:ascii="方正小标宋_GBK" w:hAnsi="方正小标宋_GBK" w:eastAsia="方正小标宋_GBK" w:cs="方正小标宋_GBK"/>
          <w:sz w:val="84"/>
          <w:szCs w:val="84"/>
        </w:rPr>
      </w:pPr>
    </w:p>
    <w:p>
      <w:pPr>
        <w:pStyle w:val="2"/>
        <w:rPr>
          <w:rFonts w:hint="eastAsia" w:ascii="方正小标宋_GBK" w:hAnsi="方正小标宋_GBK" w:eastAsia="方正小标宋_GBK" w:cs="方正小标宋_GBK"/>
          <w:sz w:val="84"/>
          <w:szCs w:val="84"/>
        </w:rPr>
      </w:pPr>
    </w:p>
    <w:p>
      <w:pPr>
        <w:pStyle w:val="3"/>
        <w:rPr>
          <w:rFonts w:hint="eastAsia" w:ascii="方正小标宋_GBK" w:hAnsi="方正小标宋_GBK" w:eastAsia="方正小标宋_GBK" w:cs="方正小标宋_GBK"/>
          <w:sz w:val="84"/>
          <w:szCs w:val="84"/>
        </w:rPr>
      </w:pPr>
    </w:p>
    <w:p>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(一)贯彻创新驱动发展战略和创新引领开放崛起战略，拟订全市科技发展、引进国外及国内智力规划和政策并组织实施。</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统筹推进全市创新体系建设和科技体制改革，会同有关部门健全技术创新激励机制。优化科研体系建设，指导科研机构改革发展，推动企业科技创新能力建设，承担推进科技军民融合发展相关工作，推进全市重大科技决策咨询制度建设。拟订科学普及和科学传播规划、政策。统筹推进创新型县市区建设。</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牵头建立统一的市级科技管理平台和科研项目资金协调、评估、监管机制。会同有关部门提出优化配置科技资源的政策措施建议，推动多元化科技投入体系建设，协调管理市级财政科技计划(专项、基金等)并监督实施。</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拟订全市基础研究规划、政策和标准并组织实施，组织协调市级重大基础研究和应用基础研究。拟订重大科技创新基地建设规划并监督实施，参与编制重大科技基础设施建设规划和监督实施，牵头组织市重点实验室等重大科技创新基地建设，推动科研条件保障建设和科技资源开放共享。</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(五)编制市级重大科技项目计划并监督实施，统筹关键共性技术、前沿引领技术、现代工程技术、颠覆性技术研发和创新，牵头组织重大技术攻关和成果应用示范。</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(六)组织拟订高新技术发展及产业化、科技促进农业农村和社会发展的规划、政策和措施。组织开展重点领域技术发展需求分析，提出重大任务并监督实施。</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(七)牵头市级技术转移体系建设，拟订科技成果转移转化和促进产学硏结合的相关政策措施并监督实施。指导科技服务业、技术市场、科技金融结合和科技中介组织发展。</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(八)统筹区域科技创新体系建设，指导区域创新发展、科技资源合理布局和协同创新能力建设，推动科技园区建设。</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(九)负责科技监督评价体系建设和相关科技评信管理，指导科技评价机制改革，统筹科研诚信建设。组织实施全市创新调查和科技报告制度，指导全市科技保密工作。</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(十)拟订科技对外交往与创新能力开放合作的规划、政策和措施，组织开展国际和区域科技合作与科技人才交流。指导相关部门和地方对外科技合作与科技人才交流工作。</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一)负责引进国外和国内智力工作。拟订全市重点引进外国专家总体规划、计划并组织实施，建立国外和国内顶尖科学家、团队吸引集聚机制和重点国内外专家联系服务机制。拟订出国(境)培训总体规划、政策和年度计划并监督实施。</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(十二)会同有关部门拟订科技人才队伍建设规划和政策，建立健全科技人才评价和激励机制，组织实施科技人才计划，推动高端科技创新人才队伍建设。</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(十三)负责省科学技术奖等的申报组织工作。</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四)负责管理岳阳市自然科学基金委员会(以下简称市自然科学基金委)，依法对市自然科学基金工作进行宏观管理、统筹协调和监督评估。市自然科学基金委依法管理市自然科学基金，相对独立运行，负责资助计划、项目设置和评审、立项、监督等组织实施工作。</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(十五)完成市委、市政府交办的其他任务。</w:t>
      </w:r>
    </w:p>
    <w:p>
      <w:pPr>
        <w:pStyle w:val="14"/>
        <w:numPr>
          <w:ilvl w:val="0"/>
          <w:numId w:val="0"/>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六)职能转变。围绕贯彻实施科教兴国战略、人才强国战略、创新驱动发展战略和创新引领开放崛起战略，加强、优化、转变政府科技管理和服务职能，完善科技创新制度和组织体系，加强宏观管理、统筹协调和科研诚信建设。从研发管理向创新服务转变，深入推进科技计划管理改革，建立公开统一的市级科技管理平台，减少科技计划项目配置中的重复、分散、封闭、低效现象。进一步改进科技人才评价机制，建立健全以创新能力、质量、贡献、绩效为导向的科技人才评价体系和激励政策，统筹市内科技人才队伍建设和引进国外智力工作。</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岳阳市科学技术局</w:t>
      </w:r>
      <w:r>
        <w:rPr>
          <w:rFonts w:hint="eastAsia" w:ascii="Times New Roman" w:hAnsi="Times New Roman" w:eastAsia="仿宋_GB2312" w:cs="仿宋_GB2312"/>
          <w:bCs/>
          <w:kern w:val="0"/>
          <w:sz w:val="32"/>
          <w:szCs w:val="32"/>
        </w:rPr>
        <w:t>内设机构包括：办公室、政策法规科、战略规划与资源配置科、基础研究科、高新技术发展及产业化科、农村科技科、社会发展科技科、成果转化与区域创新科、人事科(人才工作办公室) 、机关党委、机关纪委。</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下设直属单位1个，市科技事务中心。</w:t>
      </w:r>
    </w:p>
    <w:p>
      <w:pPr>
        <w:widowControl/>
        <w:spacing w:line="600" w:lineRule="exact"/>
        <w:ind w:firstLine="630" w:firstLineChars="300"/>
        <w:rPr>
          <w:rFonts w:hint="eastAsia"/>
        </w:rPr>
      </w:pPr>
    </w:p>
    <w:p>
      <w:pPr>
        <w:widowControl/>
        <w:numPr>
          <w:ilvl w:val="0"/>
          <w:numId w:val="2"/>
        </w:numPr>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widowControl/>
        <w:numPr>
          <w:ilvl w:val="0"/>
          <w:numId w:val="0"/>
        </w:numPr>
        <w:spacing w:line="600" w:lineRule="exact"/>
        <w:ind w:firstLine="640" w:firstLineChars="200"/>
      </w:pPr>
      <w:r>
        <w:rPr>
          <w:rFonts w:hint="eastAsia" w:ascii="Times New Roman" w:hAnsi="Times New Roman" w:eastAsia="仿宋_GB2312" w:cs="仿宋_GB2312"/>
          <w:bCs/>
          <w:kern w:val="0"/>
          <w:sz w:val="32"/>
          <w:szCs w:val="32"/>
          <w:lang w:eastAsia="zh-CN"/>
        </w:rPr>
        <w:t>本单位无独立核算的下属单位，</w:t>
      </w:r>
      <w:r>
        <w:rPr>
          <w:rFonts w:hint="eastAsia" w:ascii="Times New Roman" w:hAnsi="Times New Roman" w:eastAsia="仿宋_GB2312" w:cs="仿宋_GB2312"/>
          <w:bCs/>
          <w:kern w:val="0"/>
          <w:sz w:val="32"/>
          <w:szCs w:val="32"/>
          <w:lang w:val="en-US" w:eastAsia="zh-CN"/>
        </w:rPr>
        <w:t>2025年度部门决算汇总公开单位仅包括岳阳市科学技术局本级。</w:t>
      </w:r>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13"/>
        <w:jc w:val="both"/>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pStyle w:val="13"/>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pPr>
        <w:pStyle w:val="13"/>
        <w:jc w:val="center"/>
        <w:rPr>
          <w:rFonts w:hint="eastAsia" w:ascii="仿宋_GB2312" w:hAnsi="仿宋_GB2312" w:eastAsia="仿宋_GB2312" w:cs="仿宋_GB2312"/>
          <w:b w:val="0"/>
          <w:bCs w:val="0"/>
          <w:sz w:val="72"/>
          <w:szCs w:val="72"/>
          <w:lang w:eastAsia="zh-CN"/>
        </w:rPr>
      </w:pPr>
    </w:p>
    <w:p>
      <w:pPr>
        <w:pStyle w:val="13"/>
        <w:jc w:val="center"/>
        <w:rPr>
          <w:rFonts w:hint="eastAsia" w:ascii="仿宋_GB2312" w:hAnsi="仿宋_GB2312" w:eastAsia="仿宋_GB2312" w:cs="仿宋_GB2312"/>
          <w:b w:val="0"/>
          <w:bCs w:val="0"/>
          <w:sz w:val="72"/>
          <w:szCs w:val="72"/>
          <w:lang w:eastAsia="zh-CN"/>
        </w:rPr>
      </w:pPr>
    </w:p>
    <w:p>
      <w:pPr>
        <w:pStyle w:val="13"/>
        <w:jc w:val="center"/>
        <w:rPr>
          <w:rFonts w:hint="eastAsia" w:ascii="仿宋_GB2312" w:hAnsi="仿宋_GB2312" w:eastAsia="仿宋_GB2312" w:cs="仿宋_GB2312"/>
          <w:b w:val="0"/>
          <w:bCs w:val="0"/>
          <w:sz w:val="72"/>
          <w:szCs w:val="72"/>
          <w:lang w:eastAsia="zh-CN"/>
        </w:rPr>
      </w:pPr>
    </w:p>
    <w:p>
      <w:pPr>
        <w:pStyle w:val="13"/>
        <w:jc w:val="center"/>
        <w:rPr>
          <w:rFonts w:hint="eastAsia" w:ascii="仿宋_GB2312" w:hAnsi="仿宋_GB2312" w:eastAsia="仿宋_GB2312" w:cs="仿宋_GB2312"/>
          <w:b w:val="0"/>
          <w:bCs w:val="0"/>
          <w:sz w:val="72"/>
          <w:szCs w:val="72"/>
          <w:lang w:eastAsia="zh-CN"/>
        </w:rPr>
      </w:pPr>
    </w:p>
    <w:p>
      <w:pPr>
        <w:pStyle w:val="13"/>
        <w:jc w:val="center"/>
        <w:rPr>
          <w:rFonts w:hint="eastAsia" w:ascii="仿宋_GB2312" w:hAnsi="仿宋_GB2312" w:eastAsia="仿宋_GB2312" w:cs="仿宋_GB2312"/>
          <w:b w:val="0"/>
          <w:bCs w:val="0"/>
          <w:sz w:val="72"/>
          <w:szCs w:val="72"/>
          <w:lang w:eastAsia="zh-CN"/>
        </w:rPr>
      </w:pPr>
    </w:p>
    <w:p>
      <w:pPr>
        <w:pStyle w:val="13"/>
        <w:jc w:val="center"/>
        <w:rPr>
          <w:rFonts w:hint="eastAsia" w:ascii="仿宋_GB2312" w:hAnsi="仿宋_GB2312" w:eastAsia="仿宋_GB2312" w:cs="仿宋_GB2312"/>
          <w:b w:val="0"/>
          <w:bCs w:val="0"/>
          <w:sz w:val="72"/>
          <w:szCs w:val="72"/>
          <w:lang w:eastAsia="zh-CN"/>
        </w:rPr>
      </w:pPr>
    </w:p>
    <w:p>
      <w:pPr>
        <w:pStyle w:val="13"/>
        <w:jc w:val="center"/>
        <w:rPr>
          <w:rFonts w:hint="eastAsia" w:ascii="仿宋_GB2312" w:hAnsi="仿宋_GB2312" w:eastAsia="仿宋_GB2312" w:cs="仿宋_GB2312"/>
          <w:b w:val="0"/>
          <w:bCs w:val="0"/>
          <w:sz w:val="72"/>
          <w:szCs w:val="72"/>
          <w:lang w:eastAsia="zh-CN"/>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p>
    <w:p>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度收、支总计1786.21万元。与上年相比，增加</w:t>
      </w:r>
      <w:r>
        <w:rPr>
          <w:rFonts w:hint="eastAsia" w:ascii="仿宋_GB2312" w:hAnsi="仿宋_GB2312" w:eastAsia="仿宋_GB2312" w:cs="仿宋_GB2312"/>
          <w:sz w:val="32"/>
          <w:szCs w:val="32"/>
          <w:lang w:val="en-US" w:eastAsia="zh-CN"/>
        </w:rPr>
        <w:t>61.15</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3.54</w:t>
      </w:r>
      <w:r>
        <w:rPr>
          <w:rFonts w:hint="eastAsia" w:ascii="仿宋_GB2312" w:hAnsi="仿宋_GB2312" w:eastAsia="仿宋_GB2312" w:cs="仿宋_GB2312"/>
          <w:sz w:val="32"/>
          <w:szCs w:val="32"/>
        </w:rPr>
        <w:t>%，主要是因为新调入公务员及四海揽才人员增加，人员经费增加</w:t>
      </w:r>
      <w:r>
        <w:rPr>
          <w:rFonts w:hint="eastAsia" w:ascii="仿宋_GB2312" w:hAnsi="仿宋_GB2312" w:eastAsia="仿宋_GB2312" w:cs="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度收入合计1786.21万元，其中：财政拨款收入1780.93万元，占</w:t>
      </w:r>
      <w:r>
        <w:rPr>
          <w:rFonts w:hint="eastAsia" w:ascii="仿宋_GB2312" w:hAnsi="仿宋_GB2312" w:eastAsia="仿宋_GB2312" w:cs="仿宋_GB2312"/>
          <w:sz w:val="32"/>
          <w:szCs w:val="32"/>
          <w:lang w:val="en-US" w:eastAsia="zh-CN"/>
        </w:rPr>
        <w:t>99.70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%；其他收入5.28万元，占</w:t>
      </w:r>
      <w:r>
        <w:rPr>
          <w:rFonts w:hint="eastAsia" w:ascii="仿宋_GB2312" w:hAnsi="仿宋_GB2312" w:eastAsia="仿宋_GB2312" w:cs="仿宋_GB2312"/>
          <w:sz w:val="32"/>
          <w:szCs w:val="32"/>
          <w:lang w:val="en-US" w:eastAsia="zh-CN"/>
        </w:rPr>
        <w:t>0.30</w:t>
      </w:r>
      <w:r>
        <w:rPr>
          <w:rFonts w:hint="eastAsia" w:ascii="仿宋_GB2312" w:hAnsi="仿宋_GB2312" w:eastAsia="仿宋_GB2312" w:cs="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度支出合计1786.21万元，其中：基本支出</w:t>
      </w:r>
      <w:r>
        <w:rPr>
          <w:rFonts w:hint="eastAsia" w:ascii="仿宋_GB2312" w:hAnsi="仿宋_GB2312" w:eastAsia="仿宋_GB2312" w:cs="仿宋_GB2312"/>
          <w:sz w:val="32"/>
          <w:szCs w:val="32"/>
          <w:lang w:val="en-US" w:eastAsia="zh-CN"/>
        </w:rPr>
        <w:t>1200.54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67.21</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585.68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32.79</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3"/>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度财政拨款收、支总计1780.93万元，与上年相比，增加</w:t>
      </w:r>
      <w:r>
        <w:rPr>
          <w:rFonts w:hint="default" w:ascii="仿宋_GB2312" w:hAnsi="仿宋_GB2312" w:eastAsia="仿宋_GB2312" w:cs="仿宋_GB2312"/>
          <w:sz w:val="32"/>
          <w:szCs w:val="32"/>
          <w:lang w:val="en"/>
        </w:rPr>
        <w:t>80.58</w:t>
      </w:r>
      <w:r>
        <w:rPr>
          <w:rFonts w:hint="eastAsia" w:ascii="仿宋_GB2312" w:hAnsi="仿宋_GB2312" w:eastAsia="仿宋_GB2312" w:cs="仿宋_GB2312"/>
          <w:sz w:val="32"/>
          <w:szCs w:val="32"/>
        </w:rPr>
        <w:t>万元,增长</w:t>
      </w:r>
      <w:r>
        <w:rPr>
          <w:rFonts w:hint="default" w:ascii="仿宋_GB2312" w:hAnsi="仿宋_GB2312" w:eastAsia="仿宋_GB2312" w:cs="仿宋_GB2312"/>
          <w:sz w:val="32"/>
          <w:szCs w:val="32"/>
          <w:lang w:val="en"/>
        </w:rPr>
        <w:t>4.74</w:t>
      </w:r>
      <w:r>
        <w:rPr>
          <w:rFonts w:hint="eastAsia" w:ascii="仿宋_GB2312" w:hAnsi="仿宋_GB2312" w:eastAsia="仿宋_GB2312" w:cs="仿宋_GB2312"/>
          <w:sz w:val="32"/>
          <w:szCs w:val="32"/>
        </w:rPr>
        <w:t>%，主要是因为新调入公务员及四海揽才人员增加，人员经费增加</w:t>
      </w:r>
      <w:r>
        <w:rPr>
          <w:rFonts w:hint="eastAsia" w:ascii="仿宋_GB2312" w:hAnsi="仿宋_GB2312" w:eastAsia="仿宋_GB2312" w:cs="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pPr>
        <w:pStyle w:val="13"/>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度财政拨款支出1780.93万元，占本年支出合计的</w:t>
      </w:r>
      <w:r>
        <w:rPr>
          <w:rFonts w:hint="default" w:ascii="仿宋_GB2312" w:hAnsi="仿宋_GB2312" w:eastAsia="仿宋_GB2312" w:cs="仿宋_GB2312"/>
          <w:sz w:val="32"/>
          <w:szCs w:val="32"/>
          <w:lang w:val="en"/>
        </w:rPr>
        <w:t>99.70</w:t>
      </w:r>
      <w:r>
        <w:rPr>
          <w:rFonts w:hint="eastAsia" w:ascii="仿宋_GB2312" w:hAnsi="仿宋_GB2312" w:eastAsia="仿宋_GB2312" w:cs="仿宋_GB2312"/>
          <w:sz w:val="32"/>
          <w:szCs w:val="32"/>
        </w:rPr>
        <w:t>%，与上年相比，财政拨款支出增加</w:t>
      </w:r>
      <w:r>
        <w:rPr>
          <w:rFonts w:hint="default" w:ascii="仿宋_GB2312" w:hAnsi="仿宋_GB2312" w:eastAsia="仿宋_GB2312" w:cs="仿宋_GB2312"/>
          <w:sz w:val="32"/>
          <w:szCs w:val="32"/>
          <w:lang w:val="en"/>
        </w:rPr>
        <w:t>80.58</w:t>
      </w:r>
      <w:r>
        <w:rPr>
          <w:rFonts w:hint="eastAsia" w:ascii="仿宋_GB2312" w:hAnsi="仿宋_GB2312" w:eastAsia="仿宋_GB2312" w:cs="仿宋_GB2312"/>
          <w:sz w:val="32"/>
          <w:szCs w:val="32"/>
        </w:rPr>
        <w:t>万元，增长</w:t>
      </w:r>
      <w:r>
        <w:rPr>
          <w:rFonts w:hint="default" w:ascii="仿宋_GB2312" w:hAnsi="仿宋_GB2312" w:eastAsia="仿宋_GB2312" w:cs="仿宋_GB2312"/>
          <w:sz w:val="32"/>
          <w:szCs w:val="32"/>
          <w:lang w:val="en"/>
        </w:rPr>
        <w:t>4.74</w:t>
      </w:r>
      <w:r>
        <w:rPr>
          <w:rFonts w:hint="eastAsia" w:ascii="仿宋_GB2312" w:hAnsi="仿宋_GB2312" w:eastAsia="仿宋_GB2312" w:cs="仿宋_GB2312"/>
          <w:sz w:val="32"/>
          <w:szCs w:val="32"/>
        </w:rPr>
        <w:t>%，主要是因为新调入公务员及四海揽才人员增加，人员经费增加</w:t>
      </w:r>
      <w:r>
        <w:rPr>
          <w:rFonts w:hint="eastAsia" w:ascii="仿宋_GB2312" w:hAnsi="仿宋_GB2312" w:eastAsia="仿宋_GB2312" w:cs="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default" w:ascii="仿宋_GB2312" w:hAnsi="仿宋_GB2312" w:eastAsia="仿宋_GB2312" w:cs="仿宋_GB2312"/>
          <w:sz w:val="32"/>
          <w:szCs w:val="32"/>
          <w:lang w:val="en"/>
        </w:rPr>
        <w:t>1780.93</w:t>
      </w:r>
      <w:r>
        <w:rPr>
          <w:rFonts w:hint="eastAsia" w:ascii="仿宋_GB2312" w:hAnsi="仿宋_GB2312" w:eastAsia="仿宋_GB2312" w:cs="仿宋_GB2312"/>
          <w:sz w:val="32"/>
          <w:szCs w:val="32"/>
        </w:rPr>
        <w:t>万元，主要用于以下方面：科学技术（类）支出</w:t>
      </w:r>
      <w:r>
        <w:rPr>
          <w:rFonts w:hint="default" w:ascii="仿宋_GB2312" w:hAnsi="仿宋_GB2312" w:eastAsia="仿宋_GB2312" w:cs="仿宋_GB2312"/>
          <w:sz w:val="32"/>
          <w:szCs w:val="32"/>
          <w:lang w:val="en"/>
        </w:rPr>
        <w:t>1540.88</w:t>
      </w:r>
      <w:r>
        <w:rPr>
          <w:rFonts w:hint="eastAsia" w:ascii="仿宋_GB2312" w:hAnsi="仿宋_GB2312" w:eastAsia="仿宋_GB2312" w:cs="仿宋_GB2312"/>
          <w:sz w:val="32"/>
          <w:szCs w:val="32"/>
        </w:rPr>
        <w:t>万元，占</w:t>
      </w:r>
      <w:r>
        <w:rPr>
          <w:rFonts w:hint="default" w:ascii="仿宋_GB2312" w:hAnsi="仿宋_GB2312" w:eastAsia="仿宋_GB2312" w:cs="仿宋_GB2312"/>
          <w:sz w:val="32"/>
          <w:szCs w:val="32"/>
          <w:lang w:val="en"/>
        </w:rPr>
        <w:t>86.53</w:t>
      </w:r>
      <w:r>
        <w:rPr>
          <w:rFonts w:hint="eastAsia" w:ascii="仿宋_GB2312" w:hAnsi="仿宋_GB2312" w:eastAsia="仿宋_GB2312" w:cs="仿宋_GB2312"/>
          <w:sz w:val="32"/>
          <w:szCs w:val="32"/>
        </w:rPr>
        <w:t>%;社会保障和就业（类）支出</w:t>
      </w:r>
      <w:r>
        <w:rPr>
          <w:rFonts w:hint="default" w:ascii="仿宋_GB2312" w:hAnsi="仿宋_GB2312" w:eastAsia="仿宋_GB2312" w:cs="仿宋_GB2312"/>
          <w:sz w:val="32"/>
          <w:szCs w:val="32"/>
          <w:lang w:val="en"/>
        </w:rPr>
        <w:t>193.33</w:t>
      </w:r>
      <w:r>
        <w:rPr>
          <w:rFonts w:hint="eastAsia" w:ascii="仿宋_GB2312" w:hAnsi="仿宋_GB2312" w:eastAsia="仿宋_GB2312" w:cs="仿宋_GB2312"/>
          <w:sz w:val="32"/>
          <w:szCs w:val="32"/>
        </w:rPr>
        <w:t>万元，占</w:t>
      </w:r>
      <w:r>
        <w:rPr>
          <w:rFonts w:hint="default" w:ascii="仿宋_GB2312" w:hAnsi="仿宋_GB2312" w:eastAsia="仿宋_GB2312" w:cs="仿宋_GB2312"/>
          <w:sz w:val="32"/>
          <w:szCs w:val="32"/>
          <w:lang w:val="en"/>
        </w:rPr>
        <w:t>10.85</w:t>
      </w:r>
      <w:r>
        <w:rPr>
          <w:rFonts w:hint="eastAsia" w:ascii="仿宋_GB2312" w:hAnsi="仿宋_GB2312" w:eastAsia="仿宋_GB2312" w:cs="仿宋_GB2312"/>
          <w:sz w:val="32"/>
          <w:szCs w:val="32"/>
        </w:rPr>
        <w:t>%；住房保障（类）支出</w:t>
      </w:r>
      <w:r>
        <w:rPr>
          <w:rFonts w:hint="default" w:ascii="仿宋_GB2312" w:hAnsi="仿宋_GB2312" w:eastAsia="仿宋_GB2312" w:cs="仿宋_GB2312"/>
          <w:sz w:val="32"/>
          <w:szCs w:val="32"/>
          <w:lang w:val="en"/>
        </w:rPr>
        <w:t>46.73</w:t>
      </w:r>
      <w:r>
        <w:rPr>
          <w:rFonts w:hint="eastAsia" w:ascii="仿宋_GB2312" w:hAnsi="仿宋_GB2312" w:eastAsia="仿宋_GB2312" w:cs="仿宋_GB2312"/>
          <w:sz w:val="32"/>
          <w:szCs w:val="32"/>
        </w:rPr>
        <w:t>万元，占</w:t>
      </w:r>
      <w:r>
        <w:rPr>
          <w:rFonts w:hint="default" w:ascii="仿宋_GB2312" w:hAnsi="仿宋_GB2312" w:eastAsia="仿宋_GB2312" w:cs="仿宋_GB2312"/>
          <w:sz w:val="32"/>
          <w:szCs w:val="32"/>
          <w:lang w:val="en"/>
        </w:rPr>
        <w:t>2.62</w:t>
      </w:r>
      <w:r>
        <w:rPr>
          <w:rFonts w:hint="eastAsia" w:ascii="仿宋_GB2312" w:hAnsi="仿宋_GB2312" w:eastAsia="仿宋_GB2312" w:cs="仿宋_GB2312"/>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default" w:ascii="仿宋_GB2312" w:hAnsi="仿宋_GB2312" w:eastAsia="仿宋_GB2312" w:cs="仿宋_GB2312"/>
          <w:sz w:val="32"/>
          <w:szCs w:val="32"/>
          <w:lang w:val="en"/>
        </w:rPr>
        <w:t>1025.73</w:t>
      </w:r>
      <w:r>
        <w:rPr>
          <w:rFonts w:hint="eastAsia" w:ascii="仿宋_GB2312" w:hAnsi="仿宋_GB2312" w:eastAsia="仿宋_GB2312" w:cs="仿宋_GB2312"/>
          <w:sz w:val="32"/>
          <w:szCs w:val="32"/>
        </w:rPr>
        <w:t>万元，支出决算数为</w:t>
      </w:r>
      <w:r>
        <w:rPr>
          <w:rFonts w:hint="default" w:ascii="仿宋_GB2312" w:hAnsi="仿宋_GB2312" w:eastAsia="仿宋_GB2312" w:cs="仿宋_GB2312"/>
          <w:sz w:val="32"/>
          <w:szCs w:val="32"/>
          <w:lang w:val="en"/>
        </w:rPr>
        <w:t>1780.93</w:t>
      </w:r>
      <w:r>
        <w:rPr>
          <w:rFonts w:hint="eastAsia" w:ascii="仿宋_GB2312" w:hAnsi="仿宋_GB2312" w:eastAsia="仿宋_GB2312" w:cs="仿宋_GB2312"/>
          <w:sz w:val="32"/>
          <w:szCs w:val="32"/>
        </w:rPr>
        <w:t>万元，完成年初预算的</w:t>
      </w:r>
      <w:r>
        <w:rPr>
          <w:rFonts w:hint="default" w:ascii="仿宋_GB2312" w:hAnsi="仿宋_GB2312" w:eastAsia="仿宋_GB2312" w:cs="仿宋_GB2312"/>
          <w:sz w:val="32"/>
          <w:szCs w:val="32"/>
          <w:lang w:val="en"/>
        </w:rPr>
        <w:t>173.63</w:t>
      </w:r>
      <w:r>
        <w:rPr>
          <w:rFonts w:hint="eastAsia" w:ascii="仿宋_GB2312" w:hAnsi="仿宋_GB2312" w:eastAsia="仿宋_GB2312" w:cs="仿宋_GB2312"/>
          <w:sz w:val="32"/>
          <w:szCs w:val="32"/>
        </w:rPr>
        <w:t>%，其中：</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1、科学技术（类）科学技术管理事务（款）行政运行（项）。</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default" w:ascii="仿宋_GB2312" w:hAnsi="仿宋_GB2312" w:eastAsia="仿宋_GB2312" w:cs="仿宋_GB2312"/>
          <w:sz w:val="32"/>
          <w:szCs w:val="32"/>
          <w:lang w:val="en"/>
        </w:rPr>
        <w:t>901.91</w:t>
      </w:r>
      <w:r>
        <w:rPr>
          <w:rFonts w:hint="eastAsia" w:ascii="仿宋_GB2312" w:hAnsi="仿宋_GB2312" w:eastAsia="仿宋_GB2312" w:cs="仿宋_GB2312"/>
          <w:sz w:val="32"/>
          <w:szCs w:val="32"/>
        </w:rPr>
        <w:t>万元，支出决算为</w:t>
      </w:r>
      <w:r>
        <w:rPr>
          <w:rFonts w:hint="default" w:ascii="仿宋_GB2312" w:hAnsi="仿宋_GB2312" w:eastAsia="仿宋_GB2312" w:cs="仿宋_GB2312"/>
          <w:sz w:val="32"/>
          <w:szCs w:val="32"/>
          <w:lang w:val="en"/>
        </w:rPr>
        <w:t>960.48</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106.49</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于年初预算数的主要原因是：新调入公务员及四海揽才人员增加，人员经费</w:t>
      </w:r>
      <w:r>
        <w:rPr>
          <w:rFonts w:hint="eastAsia" w:ascii="仿宋_GB2312" w:hAnsi="仿宋_GB2312" w:eastAsia="仿宋_GB2312" w:cs="仿宋_GB2312"/>
          <w:sz w:val="32"/>
          <w:szCs w:val="32"/>
          <w:lang w:eastAsia="zh-CN"/>
        </w:rPr>
        <w:t>和部门运转经费</w:t>
      </w:r>
      <w:r>
        <w:rPr>
          <w:rFonts w:hint="eastAsia" w:ascii="仿宋_GB2312" w:hAnsi="仿宋_GB2312" w:eastAsia="仿宋_GB2312" w:cs="仿宋_GB2312"/>
          <w:sz w:val="32"/>
          <w:szCs w:val="32"/>
        </w:rPr>
        <w:t>增加。</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2、科学技术（类）科学技术管理事务（款）一般行政管理事务（项）。</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default" w:ascii="仿宋_GB2312" w:hAnsi="仿宋_GB2312" w:eastAsia="仿宋_GB2312" w:cs="仿宋_GB2312"/>
          <w:sz w:val="32"/>
          <w:szCs w:val="32"/>
          <w:lang w:val="en"/>
        </w:rPr>
        <w:t>105</w:t>
      </w:r>
      <w:r>
        <w:rPr>
          <w:rFonts w:hint="eastAsia" w:ascii="仿宋_GB2312" w:hAnsi="仿宋_GB2312" w:eastAsia="仿宋_GB2312" w:cs="仿宋_GB2312"/>
          <w:sz w:val="32"/>
          <w:szCs w:val="32"/>
        </w:rPr>
        <w:t>万元，决算数大于年初预算数的主要原因是：部门</w:t>
      </w:r>
      <w:r>
        <w:rPr>
          <w:rFonts w:hint="eastAsia" w:ascii="仿宋_GB2312" w:hAnsi="仿宋_GB2312" w:eastAsia="仿宋_GB2312" w:cs="仿宋_GB2312"/>
          <w:sz w:val="32"/>
          <w:szCs w:val="32"/>
          <w:lang w:eastAsia="zh-CN"/>
        </w:rPr>
        <w:t>专项日常工作经费在预算编制时功能分类不准确，未放入一般行政管理事务项</w:t>
      </w:r>
      <w:r>
        <w:rPr>
          <w:rFonts w:hint="eastAsia" w:ascii="仿宋_GB2312" w:hAnsi="仿宋_GB2312" w:eastAsia="仿宋_GB2312" w:cs="仿宋_GB2312"/>
          <w:sz w:val="32"/>
          <w:szCs w:val="32"/>
        </w:rPr>
        <w:t>。</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
        </w:rPr>
        <w:t>3</w:t>
      </w:r>
      <w:r>
        <w:rPr>
          <w:rFonts w:hint="eastAsia"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rPr>
        <w:t>科学技术（类）科学技术管理事务（款） 其他科学技术管理事务支出（项）。</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6.45</w:t>
      </w:r>
      <w:r>
        <w:rPr>
          <w:rFonts w:hint="eastAsia" w:ascii="仿宋_GB2312" w:hAnsi="仿宋_GB2312" w:eastAsia="仿宋_GB2312" w:cs="仿宋_GB2312"/>
          <w:sz w:val="32"/>
          <w:szCs w:val="32"/>
        </w:rPr>
        <w:t>万元，决算数大于年初预算数的主要原因是：部门临时承担的工作经费没有纳入年初预算。</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、科学技术（类）基础研究（款）自然科学基金（项）。</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万元，决算数大于年初预算数的主要原因是：科技创新专项资金为市统一代编预算，其中部分基础研究类专项经我部门拨付，未在年初部门预算体现。</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、科学技术（类）其他科学技术支出（款）其他科学技术支出（项）。</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453.95</w:t>
      </w:r>
      <w:r>
        <w:rPr>
          <w:rFonts w:hint="eastAsia" w:ascii="仿宋_GB2312" w:hAnsi="仿宋_GB2312" w:eastAsia="仿宋_GB2312" w:cs="仿宋_GB2312"/>
          <w:sz w:val="32"/>
          <w:szCs w:val="32"/>
        </w:rPr>
        <w:t>万元，决算数大于年初预算数的主要原因是：科技创新专项资金为市统一代编预算，其中部分专项经我部门拨付，未在年初部门预算体现。</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、社会保障和就业支出（类）行政事业单位养老支出（款）行政单位离退休（项）。</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89.77</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eastAsia="zh-CN"/>
        </w:rPr>
        <w:t>部分直接下达的离退休费未列入年初预算编制</w:t>
      </w:r>
      <w:r>
        <w:rPr>
          <w:rFonts w:hint="eastAsia" w:ascii="仿宋_GB2312" w:hAnsi="仿宋_GB2312" w:eastAsia="仿宋_GB2312" w:cs="仿宋_GB2312"/>
          <w:sz w:val="32"/>
          <w:szCs w:val="32"/>
        </w:rPr>
        <w:t>。</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社会保障和就业支出（类）行政事业单位养老支出（款）机关事业单位基本养老保险缴费支出（项）。</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年初预算为6</w:t>
      </w:r>
      <w:r>
        <w:rPr>
          <w:rFonts w:hint="eastAsia" w:ascii="仿宋_GB2312" w:hAnsi="仿宋_GB2312" w:eastAsia="仿宋_GB2312" w:cs="仿宋_GB2312"/>
          <w:sz w:val="32"/>
          <w:szCs w:val="32"/>
          <w:lang w:val="en-US" w:eastAsia="zh-CN"/>
        </w:rPr>
        <w:t>4.83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47.48</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73.24</w:t>
      </w:r>
      <w:r>
        <w:rPr>
          <w:rFonts w:hint="eastAsia" w:ascii="仿宋_GB2312" w:hAnsi="仿宋_GB2312" w:eastAsia="仿宋_GB2312" w:cs="仿宋_GB2312"/>
          <w:sz w:val="32"/>
          <w:szCs w:val="32"/>
        </w:rPr>
        <w:t>%，决算数小于年初预算数的主要原因是：单位新增在职转退休人员，实际养老保险缴纳小于年初预算数。</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、社会保障和就业支出（类）抚恤（款）其他优抚支出（项）。</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50.68</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离</w:t>
      </w:r>
      <w:r>
        <w:rPr>
          <w:rFonts w:hint="eastAsia" w:ascii="仿宋_GB2312" w:hAnsi="仿宋_GB2312" w:eastAsia="仿宋_GB2312" w:cs="仿宋_GB2312"/>
          <w:sz w:val="32"/>
          <w:szCs w:val="32"/>
        </w:rPr>
        <w:t>退休干部去世抚恤金为当年财政直接下达，未在年初部门预算中体现。</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、社会保障和就业支出（类）残疾人事业（款）其他残疾人事业支出（项）。</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5.06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5.06</w:t>
      </w:r>
      <w:r>
        <w:rPr>
          <w:rFonts w:hint="eastAsia" w:ascii="仿宋_GB2312" w:hAnsi="仿宋_GB2312" w:eastAsia="仿宋_GB2312" w:cs="仿宋_GB2312"/>
          <w:sz w:val="32"/>
          <w:szCs w:val="32"/>
        </w:rPr>
        <w:t>万元，完成年初预算的100%，主要原因是实际执行与年初预算一致。</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、社会保障和就业支出（类）其他社会保障和就业支出（款）其他社会保障和就业支出（项）。</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0.34</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eastAsia="zh-CN"/>
        </w:rPr>
        <w:t>工伤保险未在年初预算体现，</w:t>
      </w:r>
      <w:r>
        <w:rPr>
          <w:rFonts w:hint="eastAsia" w:ascii="仿宋_GB2312" w:hAnsi="仿宋_GB2312" w:eastAsia="仿宋_GB2312" w:cs="仿宋_GB2312"/>
          <w:sz w:val="32"/>
          <w:szCs w:val="32"/>
        </w:rPr>
        <w:t>其他社会保障和就业支出</w:t>
      </w:r>
      <w:r>
        <w:rPr>
          <w:rFonts w:hint="eastAsia" w:ascii="仿宋_GB2312" w:hAnsi="仿宋_GB2312" w:eastAsia="仿宋_GB2312" w:cs="仿宋_GB2312"/>
          <w:sz w:val="32"/>
          <w:szCs w:val="32"/>
          <w:lang w:eastAsia="zh-CN"/>
        </w:rPr>
        <w:t>实际支出大于年初预算数。</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、住房保障支出（类）住房改革支出（款）住房公积金（项）。</w:t>
      </w:r>
    </w:p>
    <w:p>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46.73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46.73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主要原因是实际执行与年初预算一致。</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1200.54</w:t>
      </w:r>
      <w:r>
        <w:rPr>
          <w:rFonts w:hint="eastAsia" w:ascii="仿宋_GB2312" w:hAnsi="仿宋_GB2312" w:eastAsia="仿宋_GB2312" w:cs="仿宋_GB2312"/>
          <w:sz w:val="32"/>
          <w:szCs w:val="32"/>
        </w:rPr>
        <w:t>万元，其中：</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1066.32</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88.82</w:t>
      </w:r>
      <w:r>
        <w:rPr>
          <w:rFonts w:hint="eastAsia" w:ascii="仿宋_GB2312" w:hAnsi="仿宋_GB2312" w:eastAsia="仿宋_GB2312" w:cs="仿宋_GB2312"/>
          <w:sz w:val="32"/>
          <w:szCs w:val="32"/>
        </w:rPr>
        <w:t>%,主要包括基本工资、津贴补贴、奖金、伙食补助费</w:t>
      </w:r>
      <w:r>
        <w:rPr>
          <w:rFonts w:hint="eastAsia" w:ascii="仿宋_GB2312" w:hAnsi="仿宋_GB2312" w:eastAsia="仿宋_GB2312" w:cs="仿宋_GB2312"/>
          <w:sz w:val="32"/>
          <w:szCs w:val="32"/>
          <w:lang w:eastAsia="zh-CN"/>
        </w:rPr>
        <w:t>、绩效工资、机关事业单位基本养老保险缴费、离休费、退休费。</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134.21</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11.18</w:t>
      </w:r>
      <w:r>
        <w:rPr>
          <w:rFonts w:hint="eastAsia" w:ascii="仿宋_GB2312" w:hAnsi="仿宋_GB2312" w:eastAsia="仿宋_GB2312" w:cs="仿宋_GB2312"/>
          <w:sz w:val="32"/>
          <w:szCs w:val="32"/>
        </w:rPr>
        <w:t>%，主要包括办公费、印刷费、水费、电费、差旅费、工会经费、其他交通费用。</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lang w:val="en-US" w:eastAsia="zh-CN"/>
        </w:rPr>
        <w:t>2025年度政府性基金预算财政拨款收入0万元；年初结转和结余0万元；支出0万元，其中基本支出0万元，项目支出0万元；年末结转和结余0万元。</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i w:val="0"/>
          <w:iCs/>
          <w:color w:val="auto"/>
          <w:kern w:val="0"/>
          <w:sz w:val="32"/>
          <w:szCs w:val="32"/>
          <w:lang w:val="en-US" w:eastAsia="zh-CN" w:bidi="ar-SA"/>
        </w:rPr>
        <w:t>2025年度国有资本经营预算财政拨款收入0万元；年初结转和结余0万；支出0万元，其中：基本支出0万元，项目支出0万元；年末结转和结余0万元。</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27.13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5.65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单位</w:t>
      </w:r>
      <w:r>
        <w:rPr>
          <w:rFonts w:hint="eastAsia" w:ascii="仿宋_GB2312" w:hAnsi="仿宋_GB2312" w:eastAsia="仿宋_GB2312" w:cs="仿宋_GB2312"/>
          <w:sz w:val="32"/>
          <w:szCs w:val="32"/>
          <w:lang w:eastAsia="zh-CN"/>
        </w:rPr>
        <w:t>落实过紧日子要求，厉行节约，从严控制三公经费支出</w:t>
      </w:r>
      <w:r>
        <w:rPr>
          <w:rFonts w:ascii="Times New Roman" w:hAnsi="Times New Roman" w:eastAsia="仿宋_GB2312" w:cs="Times New Roman"/>
          <w:sz w:val="32"/>
          <w:szCs w:val="32"/>
        </w:rPr>
        <w:t>。决算数小于上年数的主要原因是</w:t>
      </w:r>
      <w:r>
        <w:rPr>
          <w:rFonts w:hint="eastAsia" w:ascii="仿宋_GB2312" w:hAnsi="仿宋_GB2312" w:eastAsia="仿宋_GB2312" w:cs="仿宋_GB2312"/>
          <w:sz w:val="32"/>
          <w:szCs w:val="32"/>
          <w:lang w:eastAsia="zh-CN"/>
        </w:rPr>
        <w:t>落实过紧日子要求，严格控制三公经费只减不增</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因公出国（境）费支出预算为0万元，支出决算为0万元，决算数等于预算数，主要原因是我单位严格按预算执行决算；与上年一致，无增减变动，主要原因是未安排因公出国（境）活动。2025年度安排因公出国（境）团组0个，累计0人次。</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公务用车购置费支出预算为0万元，支出决算为0万元，决算数等于预算数，主要原因是我单位严格按预算执行决算；与上年一致，无增减变动，主要原因是两年均未购置公务用车。本单位更新公务用车0辆</w:t>
      </w:r>
      <w:r>
        <w:rPr>
          <w:rFonts w:ascii="Times New Roman" w:hAnsi="Times New Roman" w:eastAsia="仿宋_GB2312" w:cs="Times New Roman"/>
          <w:color w:val="000000" w:themeColor="text1"/>
          <w:sz w:val="32"/>
          <w:szCs w:val="32"/>
          <w14:textFill>
            <w14:solidFill>
              <w14:schemeClr w14:val="tx1"/>
            </w14:solidFill>
          </w14:textFill>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公务用车加油费、维修维护费、车辆保险费、</w:t>
      </w:r>
      <w:r>
        <w:rPr>
          <w:rFonts w:hint="eastAsia" w:ascii="Times New Roman" w:hAnsi="Times New Roman" w:eastAsia="仿宋_GB2312" w:cs="Times New Roman"/>
          <w:sz w:val="32"/>
          <w:szCs w:val="32"/>
          <w:lang w:val="en-US" w:eastAsia="zh-CN"/>
        </w:rPr>
        <w:t>ETC过路费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单位</w:t>
      </w:r>
      <w:r>
        <w:rPr>
          <w:rFonts w:hint="eastAsia" w:ascii="仿宋_GB2312" w:hAnsi="仿宋_GB2312" w:eastAsia="仿宋_GB2312" w:cs="仿宋_GB2312"/>
          <w:sz w:val="32"/>
          <w:szCs w:val="32"/>
          <w:lang w:eastAsia="zh-CN"/>
        </w:rPr>
        <w:t>落实过紧日子要求，厉行节约，鼓励公共交通出行，减少公务用车出行</w:t>
      </w:r>
      <w:r>
        <w:rPr>
          <w:rFonts w:ascii="Times New Roman" w:hAnsi="Times New Roman" w:eastAsia="仿宋_GB2312" w:cs="Times New Roman"/>
          <w:sz w:val="32"/>
          <w:szCs w:val="32"/>
        </w:rPr>
        <w:t>。决算数小于上年数的主要原因是</w:t>
      </w:r>
      <w:r>
        <w:rPr>
          <w:rFonts w:hint="eastAsia" w:ascii="仿宋_GB2312" w:hAnsi="仿宋_GB2312" w:eastAsia="仿宋_GB2312" w:cs="仿宋_GB2312"/>
          <w:sz w:val="32"/>
          <w:szCs w:val="32"/>
          <w:lang w:eastAsia="zh-CN"/>
        </w:rPr>
        <w:t>落实过紧日子要求，严格控制三公经费只减不增</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numPr>
          <w:ilvl w:val="0"/>
          <w:numId w:val="0"/>
        </w:num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16.4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12.20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单位</w:t>
      </w:r>
      <w:r>
        <w:rPr>
          <w:rFonts w:hint="eastAsia" w:ascii="仿宋_GB2312" w:hAnsi="仿宋_GB2312" w:eastAsia="仿宋_GB2312" w:cs="仿宋_GB2312"/>
          <w:sz w:val="32"/>
          <w:szCs w:val="32"/>
          <w:lang w:eastAsia="zh-CN"/>
        </w:rPr>
        <w:t>落实过紧日子要求，厉行节约</w:t>
      </w:r>
      <w:r>
        <w:rPr>
          <w:rFonts w:ascii="Times New Roman" w:hAnsi="Times New Roman" w:eastAsia="仿宋_GB2312" w:cs="Times New Roman"/>
          <w:sz w:val="32"/>
          <w:szCs w:val="32"/>
        </w:rPr>
        <w:t>。决算数小于上年数的主要原因是</w:t>
      </w:r>
      <w:r>
        <w:rPr>
          <w:rFonts w:hint="eastAsia" w:ascii="仿宋_GB2312" w:hAnsi="仿宋_GB2312" w:eastAsia="仿宋_GB2312" w:cs="仿宋_GB2312"/>
          <w:sz w:val="32"/>
          <w:szCs w:val="32"/>
          <w:lang w:eastAsia="zh-CN"/>
        </w:rPr>
        <w:t>落实过紧日子要求，严格控制三公经费只减不增</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39</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省外科技部门来岳调研</w:t>
      </w:r>
      <w:r>
        <w:rPr>
          <w:rFonts w:ascii="Times New Roman" w:hAnsi="Times New Roman" w:eastAsia="仿宋_GB2312" w:cs="Times New Roman"/>
          <w:sz w:val="32"/>
          <w:szCs w:val="32"/>
        </w:rPr>
        <w:t>发生的接待支出。</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pPr>
        <w:pStyle w:val="13"/>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w:t>
      </w:r>
      <w:r>
        <w:rPr>
          <w:rFonts w:hint="eastAsia" w:ascii="仿宋_GB2312" w:hAnsi="仿宋_GB2312" w:eastAsia="仿宋_GB2312" w:cs="仿宋_GB2312"/>
          <w:sz w:val="32"/>
          <w:szCs w:val="32"/>
          <w:lang w:val="en-US" w:eastAsia="zh-CN"/>
        </w:rPr>
        <w:t>134.21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highlight w:val="none"/>
        </w:rPr>
        <w:t>比上年决算数增加</w:t>
      </w:r>
      <w:r>
        <w:rPr>
          <w:rFonts w:hint="eastAsia" w:ascii="仿宋_GB2312" w:hAnsi="仿宋_GB2312" w:eastAsia="仿宋_GB2312" w:cs="仿宋_GB2312"/>
          <w:sz w:val="32"/>
          <w:szCs w:val="32"/>
          <w:highlight w:val="none"/>
          <w:lang w:val="en-US" w:eastAsia="zh-CN"/>
        </w:rPr>
        <w:t>34.42</w:t>
      </w:r>
      <w:r>
        <w:rPr>
          <w:rFonts w:hint="eastAsia" w:ascii="仿宋_GB2312" w:hAnsi="仿宋_GB2312" w:eastAsia="仿宋_GB2312" w:cs="仿宋_GB2312"/>
          <w:sz w:val="32"/>
          <w:szCs w:val="32"/>
          <w:highlight w:val="none"/>
        </w:rPr>
        <w:t>万元，增长</w:t>
      </w:r>
      <w:r>
        <w:rPr>
          <w:rFonts w:hint="eastAsia" w:ascii="仿宋_GB2312" w:hAnsi="仿宋_GB2312" w:eastAsia="仿宋_GB2312" w:cs="仿宋_GB2312"/>
          <w:sz w:val="32"/>
          <w:szCs w:val="32"/>
          <w:highlight w:val="none"/>
          <w:lang w:val="en-US" w:eastAsia="zh-CN"/>
        </w:rPr>
        <w:t>34.49</w:t>
      </w:r>
      <w:r>
        <w:rPr>
          <w:rFonts w:hint="eastAsia" w:ascii="仿宋_GB2312" w:hAnsi="仿宋_GB2312" w:eastAsia="仿宋_GB2312" w:cs="仿宋_GB2312"/>
          <w:sz w:val="32"/>
          <w:szCs w:val="32"/>
          <w:highlight w:val="none"/>
        </w:rPr>
        <w:t>%。主要原因是：</w:t>
      </w:r>
      <w:r>
        <w:rPr>
          <w:rFonts w:hint="eastAsia" w:ascii="仿宋_GB2312" w:hAnsi="仿宋_GB2312" w:eastAsia="仿宋_GB2312" w:cs="仿宋_GB2312"/>
          <w:sz w:val="32"/>
          <w:szCs w:val="32"/>
        </w:rPr>
        <w:t>新调入公务员及四海揽才人员增加，</w:t>
      </w:r>
      <w:r>
        <w:rPr>
          <w:rFonts w:hint="eastAsia" w:ascii="仿宋_GB2312" w:hAnsi="仿宋_GB2312" w:eastAsia="仿宋_GB2312" w:cs="仿宋_GB2312"/>
          <w:sz w:val="32"/>
          <w:szCs w:val="32"/>
          <w:lang w:eastAsia="zh-CN"/>
        </w:rPr>
        <w:t>部门运转经费</w:t>
      </w:r>
      <w:r>
        <w:rPr>
          <w:rFonts w:hint="eastAsia" w:ascii="仿宋_GB2312" w:hAnsi="仿宋_GB2312" w:eastAsia="仿宋_GB2312" w:cs="仿宋_GB2312"/>
          <w:sz w:val="32"/>
          <w:szCs w:val="32"/>
        </w:rPr>
        <w:t>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pPr>
        <w:pStyle w:val="13"/>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年度，会议费年初预算1万元，支出决算为1.18万元，完成年初预算的118%。用于召开创新提升行动调度会议，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150</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val="en-US" w:eastAsia="zh-CN"/>
        </w:rPr>
        <w:t>调度全市创新提升行动工作</w:t>
      </w:r>
      <w:r>
        <w:rPr>
          <w:rFonts w:hint="eastAsia" w:ascii="仿宋_GB2312" w:hAnsi="仿宋_GB2312" w:eastAsia="仿宋_GB2312" w:cs="仿宋_GB2312"/>
          <w:sz w:val="32"/>
          <w:szCs w:val="32"/>
          <w:lang w:eastAsia="zh-CN"/>
        </w:rPr>
        <w:t>。</w:t>
      </w:r>
    </w:p>
    <w:p>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培训费年初预算0.65万元，支出决算为0.80万元，完成年初预算的123.08%。用于开展大抓落实争创一流主题培训，人数60人，内容为科技业务、公文写作等主题培训。</w:t>
      </w:r>
    </w:p>
    <w:p>
      <w:pPr>
        <w:widowControl w:val="0"/>
        <w:autoSpaceDE w:val="0"/>
        <w:autoSpaceDN w:val="0"/>
        <w:adjustRightInd w:val="0"/>
        <w:ind w:firstLine="640" w:firstLineChars="200"/>
        <w:rPr>
          <w:rFonts w:hint="eastAsia" w:ascii="仿宋_GB2312" w:hAnsi="仿宋_GB2312" w:eastAsia="仿宋_GB2312" w:cs="仿宋_GB2312"/>
          <w:b/>
          <w:bCs/>
          <w:i/>
          <w:color w:val="FF0000"/>
          <w:kern w:val="0"/>
          <w:sz w:val="32"/>
          <w:szCs w:val="32"/>
          <w:highlight w:val="yellow"/>
          <w:lang w:val="en-US" w:eastAsia="zh-CN" w:bidi="ar-SA"/>
        </w:rPr>
      </w:pPr>
      <w:r>
        <w:rPr>
          <w:rFonts w:hint="eastAsia" w:ascii="仿宋_GB2312" w:hAnsi="仿宋_GB2312" w:eastAsia="仿宋_GB2312" w:cs="仿宋_GB2312"/>
          <w:color w:val="000000"/>
          <w:kern w:val="0"/>
          <w:sz w:val="32"/>
          <w:szCs w:val="32"/>
          <w:lang w:val="en-US" w:eastAsia="zh-CN" w:bidi="ar-SA"/>
        </w:rPr>
        <w:t>本单位无举办节庆、晚会、论坛、赛事等活动的预算和支出决算数。</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161.26</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21.72</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13.91</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125.63</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160.58</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99.58</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154.33</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96.11</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97.56</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96.37</w:t>
      </w:r>
      <w:r>
        <w:rPr>
          <w:rFonts w:hint="eastAsia" w:ascii="仿宋_GB2312" w:hAnsi="仿宋_GB2312" w:eastAsia="仿宋_GB2312" w:cs="仿宋_GB2312"/>
          <w:color w:val="auto"/>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仿宋_GB2312" w:hAnsi="仿宋_GB2312" w:eastAsia="仿宋_GB2312" w:cs="仿宋_GB2312"/>
          <w:sz w:val="32"/>
          <w:szCs w:val="32"/>
        </w:rPr>
        <w:t>1786.21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105</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5.90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p>
    <w:p>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本</w:t>
      </w:r>
      <w:r>
        <w:rPr>
          <w:rFonts w:ascii="Times New Roman" w:hAnsi="Times New Roman" w:eastAsia="仿宋_GB2312" w:cs="Times New Roman"/>
          <w:kern w:val="0"/>
          <w:sz w:val="32"/>
          <w:szCs w:val="32"/>
        </w:rPr>
        <w:t>单位</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w:t>
      </w:r>
      <w:r>
        <w:rPr>
          <w:rFonts w:hint="eastAsia" w:ascii="Times New Roman" w:hAnsi="Times New Roman" w:eastAsia="仿宋_GB2312" w:cs="Times New Roman"/>
          <w:sz w:val="32"/>
          <w:szCs w:val="32"/>
          <w:lang w:eastAsia="zh-CN"/>
        </w:rPr>
        <w:t>日常工作经费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sz w:val="32"/>
          <w:szCs w:val="32"/>
          <w:lang w:val="en-US" w:eastAsia="zh-CN"/>
        </w:rPr>
        <w:t>本单位及所属单位本年度未新增重大政策和重大项目，所以无事前绩效评估开展情况。</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2244.96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1786.21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1786.21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一是承办全国创新创业大赛石化专业赛，抓好统筹调度，突出宣传引导；二是创新主体实现新增长，投入产出实现新提升，技术攻关实现新突破。三是着力推进省市平台创建</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预算绩效管理工作稍显薄弱</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color w:val="000000"/>
          <w:kern w:val="0"/>
          <w:sz w:val="32"/>
          <w:szCs w:val="32"/>
          <w:lang w:val="en-US" w:eastAsia="zh-CN" w:bidi="ar-SA"/>
        </w:rPr>
        <w:t>对预算绩效管理理解不充分，对工作重点把握不到位</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细化预算编制工作，认真做好预算的编制</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充实业务知识，提高预算绩效管理方面的理论、实务和具体操作水平</w:t>
      </w:r>
      <w:r>
        <w:rPr>
          <w:rFonts w:hint="eastAsia" w:ascii="Times New Roman" w:hAnsi="Times New Roman" w:eastAsia="仿宋_GB2312" w:cs="Times New Roman"/>
          <w:sz w:val="32"/>
          <w:szCs w:val="32"/>
          <w:lang w:eastAsia="zh-CN"/>
        </w:rPr>
        <w:t>。</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sz w:val="32"/>
          <w:szCs w:val="32"/>
          <w:lang w:eastAsia="zh-CN"/>
        </w:rPr>
        <w:t>市级专项资金</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eastAsia="zh-CN"/>
        </w:rPr>
        <w:t>专项资金跨年拨付导致项目进展缓慢</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积极对接项目资金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加强与财政部门的沟通联系，尽早取得资金的拨付，保障项目资金的投入进度，发挥资金的使用效益。</w:t>
      </w:r>
    </w:p>
    <w:p>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sz w:val="32"/>
          <w:szCs w:val="32"/>
          <w:lang w:val="en-US" w:eastAsia="zh-CN"/>
        </w:rPr>
        <w:t>本单位及所属单位本年度未开展事前绩效评估，所以无事前绩效评估结果。</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color w:val="FF0000"/>
          <w:sz w:val="32"/>
          <w:szCs w:val="32"/>
        </w:rPr>
      </w:pPr>
    </w:p>
    <w:p>
      <w:pPr>
        <w:numPr>
          <w:ilvl w:val="0"/>
          <w:numId w:val="3"/>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pPr>
        <w:numPr>
          <w:ilvl w:val="0"/>
          <w:numId w:val="0"/>
        </w:numPr>
        <w:autoSpaceDE w:val="0"/>
        <w:autoSpaceDN w:val="0"/>
        <w:adjustRightInd w:val="0"/>
        <w:ind w:firstLine="640" w:firstLineChars="200"/>
        <w:jc w:val="lef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请根据</w:t>
      </w:r>
      <w:r>
        <w:rPr>
          <w:rFonts w:hint="eastAsia" w:ascii="Times New Roman" w:hAnsi="Times New Roman" w:eastAsia="仿宋_GB2312" w:cs="Times New Roman"/>
          <w:color w:val="auto"/>
          <w:sz w:val="32"/>
          <w:szCs w:val="32"/>
          <w:highlight w:val="none"/>
          <w:lang w:eastAsia="zh-CN"/>
        </w:rPr>
        <w:t>2025年</w:t>
      </w:r>
      <w:r>
        <w:rPr>
          <w:rFonts w:ascii="Times New Roman" w:hAnsi="Times New Roman" w:eastAsia="仿宋_GB2312" w:cs="Times New Roman"/>
          <w:color w:val="auto"/>
          <w:sz w:val="32"/>
          <w:szCs w:val="32"/>
          <w:highlight w:val="none"/>
        </w:rPr>
        <w:t>度绩效自评结果、部门评价结果、</w:t>
      </w:r>
      <w:r>
        <w:rPr>
          <w:rFonts w:hint="eastAsia" w:ascii="Times New Roman" w:hAnsi="Times New Roman" w:eastAsia="仿宋_GB2312" w:cs="Times New Roman"/>
          <w:color w:val="auto"/>
          <w:sz w:val="32"/>
          <w:szCs w:val="32"/>
          <w:highlight w:val="none"/>
          <w:lang w:eastAsia="zh-CN"/>
        </w:rPr>
        <w:t>事前绩效</w:t>
      </w:r>
      <w:r>
        <w:rPr>
          <w:rFonts w:ascii="Times New Roman" w:hAnsi="Times New Roman" w:eastAsia="仿宋_GB2312" w:cs="Times New Roman"/>
          <w:color w:val="auto"/>
          <w:sz w:val="32"/>
          <w:szCs w:val="32"/>
          <w:highlight w:val="none"/>
        </w:rPr>
        <w:t>评价结果对本部门2025年度预算安排，支出结构调整，资金管理，制度建设等方面结果运用进行简要说明。</w:t>
      </w:r>
    </w:p>
    <w:p>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pPr>
        <w:pStyle w:val="2"/>
        <w:rPr>
          <w:rFonts w:hint="eastAsia"/>
          <w:lang w:val="en-US" w:eastAsia="zh-CN"/>
        </w:rPr>
      </w:pPr>
    </w:p>
    <w:p>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both"/>
        <w:rPr>
          <w:rFonts w:hint="eastAsia" w:ascii="方正小标宋_GBK" w:hAnsi="方正小标宋_GBK" w:eastAsia="方正小标宋_GBK" w:cs="方正小标宋_GBK"/>
          <w:sz w:val="24"/>
          <w:szCs w:val="24"/>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p>
    <w:p>
      <w:pPr>
        <w:pStyle w:val="2"/>
        <w:rPr>
          <w:rFonts w:hint="eastAsia"/>
        </w:rPr>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pPr>
        <w:pStyle w:val="13"/>
        <w:jc w:val="center"/>
        <w:rPr>
          <w:rFonts w:hint="eastAsia" w:ascii="仿宋_GB2312" w:hAnsi="仿宋_GB2312" w:eastAsia="仿宋_GB2312" w:cs="仿宋_GB2312"/>
          <w:sz w:val="32"/>
          <w:szCs w:val="32"/>
        </w:rPr>
      </w:pPr>
    </w:p>
    <w:p>
      <w:pPr>
        <w:pStyle w:val="13"/>
        <w:jc w:val="center"/>
        <w:rPr>
          <w:rFonts w:hint="eastAsia" w:ascii="仿宋_GB2312" w:hAnsi="仿宋_GB2312" w:eastAsia="仿宋_GB2312" w:cs="仿宋_GB2312"/>
          <w:sz w:val="32"/>
          <w:szCs w:val="32"/>
        </w:rPr>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
      <w:pPr>
        <w:pStyle w:val="2"/>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3"/>
        <w:jc w:val="both"/>
        <w:rPr>
          <w:rFonts w:hint="eastAsia" w:ascii="方正小标宋_GBK" w:hAnsi="方正小标宋_GBK" w:eastAsia="方正小标宋_GBK" w:cs="方正小标宋_GBK"/>
          <w:sz w:val="70"/>
          <w:szCs w:val="70"/>
          <w:lang w:eastAsia="zh-CN"/>
        </w:rPr>
      </w:pPr>
    </w:p>
    <w:p>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ind w:firstLine="640" w:firstLineChars="200"/>
        <w:jc w:val="left"/>
        <w:rPr>
          <w:rFonts w:hint="eastAsia" w:ascii="宋体" w:hAnsi="宋体" w:eastAsia="宋体" w:cs="黑体"/>
          <w:b/>
          <w:color w:val="000000"/>
          <w:kern w:val="0"/>
          <w:sz w:val="32"/>
          <w:szCs w:val="32"/>
          <w:lang w:val="en-US" w:eastAsia="zh-CN"/>
        </w:rPr>
      </w:pPr>
    </w:p>
    <w:p>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bookmarkStart w:id="0" w:name="_GoBack"/>
      <w:bookmarkEnd w:id="0"/>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F1F9D4A5"/>
    <w:multiLevelType w:val="singleLevel"/>
    <w:tmpl w:val="F1F9D4A5"/>
    <w:lvl w:ilvl="0" w:tentative="0">
      <w:start w:val="2"/>
      <w:numFmt w:val="chineseCounting"/>
      <w:suff w:val="nothing"/>
      <w:lvlText w:val="（%1）"/>
      <w:lvlJc w:val="left"/>
      <w:rPr>
        <w:rFonts w:hint="eastAsia"/>
      </w:r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11944E2C"/>
    <w:rsid w:val="12583BA5"/>
    <w:rsid w:val="13BA5B9C"/>
    <w:rsid w:val="1D97DEFF"/>
    <w:rsid w:val="1DFF72E5"/>
    <w:rsid w:val="1EFC6F07"/>
    <w:rsid w:val="1F0527A6"/>
    <w:rsid w:val="22AC03C2"/>
    <w:rsid w:val="283B15FE"/>
    <w:rsid w:val="2FDF85B8"/>
    <w:rsid w:val="2FFFEE04"/>
    <w:rsid w:val="31C95635"/>
    <w:rsid w:val="34DF85B0"/>
    <w:rsid w:val="3B8F36BC"/>
    <w:rsid w:val="43EB5BA5"/>
    <w:rsid w:val="491FF225"/>
    <w:rsid w:val="4BDFFCE6"/>
    <w:rsid w:val="4EC310A1"/>
    <w:rsid w:val="4FFD214C"/>
    <w:rsid w:val="5352765A"/>
    <w:rsid w:val="5777D4F5"/>
    <w:rsid w:val="57EBA9D6"/>
    <w:rsid w:val="57F22B6F"/>
    <w:rsid w:val="597F17CB"/>
    <w:rsid w:val="59DD8326"/>
    <w:rsid w:val="5DEF592A"/>
    <w:rsid w:val="5FBF1E21"/>
    <w:rsid w:val="5FC6BB1E"/>
    <w:rsid w:val="5FF720F1"/>
    <w:rsid w:val="622964C1"/>
    <w:rsid w:val="67FF5C0B"/>
    <w:rsid w:val="6B75A03B"/>
    <w:rsid w:val="6BAA4A2F"/>
    <w:rsid w:val="6DDEC5C0"/>
    <w:rsid w:val="6EFC0924"/>
    <w:rsid w:val="6F7F88B8"/>
    <w:rsid w:val="6F9E8580"/>
    <w:rsid w:val="6FB74722"/>
    <w:rsid w:val="6FEF8B7E"/>
    <w:rsid w:val="6FFED521"/>
    <w:rsid w:val="717FE77F"/>
    <w:rsid w:val="71A6591B"/>
    <w:rsid w:val="723F36AA"/>
    <w:rsid w:val="737D59BA"/>
    <w:rsid w:val="737F32B1"/>
    <w:rsid w:val="73BD3FCA"/>
    <w:rsid w:val="776BDA01"/>
    <w:rsid w:val="77C37683"/>
    <w:rsid w:val="79FF515B"/>
    <w:rsid w:val="7A9E0FB0"/>
    <w:rsid w:val="7AEB31F0"/>
    <w:rsid w:val="7C9A85E8"/>
    <w:rsid w:val="7DFBFF20"/>
    <w:rsid w:val="7E6E1F94"/>
    <w:rsid w:val="7E9E1962"/>
    <w:rsid w:val="7E9F11B4"/>
    <w:rsid w:val="7F37EC1E"/>
    <w:rsid w:val="7F5BB0CB"/>
    <w:rsid w:val="7F7C0DDA"/>
    <w:rsid w:val="7F7DCD9D"/>
    <w:rsid w:val="7F970A6F"/>
    <w:rsid w:val="7FC1FFF3"/>
    <w:rsid w:val="7FC69637"/>
    <w:rsid w:val="7FD9C722"/>
    <w:rsid w:val="7FDF8620"/>
    <w:rsid w:val="7FF99E0D"/>
    <w:rsid w:val="7FFB242F"/>
    <w:rsid w:val="7FFDB408"/>
    <w:rsid w:val="7FFE4EEB"/>
    <w:rsid w:val="95FB2B98"/>
    <w:rsid w:val="9A639BC2"/>
    <w:rsid w:val="9FF7D786"/>
    <w:rsid w:val="ABBFB23D"/>
    <w:rsid w:val="B6BE5A03"/>
    <w:rsid w:val="B8C93228"/>
    <w:rsid w:val="C3B4DA5A"/>
    <w:rsid w:val="C3B7A88E"/>
    <w:rsid w:val="C4FF458C"/>
    <w:rsid w:val="C7BBD038"/>
    <w:rsid w:val="CAFF11B2"/>
    <w:rsid w:val="CBFF70E0"/>
    <w:rsid w:val="CFF50B82"/>
    <w:rsid w:val="CFFFAD89"/>
    <w:rsid w:val="D9D6816B"/>
    <w:rsid w:val="DAB756A7"/>
    <w:rsid w:val="DF3FBA7F"/>
    <w:rsid w:val="DFFE359E"/>
    <w:rsid w:val="DFFE4FFD"/>
    <w:rsid w:val="DFFF5403"/>
    <w:rsid w:val="EBC3E00A"/>
    <w:rsid w:val="EDFBE100"/>
    <w:rsid w:val="EEABED75"/>
    <w:rsid w:val="EF7E8003"/>
    <w:rsid w:val="EFDFE0FD"/>
    <w:rsid w:val="F46F37D7"/>
    <w:rsid w:val="F56FDF51"/>
    <w:rsid w:val="F5F3EE78"/>
    <w:rsid w:val="F6B69F17"/>
    <w:rsid w:val="F6E5BB3A"/>
    <w:rsid w:val="F77F1D61"/>
    <w:rsid w:val="F7C36722"/>
    <w:rsid w:val="F7FED3A9"/>
    <w:rsid w:val="F8C9DB26"/>
    <w:rsid w:val="F97E8EAE"/>
    <w:rsid w:val="FB36E1A6"/>
    <w:rsid w:val="FB3BE134"/>
    <w:rsid w:val="FCFF4275"/>
    <w:rsid w:val="FD7FEEEA"/>
    <w:rsid w:val="FDFED8B2"/>
    <w:rsid w:val="FDFFB577"/>
    <w:rsid w:val="FEEA50FE"/>
    <w:rsid w:val="FF7D47A9"/>
    <w:rsid w:val="FFCF21CB"/>
    <w:rsid w:val="FFD75BF0"/>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toa heading"/>
    <w:basedOn w:val="1"/>
    <w:next w:val="1"/>
    <w:unhideWhenUsed/>
    <w:qFormat/>
    <w:uiPriority w:val="99"/>
    <w:pPr>
      <w:spacing w:before="120" w:beforeLines="0" w:after="200" w:afterLines="0" w:line="276" w:lineRule="auto"/>
    </w:pPr>
    <w:rPr>
      <w:rFonts w:hint="eastAsia"/>
      <w:sz w:val="24"/>
      <w:szCs w:val="24"/>
    </w:r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1347</Words>
  <Characters>7679</Characters>
  <Lines>63</Lines>
  <Paragraphs>18</Paragraphs>
  <TotalTime>7</TotalTime>
  <ScaleCrop>false</ScaleCrop>
  <LinksUpToDate>false</LinksUpToDate>
  <CharactersWithSpaces>9008</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2020-07-12T10:32:00Z</dcterms:created>
  <dc:creator>李航 null</dc:creator>
  <cp:lastModifiedBy>xjkp</cp:lastModifiedBy>
  <cp:lastPrinted>2024-08-12T18:20:00Z</cp:lastPrinted>
  <dcterms:modified xsi:type="dcterms:W3CDTF">2026-09-16T10:42:25Z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98623D6660B449428EB8E073C6C952EA</vt:lpwstr>
  </property>
</Properties>
</file>