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30BC0">
      <w:pPr>
        <w:pStyle w:val="13"/>
        <w:jc w:val="center"/>
        <w:rPr>
          <w:sz w:val="56"/>
          <w:szCs w:val="56"/>
        </w:rPr>
      </w:pPr>
    </w:p>
    <w:p w14:paraId="633B32D7">
      <w:pPr>
        <w:pStyle w:val="13"/>
        <w:jc w:val="center"/>
        <w:rPr>
          <w:sz w:val="56"/>
          <w:szCs w:val="56"/>
        </w:rPr>
      </w:pPr>
    </w:p>
    <w:p w14:paraId="6747787D">
      <w:pPr>
        <w:pStyle w:val="13"/>
        <w:jc w:val="center"/>
        <w:rPr>
          <w:sz w:val="84"/>
          <w:szCs w:val="84"/>
        </w:rPr>
      </w:pPr>
    </w:p>
    <w:p w14:paraId="101D3CD9">
      <w:pPr>
        <w:pStyle w:val="13"/>
        <w:jc w:val="center"/>
        <w:rPr>
          <w:sz w:val="84"/>
          <w:szCs w:val="84"/>
        </w:rPr>
      </w:pPr>
    </w:p>
    <w:p w14:paraId="25B1E785">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1DD3FE80">
      <w:pPr>
        <w:pStyle w:val="13"/>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岳阳市住房和城乡建设局</w:t>
      </w:r>
    </w:p>
    <w:p w14:paraId="0202C3D2">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3438E68D">
      <w:pPr>
        <w:pStyle w:val="13"/>
        <w:jc w:val="center"/>
        <w:rPr>
          <w:rFonts w:hint="eastAsia" w:ascii="方正小标宋_GBK" w:hAnsi="方正小标宋_GBK" w:eastAsia="方正小标宋_GBK" w:cs="方正小标宋_GBK"/>
          <w:sz w:val="56"/>
          <w:szCs w:val="56"/>
        </w:rPr>
      </w:pPr>
    </w:p>
    <w:p w14:paraId="18F7C4DD">
      <w:pPr>
        <w:pStyle w:val="13"/>
        <w:jc w:val="center"/>
        <w:rPr>
          <w:sz w:val="56"/>
          <w:szCs w:val="56"/>
        </w:rPr>
      </w:pPr>
    </w:p>
    <w:p w14:paraId="474B7732">
      <w:pPr>
        <w:pStyle w:val="13"/>
        <w:jc w:val="center"/>
        <w:rPr>
          <w:sz w:val="56"/>
          <w:szCs w:val="56"/>
        </w:rPr>
      </w:pPr>
    </w:p>
    <w:p w14:paraId="2A674CDE">
      <w:pPr>
        <w:pStyle w:val="13"/>
        <w:jc w:val="center"/>
        <w:rPr>
          <w:sz w:val="56"/>
          <w:szCs w:val="56"/>
        </w:rPr>
      </w:pPr>
    </w:p>
    <w:p w14:paraId="0F312A30">
      <w:pPr>
        <w:pStyle w:val="13"/>
        <w:jc w:val="center"/>
        <w:rPr>
          <w:sz w:val="32"/>
          <w:szCs w:val="32"/>
        </w:rPr>
      </w:pPr>
    </w:p>
    <w:p w14:paraId="2FCD1ED3">
      <w:pPr>
        <w:pStyle w:val="13"/>
        <w:jc w:val="center"/>
        <w:rPr>
          <w:sz w:val="32"/>
          <w:szCs w:val="32"/>
        </w:rPr>
      </w:pPr>
    </w:p>
    <w:p w14:paraId="40C7E0FC">
      <w:pPr>
        <w:pStyle w:val="13"/>
        <w:jc w:val="center"/>
        <w:rPr>
          <w:sz w:val="32"/>
          <w:szCs w:val="32"/>
        </w:rPr>
      </w:pPr>
    </w:p>
    <w:p w14:paraId="78666D99">
      <w:pPr>
        <w:pStyle w:val="13"/>
        <w:spacing w:line="500" w:lineRule="exact"/>
        <w:jc w:val="both"/>
        <w:rPr>
          <w:b/>
          <w:sz w:val="36"/>
          <w:szCs w:val="28"/>
        </w:rPr>
      </w:pPr>
    </w:p>
    <w:p w14:paraId="62621732">
      <w:pPr>
        <w:pStyle w:val="13"/>
        <w:spacing w:line="500" w:lineRule="exact"/>
        <w:jc w:val="center"/>
        <w:rPr>
          <w:b/>
          <w:sz w:val="36"/>
          <w:szCs w:val="28"/>
        </w:rPr>
      </w:pPr>
      <w:r>
        <w:rPr>
          <w:rFonts w:hint="eastAsia"/>
          <w:b/>
          <w:sz w:val="36"/>
          <w:szCs w:val="28"/>
        </w:rPr>
        <w:t>目录</w:t>
      </w:r>
    </w:p>
    <w:p w14:paraId="5D4C87F9">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岳阳市住房和城乡建设局部门</w:t>
      </w:r>
      <w:r>
        <w:rPr>
          <w:rFonts w:hint="eastAsia" w:ascii="黑体" w:hAnsi="黑体" w:eastAsia="黑体" w:cs="黑体"/>
          <w:b w:val="0"/>
          <w:bCs/>
          <w:sz w:val="28"/>
          <w:szCs w:val="28"/>
        </w:rPr>
        <w:t>概况</w:t>
      </w:r>
    </w:p>
    <w:p w14:paraId="4E836AF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6DB4E108">
      <w:pPr>
        <w:pStyle w:val="13"/>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3D31F5B9">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62CA8157">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17B2D27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87F4921">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31AA5B8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72A1BF4">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1B56B20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3E79F3D1">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55262010">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908545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23C19A01">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6DA2275A">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E90A196">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08938FA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6E540CD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7C6DD6B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3C82EF4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C72CBF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35A9E82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5FE2065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612D2EB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7EFE1E3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09B0463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2A9109C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7A6520E6">
      <w:pPr>
        <w:pStyle w:val="13"/>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5DDD4C8E">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11E6CF85">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4D9F2960">
      <w:pPr>
        <w:pStyle w:val="13"/>
        <w:jc w:val="center"/>
        <w:rPr>
          <w:rFonts w:hint="eastAsia" w:ascii="方正小标宋_GBK" w:hAnsi="方正小标宋_GBK" w:eastAsia="方正小标宋_GBK" w:cs="方正小标宋_GBK"/>
          <w:sz w:val="84"/>
          <w:szCs w:val="84"/>
        </w:rPr>
      </w:pPr>
    </w:p>
    <w:p w14:paraId="33E96736">
      <w:pPr>
        <w:pStyle w:val="13"/>
        <w:jc w:val="center"/>
        <w:rPr>
          <w:rFonts w:hint="eastAsia" w:ascii="方正小标宋_GBK" w:hAnsi="方正小标宋_GBK" w:eastAsia="方正小标宋_GBK" w:cs="方正小标宋_GBK"/>
          <w:sz w:val="84"/>
          <w:szCs w:val="84"/>
        </w:rPr>
      </w:pPr>
    </w:p>
    <w:p w14:paraId="00FC6BD6">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1E55985D">
      <w:pPr>
        <w:pStyle w:val="13"/>
        <w:jc w:val="center"/>
        <w:rPr>
          <w:rFonts w:hint="eastAsia" w:ascii="方正小标宋_GBK" w:hAnsi="方正小标宋_GBK" w:eastAsia="方正小标宋_GBK" w:cs="方正小标宋_GBK"/>
          <w:sz w:val="84"/>
          <w:szCs w:val="84"/>
        </w:rPr>
      </w:pPr>
    </w:p>
    <w:p w14:paraId="6D1DFF89">
      <w:pPr>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岳阳市住房和城乡建设局</w:t>
      </w:r>
    </w:p>
    <w:p w14:paraId="33B3A4A6">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部门</w:t>
      </w:r>
      <w:r>
        <w:rPr>
          <w:rFonts w:hint="eastAsia" w:ascii="方正小标宋_GBK" w:hAnsi="方正小标宋_GBK" w:eastAsia="方正小标宋_GBK" w:cs="方正小标宋_GBK"/>
          <w:sz w:val="84"/>
          <w:szCs w:val="84"/>
        </w:rPr>
        <w:t>概况</w:t>
      </w:r>
    </w:p>
    <w:p w14:paraId="71B7D2FE">
      <w:pPr>
        <w:pStyle w:val="8"/>
        <w:rPr>
          <w:rFonts w:hint="eastAsia" w:ascii="方正小标宋_GBK" w:hAnsi="方正小标宋_GBK" w:eastAsia="方正小标宋_GBK" w:cs="方正小标宋_GBK"/>
          <w:sz w:val="84"/>
          <w:szCs w:val="84"/>
        </w:rPr>
      </w:pPr>
    </w:p>
    <w:p w14:paraId="7E3CD3F0">
      <w:pPr>
        <w:pStyle w:val="2"/>
        <w:rPr>
          <w:rFonts w:hint="eastAsia" w:ascii="方正小标宋_GBK" w:hAnsi="方正小标宋_GBK" w:eastAsia="方正小标宋_GBK" w:cs="方正小标宋_GBK"/>
          <w:sz w:val="84"/>
          <w:szCs w:val="84"/>
        </w:rPr>
      </w:pPr>
    </w:p>
    <w:p w14:paraId="192F7410">
      <w:pPr>
        <w:rPr>
          <w:rFonts w:hint="eastAsia" w:ascii="方正小标宋_GBK" w:hAnsi="方正小标宋_GBK" w:eastAsia="方正小标宋_GBK" w:cs="方正小标宋_GBK"/>
          <w:sz w:val="84"/>
          <w:szCs w:val="84"/>
        </w:rPr>
      </w:pPr>
    </w:p>
    <w:p w14:paraId="0952FB73">
      <w:pPr>
        <w:pStyle w:val="8"/>
        <w:rPr>
          <w:rFonts w:hint="eastAsia" w:ascii="方正小标宋_GBK" w:hAnsi="方正小标宋_GBK" w:eastAsia="方正小标宋_GBK" w:cs="方正小标宋_GBK"/>
          <w:sz w:val="84"/>
          <w:szCs w:val="84"/>
        </w:rPr>
      </w:pPr>
    </w:p>
    <w:p w14:paraId="14D1B774">
      <w:pPr>
        <w:pStyle w:val="2"/>
        <w:rPr>
          <w:rFonts w:hint="eastAsia" w:ascii="方正小标宋_GBK" w:hAnsi="方正小标宋_GBK" w:eastAsia="方正小标宋_GBK" w:cs="方正小标宋_GBK"/>
          <w:sz w:val="84"/>
          <w:szCs w:val="84"/>
        </w:rPr>
      </w:pPr>
    </w:p>
    <w:p w14:paraId="3C61FF39">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370A2BBB">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贯彻落实有关住房和城乡建设的法律法规、规章和政策;拟订住房和城乡建设行业地方性法规、规章草案、规范性文件;研究拟订住房和城乡建设发展战略、产业政策、改革方案和中长期规划及年度计划并组织实施;牵头组织推进城市智慧化建设和新型城市化发展战略;组织推进行业诚信体系建设和管理;负责市本级住房和城乡建设行政执法工作;负责监督指导各县市区住房和城乡建设行政执法工作;负责编制城市建设行业专业规划;负责住房和城乡建设行业综合统计;指导和协调各县市区住房和城乡建设管理工作。</w:t>
      </w:r>
    </w:p>
    <w:p w14:paraId="1C5912C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sz w:val="32"/>
          <w:szCs w:val="32"/>
        </w:rPr>
        <w:t>（二）</w:t>
      </w:r>
      <w:r>
        <w:rPr>
          <w:rFonts w:hint="eastAsia" w:ascii="Times New Roman" w:hAnsi="Times New Roman" w:eastAsia="仿宋_GB2312" w:cs="仿宋_GB2312"/>
          <w:kern w:val="2"/>
          <w:sz w:val="32"/>
          <w:szCs w:val="32"/>
          <w:lang w:val="en-US" w:eastAsia="zh-CN" w:bidi="ar-SA"/>
        </w:rPr>
        <w:t>负责全市市政基础(公用)设施建设的行业管理和城建计划;牵头负责城市地下管线建设统筹和数据管理;负责住宅专项维修资金缴存管理和城市基础设施建设配套费的征收管理。</w:t>
      </w:r>
    </w:p>
    <w:p w14:paraId="4ACD110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三）建立和完善住房保障体系，研究拟订全市住房保障政策并监督实施;指导监督全市住房保障工作;拟订全市住房(含保障性住房)发展规划及年度计划并监督实施;会同相关部门做好政府有关住房保障专项资金安排和资金监管工作;指导监督保障性住房建设、运营、管理;组织指导城市、国有工矿棚户区改造和老旧小区改造工作。</w:t>
      </w:r>
    </w:p>
    <w:p w14:paraId="0BF7996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四）负责全市房地产市场监督管理，规范房地产市场秩序。负责权限内房地产开发企业资质认定;负责商品房屋预售许可、销售管理和房屋交易管理;负责房产测绘及成果应用的监督管理;监督管理房地产开发市场、房地产交易市场、物业管理市场、房地产中介服务市场和房屋租赁市场;监督管理国有土地上房屋征收与补偿、城市房屋白蚁防治工作;负责危旧房屋的安全鉴定和行业管理工作。</w:t>
      </w:r>
    </w:p>
    <w:p w14:paraId="474ADD7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五）负责全市建筑市场监督管理。负责全市建设工程招标投标监管和备案工作;负责建筑施工、装饰装修、工程监理、造价咨询、招标代理、建设工程质量检测和商品混凝土生产等行业的监管;按照规定权限负责全市建筑业、工程监理、检验检测、商品混凝土、预拌砂浆、装饰装修等企业及其相关中介组织的资质和从业人员资格管理，对商品混凝土、预拌砂浆生产、销售、使用过程中的违法违规行为进行行政处罚;负责建筑工程施工许可;负责房屋建筑和市政基础设施工程公开招标 项目的招标控制价备案、工程造价管理。</w:t>
      </w:r>
    </w:p>
    <w:p w14:paraId="7B8294A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六）负责全市房屋建筑和市政基础设施的工程质量、安全生产、文明施工的监督管理。贯彻执行工程建设标准;制定建设工程质量管理、安全生产的规章制度并监督执行;负责中心城区(含城陵矶新港区，下同)建设工程施工现场质量安全管理;牵头组织建设工程项目联合验收备案;按照规定权限负责建筑施工企业安全生产许可证和安管人员资格的管理;负责建筑起重机械特种作业操作资格管理;参与建设工程质量、安全事故的调查处理。</w:t>
      </w:r>
    </w:p>
    <w:p w14:paraId="1EF46FF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（七）负责建设工程消防设计审查、消防验收及竣工验收消防备案、抽查工作;按照法定职权负责消防行政执法工作，对建设工程消防设计审查验收过程中的违法违规行为进行行政处罚。</w:t>
      </w:r>
    </w:p>
    <w:p w14:paraId="0EE825D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八）负责绿色建筑、建筑节能和建设科技成果应用推广。组织实施建筑节能、绿色建筑、装配式建筑、可再生能源建筑等重点项目和示范工程;指导行业企业技术中心建设和绿色建材、新型墙体材料、散装水泥、机制砂石的推广应用工作;推广实施工程建设标准和工法;负责对粘土砖的生产销售使用、散装水泥及水泥制品的生产销售使用、现场搅拌混凝土和砂浆、绿色建筑、装配式建筑等违法违规行为进行行政处罚;指导住宅产业化工作。</w:t>
      </w:r>
    </w:p>
    <w:p w14:paraId="4174F4B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九）负责全市建设工程勘察设计市场的监督管理。负责全市政府投资项目的房屋建筑、市政基础设施工程初步设计方案及概算审查、概算变更管理，参与工程预算、结算管理;负责建设工程施工图设计文件审查备案;负责全市建设工程勘察设计行业的监督管理。</w:t>
      </w:r>
    </w:p>
    <w:p w14:paraId="0534A68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十）负责村镇建设的指导和历史文化名城(镇、村)保护的监督管理。参与城乡一体化建设工作;组织编制历史文化名城(镇、村)专项规划、历史文化街区和历史风貌保护区专项规划，并监督实施;负责本市建设项目的档案收集、保管和利用工作;负责指导全市农村危房改造和乡镇污水设施建设运营管理。</w:t>
      </w:r>
    </w:p>
    <w:p w14:paraId="6E7DCEE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十一）负责城市供水、排水和海绵城市建设的监督管理。负责全市供水用水行业管理和污水处理监督管理;参与城市给水用水工程的论证、审查和验收;负责全市雨水管道、污水管道、泵站、污水处理设施的建设、管理、运维和调度工作;牵头负责城市生活污水污染防治和黑臭水体治理工作;负责污水处理特许经营管理;负责对排水户排放污水的水质等是否符合规定进行审查；负责拟订和执行海绵城市建设设计标准的监督管理;负责海绵城市建设的监督指导。</w:t>
      </w:r>
    </w:p>
    <w:p w14:paraId="2C83545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（十二）承办市委、市政府交办的其他事项。</w:t>
      </w:r>
    </w:p>
    <w:p w14:paraId="62E3CECD">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34AF0B21">
      <w:pPr>
        <w:widowControl/>
        <w:spacing w:line="600" w:lineRule="exact"/>
        <w:ind w:firstLine="640" w:firstLineChars="200"/>
        <w:rPr>
          <w:rFonts w:hint="default"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rPr>
        <w:t>（一）内设机构设置。</w:t>
      </w:r>
      <w:r>
        <w:rPr>
          <w:rFonts w:hint="default" w:ascii="Times New Roman" w:hAnsi="Times New Roman" w:eastAsia="仿宋_GB2312" w:cs="仿宋_GB2312"/>
          <w:bCs/>
          <w:kern w:val="0"/>
          <w:sz w:val="32"/>
          <w:szCs w:val="32"/>
          <w:lang w:val="zh-CN" w:eastAsia="zh-CN" w:bidi="ar-SA"/>
        </w:rPr>
        <w:t>岳阳市住房和城乡建设局</w:t>
      </w:r>
      <w:r>
        <w:rPr>
          <w:rFonts w:hint="eastAsia" w:ascii="Times New Roman" w:hAnsi="Times New Roman" w:eastAsia="仿宋_GB2312" w:cs="仿宋_GB2312"/>
          <w:bCs/>
          <w:kern w:val="0"/>
          <w:sz w:val="32"/>
          <w:szCs w:val="32"/>
        </w:rPr>
        <w:t>内设机构包括：</w:t>
      </w:r>
      <w:r>
        <w:rPr>
          <w:rFonts w:hint="default" w:ascii="Times New Roman" w:hAnsi="Times New Roman" w:eastAsia="仿宋_GB2312" w:cs="仿宋_GB2312"/>
          <w:bCs/>
          <w:kern w:val="0"/>
          <w:sz w:val="32"/>
          <w:szCs w:val="32"/>
          <w:lang w:val="zh-CN" w:eastAsia="zh-CN" w:bidi="ar-SA"/>
        </w:rPr>
        <w:t>办公室、综合调研室（新型城镇化办公室）、行政审批科、住房保障科、房地产市场监管科、房屋和物业管理科、勘察设计管理科、建设工程招标投标管理办公室、建设市场管理科（岳阳市人民政府清理拖欠工程款领导小组办公室）、信息和信用监管科、建筑节能与科技科、质量安全管理科、建设工程消防管理科、村镇建设科、城市建设科、历史文化名城保护管理科、供排水管理科（海绵城市建设办公室）、政策法规科、工程技术科、信访科、人事科、计财审计科组成。</w:t>
      </w:r>
      <w:r>
        <w:rPr>
          <w:rFonts w:hint="default" w:ascii="Times New Roman" w:hAnsi="Times New Roman" w:eastAsia="仿宋_GB2312" w:cs="仿宋_GB2312"/>
          <w:bCs/>
          <w:kern w:val="0"/>
          <w:sz w:val="32"/>
          <w:szCs w:val="32"/>
          <w:lang w:val="en-US" w:eastAsia="zh-CN" w:bidi="ar-SA"/>
        </w:rPr>
        <w:t>机关党委、机关纪委按章程设置，住房建设工会、离退休人员管理服务科按相关规定设置。下设市建设工程质量安全监督站、市住房保障服务中心、市城乡建设事务中心、市城市建设档案馆、市房地产市场服务中心、市污水处理监督中心、市绿色建筑产业发展服务中心、市房地产交易中心8个二级独立核算单位。</w:t>
      </w:r>
    </w:p>
    <w:p w14:paraId="3FD94576">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岳阳市住房和城乡建设局2025年</w:t>
      </w:r>
      <w:r>
        <w:rPr>
          <w:rFonts w:hint="eastAsia" w:ascii="Times New Roman" w:hAnsi="Times New Roman" w:eastAsia="仿宋_GB2312" w:cs="仿宋_GB2312"/>
          <w:bCs/>
          <w:kern w:val="0"/>
          <w:sz w:val="32"/>
          <w:szCs w:val="32"/>
        </w:rPr>
        <w:t>部门决算汇总公开单位构成包括：</w:t>
      </w:r>
      <w:r>
        <w:rPr>
          <w:rFonts w:hint="eastAsia" w:ascii="Times New Roman" w:hAnsi="Times New Roman" w:eastAsia="仿宋_GB2312" w:cs="仿宋_GB2312"/>
          <w:bCs/>
          <w:kern w:val="0"/>
          <w:sz w:val="32"/>
          <w:szCs w:val="32"/>
          <w:lang w:eastAsia="zh-CN"/>
        </w:rPr>
        <w:t>岳阳市住房和城乡建设局</w:t>
      </w:r>
      <w:r>
        <w:rPr>
          <w:rFonts w:hint="eastAsia" w:ascii="Times New Roman" w:hAnsi="Times New Roman" w:eastAsia="仿宋_GB2312" w:cs="仿宋_GB2312"/>
          <w:bCs/>
          <w:kern w:val="0"/>
          <w:sz w:val="32"/>
          <w:szCs w:val="32"/>
        </w:rPr>
        <w:t>单位本级以及</w:t>
      </w:r>
      <w:r>
        <w:rPr>
          <w:rFonts w:hint="eastAsia" w:ascii="Times New Roman" w:hAnsi="Times New Roman" w:eastAsia="仿宋_GB2312" w:cs="仿宋_GB2312"/>
          <w:bCs/>
          <w:kern w:val="0"/>
          <w:sz w:val="32"/>
          <w:szCs w:val="32"/>
          <w:lang w:eastAsia="zh-CN"/>
        </w:rPr>
        <w:t>岳阳</w:t>
      </w:r>
      <w:r>
        <w:rPr>
          <w:rFonts w:hint="default" w:ascii="Times New Roman" w:hAnsi="Times New Roman" w:eastAsia="仿宋_GB2312" w:cs="仿宋_GB2312"/>
          <w:bCs/>
          <w:kern w:val="0"/>
          <w:sz w:val="32"/>
          <w:szCs w:val="32"/>
          <w:lang w:val="en-US" w:eastAsia="zh-CN" w:bidi="ar-SA"/>
        </w:rPr>
        <w:t>市建设工程质量安全监督站、</w:t>
      </w:r>
      <w:r>
        <w:rPr>
          <w:rFonts w:hint="eastAsia" w:ascii="Times New Roman" w:hAnsi="Times New Roman" w:eastAsia="仿宋_GB2312" w:cs="仿宋_GB2312"/>
          <w:bCs/>
          <w:kern w:val="0"/>
          <w:sz w:val="32"/>
          <w:szCs w:val="32"/>
          <w:lang w:val="en-US" w:eastAsia="zh-CN" w:bidi="ar-SA"/>
        </w:rPr>
        <w:t>岳阳</w:t>
      </w:r>
      <w:r>
        <w:rPr>
          <w:rFonts w:hint="default" w:ascii="Times New Roman" w:hAnsi="Times New Roman" w:eastAsia="仿宋_GB2312" w:cs="仿宋_GB2312"/>
          <w:bCs/>
          <w:kern w:val="0"/>
          <w:sz w:val="32"/>
          <w:szCs w:val="32"/>
          <w:lang w:val="en-US" w:eastAsia="zh-CN" w:bidi="ar-SA"/>
        </w:rPr>
        <w:t>市住房保障服务中心、</w:t>
      </w:r>
      <w:r>
        <w:rPr>
          <w:rFonts w:hint="eastAsia" w:ascii="Times New Roman" w:hAnsi="Times New Roman" w:eastAsia="仿宋_GB2312" w:cs="仿宋_GB2312"/>
          <w:bCs/>
          <w:kern w:val="0"/>
          <w:sz w:val="32"/>
          <w:szCs w:val="32"/>
          <w:lang w:val="en-US" w:eastAsia="zh-CN" w:bidi="ar-SA"/>
        </w:rPr>
        <w:t>岳阳</w:t>
      </w:r>
      <w:r>
        <w:rPr>
          <w:rFonts w:hint="default" w:ascii="Times New Roman" w:hAnsi="Times New Roman" w:eastAsia="仿宋_GB2312" w:cs="仿宋_GB2312"/>
          <w:bCs/>
          <w:kern w:val="0"/>
          <w:sz w:val="32"/>
          <w:szCs w:val="32"/>
          <w:lang w:val="en-US" w:eastAsia="zh-CN" w:bidi="ar-SA"/>
        </w:rPr>
        <w:t>市城乡建设事务中心、</w:t>
      </w:r>
      <w:r>
        <w:rPr>
          <w:rFonts w:hint="eastAsia" w:ascii="Times New Roman" w:hAnsi="Times New Roman" w:eastAsia="仿宋_GB2312" w:cs="仿宋_GB2312"/>
          <w:bCs/>
          <w:kern w:val="0"/>
          <w:sz w:val="32"/>
          <w:szCs w:val="32"/>
          <w:lang w:val="en-US" w:eastAsia="zh-CN" w:bidi="ar-SA"/>
        </w:rPr>
        <w:t>岳阳</w:t>
      </w:r>
      <w:r>
        <w:rPr>
          <w:rFonts w:hint="default" w:ascii="Times New Roman" w:hAnsi="Times New Roman" w:eastAsia="仿宋_GB2312" w:cs="仿宋_GB2312"/>
          <w:bCs/>
          <w:kern w:val="0"/>
          <w:sz w:val="32"/>
          <w:szCs w:val="32"/>
          <w:lang w:val="en-US" w:eastAsia="zh-CN" w:bidi="ar-SA"/>
        </w:rPr>
        <w:t>市城市建设档案馆、</w:t>
      </w:r>
      <w:r>
        <w:rPr>
          <w:rFonts w:hint="eastAsia" w:ascii="Times New Roman" w:hAnsi="Times New Roman" w:eastAsia="仿宋_GB2312" w:cs="仿宋_GB2312"/>
          <w:bCs/>
          <w:kern w:val="0"/>
          <w:sz w:val="32"/>
          <w:szCs w:val="32"/>
          <w:lang w:val="en-US" w:eastAsia="zh-CN" w:bidi="ar-SA"/>
        </w:rPr>
        <w:t>岳阳</w:t>
      </w:r>
      <w:r>
        <w:rPr>
          <w:rFonts w:hint="default" w:ascii="Times New Roman" w:hAnsi="Times New Roman" w:eastAsia="仿宋_GB2312" w:cs="仿宋_GB2312"/>
          <w:bCs/>
          <w:kern w:val="0"/>
          <w:sz w:val="32"/>
          <w:szCs w:val="32"/>
          <w:lang w:val="en-US" w:eastAsia="zh-CN" w:bidi="ar-SA"/>
        </w:rPr>
        <w:t>市房地产市场服务中心、</w:t>
      </w:r>
      <w:r>
        <w:rPr>
          <w:rFonts w:hint="eastAsia" w:ascii="Times New Roman" w:hAnsi="Times New Roman" w:eastAsia="仿宋_GB2312" w:cs="仿宋_GB2312"/>
          <w:bCs/>
          <w:kern w:val="0"/>
          <w:sz w:val="32"/>
          <w:szCs w:val="32"/>
          <w:lang w:val="en-US" w:eastAsia="zh-CN" w:bidi="ar-SA"/>
        </w:rPr>
        <w:t>岳阳</w:t>
      </w:r>
      <w:r>
        <w:rPr>
          <w:rFonts w:hint="default" w:ascii="Times New Roman" w:hAnsi="Times New Roman" w:eastAsia="仿宋_GB2312" w:cs="仿宋_GB2312"/>
          <w:bCs/>
          <w:kern w:val="0"/>
          <w:sz w:val="32"/>
          <w:szCs w:val="32"/>
          <w:lang w:val="en-US" w:eastAsia="zh-CN" w:bidi="ar-SA"/>
        </w:rPr>
        <w:t>市污水处理监督中心、</w:t>
      </w:r>
      <w:r>
        <w:rPr>
          <w:rFonts w:hint="eastAsia" w:ascii="Times New Roman" w:hAnsi="Times New Roman" w:eastAsia="仿宋_GB2312" w:cs="仿宋_GB2312"/>
          <w:bCs/>
          <w:kern w:val="0"/>
          <w:sz w:val="32"/>
          <w:szCs w:val="32"/>
          <w:lang w:val="en-US" w:eastAsia="zh-CN" w:bidi="ar-SA"/>
        </w:rPr>
        <w:t>岳阳</w:t>
      </w:r>
      <w:r>
        <w:rPr>
          <w:rFonts w:hint="default" w:ascii="Times New Roman" w:hAnsi="Times New Roman" w:eastAsia="仿宋_GB2312" w:cs="仿宋_GB2312"/>
          <w:bCs/>
          <w:kern w:val="0"/>
          <w:sz w:val="32"/>
          <w:szCs w:val="32"/>
          <w:lang w:val="en-US" w:eastAsia="zh-CN" w:bidi="ar-SA"/>
        </w:rPr>
        <w:t>市绿色建筑产业发展服务中心、</w:t>
      </w:r>
      <w:r>
        <w:rPr>
          <w:rFonts w:hint="eastAsia" w:ascii="Times New Roman" w:hAnsi="Times New Roman" w:eastAsia="仿宋_GB2312" w:cs="仿宋_GB2312"/>
          <w:bCs/>
          <w:kern w:val="0"/>
          <w:sz w:val="32"/>
          <w:szCs w:val="32"/>
          <w:lang w:val="en-US" w:eastAsia="zh-CN" w:bidi="ar-SA"/>
        </w:rPr>
        <w:t>岳阳</w:t>
      </w:r>
      <w:r>
        <w:rPr>
          <w:rFonts w:hint="default" w:ascii="Times New Roman" w:hAnsi="Times New Roman" w:eastAsia="仿宋_GB2312" w:cs="仿宋_GB2312"/>
          <w:bCs/>
          <w:kern w:val="0"/>
          <w:sz w:val="32"/>
          <w:szCs w:val="32"/>
          <w:lang w:val="en-US" w:eastAsia="zh-CN" w:bidi="ar-SA"/>
        </w:rPr>
        <w:t>市房地产交易中心</w:t>
      </w:r>
      <w:r>
        <w:rPr>
          <w:rFonts w:hint="eastAsia" w:ascii="Times New Roman" w:hAnsi="Times New Roman" w:eastAsia="仿宋_GB2312" w:cs="仿宋_GB2312"/>
          <w:bCs/>
          <w:kern w:val="0"/>
          <w:sz w:val="32"/>
          <w:szCs w:val="32"/>
          <w:lang w:val="en-US" w:eastAsia="zh-CN" w:bidi="ar-SA"/>
        </w:rPr>
        <w:t>。</w:t>
      </w:r>
    </w:p>
    <w:p w14:paraId="293033B9"/>
    <w:p w14:paraId="357002D1">
      <w:pPr>
        <w:pStyle w:val="8"/>
      </w:pPr>
    </w:p>
    <w:p w14:paraId="7466C75D">
      <w:pPr>
        <w:pStyle w:val="2"/>
      </w:pPr>
    </w:p>
    <w:p w14:paraId="3316042D"/>
    <w:p w14:paraId="7F8626A6">
      <w:pPr>
        <w:pStyle w:val="8"/>
      </w:pPr>
    </w:p>
    <w:p w14:paraId="6BF973DD">
      <w:pPr>
        <w:pStyle w:val="2"/>
      </w:pPr>
    </w:p>
    <w:p w14:paraId="583A47ED"/>
    <w:p w14:paraId="5FD7C572">
      <w:pPr>
        <w:pStyle w:val="8"/>
      </w:pPr>
    </w:p>
    <w:p w14:paraId="0C1CFDD0">
      <w:pPr>
        <w:pStyle w:val="2"/>
      </w:pPr>
    </w:p>
    <w:p w14:paraId="49234E16"/>
    <w:p w14:paraId="77EFAB50">
      <w:pPr>
        <w:pStyle w:val="8"/>
      </w:pPr>
    </w:p>
    <w:p w14:paraId="5CDBF6E4">
      <w:pPr>
        <w:pStyle w:val="2"/>
      </w:pPr>
    </w:p>
    <w:p w14:paraId="7CA09117"/>
    <w:p w14:paraId="6FEF83C1">
      <w:pPr>
        <w:pStyle w:val="8"/>
      </w:pPr>
    </w:p>
    <w:p w14:paraId="389C729C">
      <w:pPr>
        <w:pStyle w:val="2"/>
      </w:pPr>
    </w:p>
    <w:p w14:paraId="23CC5904"/>
    <w:p w14:paraId="68822F21">
      <w:pPr>
        <w:pStyle w:val="8"/>
      </w:pPr>
    </w:p>
    <w:p w14:paraId="41A1BE10">
      <w:pPr>
        <w:pStyle w:val="2"/>
      </w:pPr>
    </w:p>
    <w:p w14:paraId="1F56E779"/>
    <w:p w14:paraId="3D2CD4DE">
      <w:pPr>
        <w:pStyle w:val="8"/>
      </w:pPr>
    </w:p>
    <w:p w14:paraId="657D459D">
      <w:pPr>
        <w:pStyle w:val="2"/>
      </w:pPr>
    </w:p>
    <w:p w14:paraId="433363C8"/>
    <w:p w14:paraId="290BD155">
      <w:pPr>
        <w:pStyle w:val="8"/>
      </w:pPr>
    </w:p>
    <w:p w14:paraId="2BEF91A4">
      <w:pPr>
        <w:pStyle w:val="2"/>
      </w:pPr>
    </w:p>
    <w:p w14:paraId="33F42873"/>
    <w:p w14:paraId="36A02221">
      <w:pPr>
        <w:pStyle w:val="13"/>
        <w:jc w:val="center"/>
        <w:rPr>
          <w:rFonts w:hint="eastAsia" w:ascii="方正小标宋_GBK" w:hAnsi="方正小标宋_GBK" w:eastAsia="方正小标宋_GBK" w:cs="方正小标宋_GBK"/>
          <w:sz w:val="84"/>
          <w:szCs w:val="84"/>
        </w:rPr>
      </w:pPr>
    </w:p>
    <w:p w14:paraId="2BAA6AF2">
      <w:pPr>
        <w:pStyle w:val="13"/>
        <w:jc w:val="center"/>
        <w:rPr>
          <w:rFonts w:hint="eastAsia" w:ascii="方正小标宋_GBK" w:hAnsi="方正小标宋_GBK" w:eastAsia="方正小标宋_GBK" w:cs="方正小标宋_GBK"/>
          <w:sz w:val="84"/>
          <w:szCs w:val="84"/>
        </w:rPr>
      </w:pPr>
    </w:p>
    <w:p w14:paraId="3C0BBE6B">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DE0571B">
      <w:pPr>
        <w:pStyle w:val="13"/>
        <w:jc w:val="center"/>
        <w:rPr>
          <w:rFonts w:hint="eastAsia" w:ascii="方正小标宋_GBK" w:hAnsi="方正小标宋_GBK" w:eastAsia="方正小标宋_GBK" w:cs="方正小标宋_GBK"/>
          <w:sz w:val="84"/>
          <w:szCs w:val="84"/>
        </w:rPr>
      </w:pPr>
    </w:p>
    <w:p w14:paraId="46F6B2E7">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77FDC57A">
      <w:pPr>
        <w:pStyle w:val="13"/>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4BA39394">
      <w:pPr>
        <w:pStyle w:val="13"/>
        <w:jc w:val="center"/>
        <w:rPr>
          <w:rFonts w:hint="eastAsia" w:ascii="仿宋_GB2312" w:hAnsi="仿宋_GB2312" w:eastAsia="仿宋_GB2312" w:cs="仿宋_GB2312"/>
          <w:b w:val="0"/>
          <w:bCs w:val="0"/>
          <w:sz w:val="72"/>
          <w:szCs w:val="72"/>
          <w:lang w:eastAsia="zh-CN"/>
        </w:rPr>
      </w:pPr>
    </w:p>
    <w:p w14:paraId="0741A2C1">
      <w:pPr>
        <w:pStyle w:val="13"/>
        <w:jc w:val="center"/>
        <w:rPr>
          <w:rFonts w:hint="eastAsia" w:ascii="仿宋_GB2312" w:hAnsi="仿宋_GB2312" w:eastAsia="仿宋_GB2312" w:cs="仿宋_GB2312"/>
          <w:b w:val="0"/>
          <w:bCs w:val="0"/>
          <w:sz w:val="72"/>
          <w:szCs w:val="72"/>
          <w:lang w:eastAsia="zh-CN"/>
        </w:rPr>
      </w:pPr>
    </w:p>
    <w:p w14:paraId="0340A1F4">
      <w:pPr>
        <w:pStyle w:val="13"/>
        <w:jc w:val="center"/>
        <w:rPr>
          <w:rFonts w:hint="eastAsia" w:ascii="仿宋_GB2312" w:hAnsi="仿宋_GB2312" w:eastAsia="仿宋_GB2312" w:cs="仿宋_GB2312"/>
          <w:b w:val="0"/>
          <w:bCs w:val="0"/>
          <w:sz w:val="72"/>
          <w:szCs w:val="72"/>
          <w:lang w:eastAsia="zh-CN"/>
        </w:rPr>
      </w:pPr>
    </w:p>
    <w:p w14:paraId="423C75E0">
      <w:pPr>
        <w:pStyle w:val="13"/>
        <w:jc w:val="center"/>
        <w:rPr>
          <w:rFonts w:hint="eastAsia" w:ascii="仿宋_GB2312" w:hAnsi="仿宋_GB2312" w:eastAsia="仿宋_GB2312" w:cs="仿宋_GB2312"/>
          <w:b w:val="0"/>
          <w:bCs w:val="0"/>
          <w:sz w:val="72"/>
          <w:szCs w:val="72"/>
          <w:lang w:eastAsia="zh-CN"/>
        </w:rPr>
      </w:pPr>
    </w:p>
    <w:p w14:paraId="14AE94A3">
      <w:pPr>
        <w:pStyle w:val="13"/>
        <w:jc w:val="center"/>
        <w:rPr>
          <w:rFonts w:hint="eastAsia" w:ascii="仿宋_GB2312" w:hAnsi="仿宋_GB2312" w:eastAsia="仿宋_GB2312" w:cs="仿宋_GB2312"/>
          <w:b w:val="0"/>
          <w:bCs w:val="0"/>
          <w:sz w:val="72"/>
          <w:szCs w:val="72"/>
          <w:lang w:eastAsia="zh-CN"/>
        </w:rPr>
      </w:pPr>
    </w:p>
    <w:p w14:paraId="67B8C645">
      <w:pPr>
        <w:pStyle w:val="13"/>
        <w:jc w:val="center"/>
        <w:rPr>
          <w:rFonts w:hint="eastAsia" w:ascii="仿宋_GB2312" w:hAnsi="仿宋_GB2312" w:eastAsia="仿宋_GB2312" w:cs="仿宋_GB2312"/>
          <w:b w:val="0"/>
          <w:bCs w:val="0"/>
          <w:sz w:val="72"/>
          <w:szCs w:val="72"/>
          <w:lang w:eastAsia="zh-CN"/>
        </w:rPr>
      </w:pPr>
    </w:p>
    <w:p w14:paraId="202148E6">
      <w:pPr>
        <w:pStyle w:val="13"/>
        <w:jc w:val="center"/>
        <w:rPr>
          <w:rFonts w:hint="eastAsia" w:ascii="仿宋_GB2312" w:hAnsi="仿宋_GB2312" w:eastAsia="仿宋_GB2312" w:cs="仿宋_GB2312"/>
          <w:b w:val="0"/>
          <w:bCs w:val="0"/>
          <w:sz w:val="72"/>
          <w:szCs w:val="72"/>
          <w:lang w:eastAsia="zh-CN"/>
        </w:rPr>
      </w:pPr>
    </w:p>
    <w:p w14:paraId="3AE8BB9C">
      <w:pPr>
        <w:pStyle w:val="13"/>
        <w:jc w:val="center"/>
        <w:rPr>
          <w:rFonts w:hint="eastAsia" w:ascii="方正小标宋_GBK" w:hAnsi="方正小标宋_GBK" w:eastAsia="方正小标宋_GBK" w:cs="方正小标宋_GBK"/>
          <w:sz w:val="72"/>
          <w:szCs w:val="72"/>
        </w:rPr>
      </w:pPr>
    </w:p>
    <w:p w14:paraId="5BF11926">
      <w:pPr>
        <w:pStyle w:val="13"/>
        <w:jc w:val="center"/>
        <w:rPr>
          <w:rFonts w:hint="eastAsia" w:ascii="方正小标宋_GBK" w:hAnsi="方正小标宋_GBK" w:eastAsia="方正小标宋_GBK" w:cs="方正小标宋_GBK"/>
          <w:sz w:val="72"/>
          <w:szCs w:val="72"/>
        </w:rPr>
      </w:pPr>
    </w:p>
    <w:p w14:paraId="0C7B33AB">
      <w:pPr>
        <w:pStyle w:val="13"/>
        <w:jc w:val="both"/>
        <w:rPr>
          <w:rFonts w:hint="eastAsia" w:ascii="方正小标宋_GBK" w:hAnsi="方正小标宋_GBK" w:eastAsia="方正小标宋_GBK" w:cs="方正小标宋_GBK"/>
          <w:sz w:val="72"/>
          <w:szCs w:val="72"/>
        </w:rPr>
      </w:pPr>
    </w:p>
    <w:p w14:paraId="62410ABD">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35CD793">
      <w:pPr>
        <w:pStyle w:val="13"/>
        <w:jc w:val="center"/>
        <w:rPr>
          <w:rFonts w:hint="eastAsia" w:ascii="方正小标宋_GBK" w:hAnsi="方正小标宋_GBK" w:eastAsia="方正小标宋_GBK" w:cs="方正小标宋_GBK"/>
          <w:sz w:val="70"/>
          <w:szCs w:val="70"/>
        </w:rPr>
      </w:pPr>
    </w:p>
    <w:p w14:paraId="6160CE18">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5DBF0DCA">
      <w:pPr>
        <w:pStyle w:val="13"/>
        <w:jc w:val="center"/>
        <w:rPr>
          <w:rFonts w:hint="eastAsia" w:ascii="方正小标宋_GBK" w:hAnsi="方正小标宋_GBK" w:eastAsia="方正小标宋_GBK" w:cs="方正小标宋_GBK"/>
          <w:sz w:val="70"/>
          <w:szCs w:val="70"/>
        </w:rPr>
      </w:pPr>
    </w:p>
    <w:p w14:paraId="7A895E61">
      <w:pPr>
        <w:pStyle w:val="13"/>
        <w:jc w:val="center"/>
        <w:rPr>
          <w:rFonts w:hint="eastAsia" w:ascii="方正小标宋_GBK" w:hAnsi="方正小标宋_GBK" w:eastAsia="方正小标宋_GBK" w:cs="方正小标宋_GBK"/>
          <w:sz w:val="70"/>
          <w:szCs w:val="70"/>
        </w:rPr>
      </w:pPr>
    </w:p>
    <w:p w14:paraId="75CDA20D">
      <w:pPr>
        <w:pStyle w:val="13"/>
        <w:jc w:val="center"/>
        <w:rPr>
          <w:rFonts w:hint="eastAsia" w:ascii="方正小标宋_GBK" w:hAnsi="方正小标宋_GBK" w:eastAsia="方正小标宋_GBK" w:cs="方正小标宋_GBK"/>
          <w:sz w:val="70"/>
          <w:szCs w:val="70"/>
        </w:rPr>
      </w:pPr>
    </w:p>
    <w:p w14:paraId="5618AC68">
      <w:pPr>
        <w:pStyle w:val="13"/>
        <w:jc w:val="center"/>
        <w:rPr>
          <w:rFonts w:hint="eastAsia" w:ascii="方正小标宋_GBK" w:hAnsi="方正小标宋_GBK" w:eastAsia="方正小标宋_GBK" w:cs="方正小标宋_GBK"/>
          <w:sz w:val="70"/>
          <w:szCs w:val="70"/>
        </w:rPr>
      </w:pPr>
    </w:p>
    <w:p w14:paraId="3462FD92">
      <w:pPr>
        <w:pStyle w:val="13"/>
        <w:jc w:val="center"/>
        <w:rPr>
          <w:rFonts w:hint="eastAsia" w:ascii="方正小标宋_GBK" w:hAnsi="方正小标宋_GBK" w:eastAsia="方正小标宋_GBK" w:cs="方正小标宋_GBK"/>
          <w:sz w:val="70"/>
          <w:szCs w:val="70"/>
        </w:rPr>
      </w:pPr>
    </w:p>
    <w:p w14:paraId="28BAAE22">
      <w:pPr>
        <w:pStyle w:val="13"/>
        <w:jc w:val="center"/>
        <w:rPr>
          <w:rFonts w:hint="eastAsia" w:ascii="方正小标宋_GBK" w:hAnsi="方正小标宋_GBK" w:eastAsia="方正小标宋_GBK" w:cs="方正小标宋_GBK"/>
          <w:sz w:val="70"/>
          <w:szCs w:val="70"/>
        </w:rPr>
      </w:pPr>
    </w:p>
    <w:p w14:paraId="38829912">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08BA444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35B220E5">
      <w:pPr>
        <w:keepNext/>
        <w:keepLine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color w:val="000000"/>
          <w:kern w:val="0"/>
          <w:sz w:val="32"/>
          <w:szCs w:val="32"/>
          <w:lang w:val="zh-CN" w:eastAsia="zh-CN" w:bidi="ar-SA"/>
        </w:rPr>
        <w:t>51124.98</w:t>
      </w:r>
      <w:r>
        <w:rPr>
          <w:rFonts w:hint="eastAsia" w:ascii="仿宋_GB2312" w:hAnsi="仿宋_GB2312" w:eastAsia="仿宋_GB2312" w:cs="仿宋_GB2312"/>
          <w:sz w:val="32"/>
          <w:szCs w:val="32"/>
        </w:rPr>
        <w:t>万元。与上年相比，增加</w:t>
      </w:r>
      <w:r>
        <w:rPr>
          <w:rFonts w:hint="eastAsia" w:ascii="仿宋" w:hAnsi="仿宋" w:eastAsia="仿宋"/>
          <w:color w:val="auto"/>
          <w:sz w:val="32"/>
          <w:szCs w:val="24"/>
          <w:highlight w:val="white"/>
          <w:lang w:val="zh-CN"/>
        </w:rPr>
        <w:t>1990.45</w:t>
      </w:r>
      <w:r>
        <w:rPr>
          <w:rFonts w:hint="eastAsia" w:ascii="仿宋_GB2312" w:hAnsi="仿宋_GB2312" w:eastAsia="仿宋_GB2312" w:cs="仿宋_GB2312"/>
          <w:sz w:val="32"/>
          <w:szCs w:val="32"/>
        </w:rPr>
        <w:t>万元，增长</w:t>
      </w:r>
      <w:r>
        <w:rPr>
          <w:rFonts w:hint="eastAsia" w:ascii="仿宋_GB2312" w:hAnsi="仿宋_GB2312" w:eastAsia="仿宋_GB2312" w:cs="仿宋_GB2312"/>
          <w:color w:val="000000"/>
          <w:kern w:val="0"/>
          <w:sz w:val="32"/>
          <w:szCs w:val="32"/>
          <w:lang w:val="zh-CN" w:eastAsia="zh-CN" w:bidi="ar-SA"/>
        </w:rPr>
        <w:t>4.05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一般公共预算安排的节能环保支出、灾害防治及应急管理支出增加</w:t>
      </w:r>
      <w:r>
        <w:rPr>
          <w:rFonts w:hint="eastAsia" w:ascii="仿宋" w:hAnsi="仿宋" w:eastAsia="仿宋"/>
          <w:color w:val="auto"/>
          <w:sz w:val="32"/>
          <w:szCs w:val="24"/>
          <w:highlight w:val="white"/>
          <w:lang w:val="zh-CN"/>
        </w:rPr>
        <w:t>。</w:t>
      </w:r>
    </w:p>
    <w:p w14:paraId="5A739EC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68AE85F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 w:hAnsi="仿宋" w:eastAsia="仿宋"/>
          <w:color w:val="auto"/>
          <w:sz w:val="32"/>
          <w:szCs w:val="24"/>
          <w:highlight w:val="white"/>
          <w:lang w:val="en-US"/>
        </w:rPr>
        <w:t>51050.2</w:t>
      </w:r>
      <w:r>
        <w:rPr>
          <w:rFonts w:hint="eastAsia" w:ascii="仿宋_GB2312" w:hAnsi="仿宋_GB2312" w:eastAsia="仿宋_GB2312" w:cs="仿宋_GB2312"/>
          <w:sz w:val="32"/>
          <w:szCs w:val="32"/>
        </w:rPr>
        <w:t>万元，其中：</w:t>
      </w:r>
      <w:r>
        <w:rPr>
          <w:rFonts w:hint="eastAsia" w:ascii="仿宋" w:hAnsi="仿宋" w:eastAsia="仿宋"/>
          <w:color w:val="auto"/>
          <w:sz w:val="32"/>
          <w:szCs w:val="24"/>
          <w:highlight w:val="white"/>
          <w:lang w:val="en-US"/>
        </w:rPr>
        <w:t>财政拨款收入46421.46万元，占90.93%</w:t>
      </w:r>
      <w:r>
        <w:rPr>
          <w:rFonts w:hint="eastAsia" w:ascii="仿宋_GB2312" w:hAnsi="仿宋_GB2312" w:eastAsia="仿宋_GB2312" w:cs="仿宋_GB2312"/>
          <w:sz w:val="32"/>
          <w:szCs w:val="32"/>
        </w:rPr>
        <w:t>；</w:t>
      </w:r>
      <w:r>
        <w:rPr>
          <w:rFonts w:hint="eastAsia" w:ascii="仿宋" w:hAnsi="仿宋" w:eastAsia="仿宋"/>
          <w:color w:val="auto"/>
          <w:sz w:val="32"/>
          <w:szCs w:val="24"/>
          <w:highlight w:val="white"/>
          <w:lang w:val="en-US"/>
        </w:rPr>
        <w:t>上级补助收入0万元，占0%；事业收入0万元，占0%</w:t>
      </w:r>
      <w:r>
        <w:rPr>
          <w:rFonts w:hint="eastAsia" w:ascii="仿宋" w:hAnsi="仿宋" w:eastAsia="仿宋"/>
          <w:color w:val="auto"/>
          <w:sz w:val="32"/>
          <w:szCs w:val="24"/>
          <w:highlight w:val="white"/>
          <w:lang w:val="en-US" w:eastAsia="zh-CN"/>
        </w:rPr>
        <w:t>；</w:t>
      </w:r>
      <w:r>
        <w:rPr>
          <w:rFonts w:hint="eastAsia" w:ascii="仿宋" w:hAnsi="仿宋" w:eastAsia="仿宋"/>
          <w:color w:val="auto"/>
          <w:sz w:val="32"/>
          <w:szCs w:val="24"/>
          <w:highlight w:val="white"/>
          <w:lang w:val="en-US"/>
        </w:rPr>
        <w:t>经营收入0万元，占0%；附属单位上缴收入0万元，占0%；其他收入4628.74万元，占9.07%。</w:t>
      </w:r>
    </w:p>
    <w:p w14:paraId="4E7679C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三、支出决算情况说明</w:t>
      </w:r>
      <w:r>
        <w:rPr>
          <w:rFonts w:hint="eastAsia" w:hAnsi="黑体" w:cs="黑体"/>
          <w:b w:val="0"/>
          <w:bCs/>
          <w:sz w:val="32"/>
          <w:szCs w:val="32"/>
          <w:lang w:val="en-US" w:eastAsia="zh-CN"/>
        </w:rPr>
        <w:tab/>
      </w:r>
    </w:p>
    <w:p w14:paraId="15A59FF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 w:hAnsi="仿宋" w:eastAsia="仿宋"/>
          <w:color w:val="auto"/>
          <w:sz w:val="32"/>
          <w:szCs w:val="24"/>
          <w:highlight w:val="white"/>
          <w:lang w:val="en-US"/>
        </w:rPr>
        <w:t>50918.57</w:t>
      </w:r>
      <w:r>
        <w:rPr>
          <w:rFonts w:hint="eastAsia" w:ascii="仿宋_GB2312" w:hAnsi="仿宋_GB2312" w:eastAsia="仿宋_GB2312" w:cs="仿宋_GB2312"/>
          <w:sz w:val="32"/>
          <w:szCs w:val="32"/>
        </w:rPr>
        <w:t>万元，其中：</w:t>
      </w:r>
      <w:r>
        <w:rPr>
          <w:rFonts w:hint="eastAsia" w:ascii="仿宋" w:hAnsi="仿宋" w:eastAsia="仿宋"/>
          <w:color w:val="auto"/>
          <w:sz w:val="32"/>
          <w:szCs w:val="24"/>
          <w:highlight w:val="white"/>
          <w:lang w:val="en-US"/>
        </w:rPr>
        <w:t>基本支出8907.17万元，占17.49%；项目支出42011.4万元，占82.51%；上缴上级支出0万元，占0%；经营支出0万元，占0%；对附属单位补助支出0万元，占0%。</w:t>
      </w:r>
    </w:p>
    <w:p w14:paraId="688B76B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588BFBE2">
      <w:pPr>
        <w:pStyle w:val="13"/>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 w:hAnsi="仿宋" w:eastAsia="仿宋"/>
          <w:color w:val="auto"/>
          <w:sz w:val="32"/>
          <w:szCs w:val="24"/>
          <w:highlight w:val="white"/>
          <w:lang w:val="en-US"/>
        </w:rPr>
        <w:t>46421.46</w:t>
      </w:r>
      <w:r>
        <w:rPr>
          <w:rFonts w:hint="eastAsia" w:ascii="仿宋_GB2312" w:hAnsi="仿宋_GB2312" w:eastAsia="仿宋_GB2312" w:cs="仿宋_GB2312"/>
          <w:sz w:val="32"/>
          <w:szCs w:val="32"/>
        </w:rPr>
        <w:t>万元，与上年相比，</w:t>
      </w:r>
      <w:r>
        <w:rPr>
          <w:rFonts w:hint="eastAsia" w:ascii="仿宋" w:hAnsi="仿宋" w:eastAsia="仿宋"/>
          <w:color w:val="auto"/>
          <w:sz w:val="32"/>
          <w:szCs w:val="24"/>
          <w:highlight w:val="white"/>
          <w:lang w:val="en-US"/>
        </w:rPr>
        <w:t>减少1927.56</w:t>
      </w:r>
      <w:r>
        <w:rPr>
          <w:rFonts w:hint="eastAsia" w:ascii="仿宋_GB2312" w:hAnsi="仿宋_GB2312" w:eastAsia="仿宋_GB2312" w:cs="仿宋_GB2312"/>
          <w:sz w:val="32"/>
          <w:szCs w:val="32"/>
        </w:rPr>
        <w:t>万元,减少</w:t>
      </w:r>
      <w:r>
        <w:rPr>
          <w:rFonts w:hint="eastAsia" w:ascii="仿宋" w:hAnsi="仿宋" w:eastAsia="仿宋"/>
          <w:color w:val="auto"/>
          <w:sz w:val="32"/>
          <w:szCs w:val="24"/>
          <w:highlight w:val="white"/>
          <w:lang w:val="en-US"/>
        </w:rPr>
        <w:t>3.99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一般公共预算安排的节能环保支出减少</w:t>
      </w:r>
      <w:r>
        <w:rPr>
          <w:rFonts w:hint="eastAsia" w:ascii="仿宋" w:hAnsi="仿宋" w:eastAsia="仿宋"/>
          <w:color w:val="auto"/>
          <w:sz w:val="32"/>
          <w:szCs w:val="24"/>
          <w:highlight w:val="white"/>
          <w:lang w:val="zh-CN"/>
        </w:rPr>
        <w:t>。</w:t>
      </w:r>
    </w:p>
    <w:p w14:paraId="5255859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3A011FE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0D754D54">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hAnsi="仿宋_GB2312" w:eastAsia="仿宋_GB2312" w:cs="仿宋_GB2312"/>
          <w:i/>
          <w:iCs/>
          <w:color w:val="FF0000"/>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 w:hAnsi="仿宋" w:eastAsia="仿宋"/>
          <w:color w:val="auto"/>
          <w:sz w:val="32"/>
          <w:szCs w:val="24"/>
          <w:highlight w:val="white"/>
          <w:lang w:val="en-US"/>
        </w:rPr>
        <w:t>23888.66</w:t>
      </w:r>
      <w:r>
        <w:rPr>
          <w:rFonts w:hint="eastAsia" w:ascii="仿宋_GB2312" w:hAnsi="仿宋_GB2312" w:eastAsia="仿宋_GB2312" w:cs="仿宋_GB2312"/>
          <w:sz w:val="32"/>
          <w:szCs w:val="32"/>
        </w:rPr>
        <w:t>万元，占本年支出合计的</w:t>
      </w:r>
      <w:r>
        <w:rPr>
          <w:rFonts w:hint="eastAsia" w:ascii="仿宋" w:hAnsi="仿宋" w:eastAsia="仿宋"/>
          <w:color w:val="auto"/>
          <w:sz w:val="32"/>
          <w:szCs w:val="24"/>
          <w:highlight w:val="white"/>
          <w:lang w:val="en-US"/>
        </w:rPr>
        <w:t>46.92</w:t>
      </w:r>
      <w:r>
        <w:rPr>
          <w:rFonts w:hint="eastAsia" w:ascii="仿宋_GB2312" w:hAnsi="仿宋_GB2312" w:eastAsia="仿宋_GB2312" w:cs="仿宋_GB2312"/>
          <w:sz w:val="32"/>
          <w:szCs w:val="32"/>
        </w:rPr>
        <w:t>%，与上年相比，财政拨款支出</w:t>
      </w:r>
      <w:r>
        <w:rPr>
          <w:rFonts w:hint="eastAsia" w:ascii="仿宋" w:hAnsi="仿宋" w:eastAsia="仿宋"/>
          <w:color w:val="auto"/>
          <w:sz w:val="32"/>
          <w:szCs w:val="24"/>
          <w:highlight w:val="white"/>
          <w:lang w:val="en-US"/>
        </w:rPr>
        <w:t>减少19537.64</w:t>
      </w:r>
      <w:r>
        <w:rPr>
          <w:rFonts w:hint="eastAsia" w:ascii="仿宋_GB2312" w:hAnsi="仿宋_GB2312" w:eastAsia="仿宋_GB2312" w:cs="仿宋_GB2312"/>
          <w:sz w:val="32"/>
          <w:szCs w:val="32"/>
        </w:rPr>
        <w:t>万元，减少</w:t>
      </w:r>
      <w:r>
        <w:rPr>
          <w:rFonts w:hint="eastAsia" w:ascii="仿宋" w:hAnsi="仿宋" w:eastAsia="仿宋"/>
          <w:color w:val="auto"/>
          <w:sz w:val="32"/>
          <w:szCs w:val="24"/>
          <w:highlight w:val="white"/>
          <w:lang w:val="en-US"/>
        </w:rPr>
        <w:t>44.99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节能环保支出减少。</w:t>
      </w:r>
    </w:p>
    <w:p w14:paraId="0602BEE2">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71A8EF37">
      <w:pPr>
        <w:keepNext/>
        <w:keepLine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 w:hAnsi="仿宋" w:eastAsia="仿宋"/>
          <w:color w:val="000000"/>
          <w:kern w:val="0"/>
          <w:sz w:val="32"/>
          <w:szCs w:val="24"/>
          <w:highlight w:val="white"/>
          <w:lang w:val="en-US"/>
        </w:rPr>
        <w:t>23888.66</w:t>
      </w:r>
      <w:r>
        <w:rPr>
          <w:rFonts w:hint="eastAsia" w:ascii="仿宋_GB2312" w:hAnsi="仿宋_GB2312" w:eastAsia="仿宋_GB2312" w:cs="仿宋_GB2312"/>
          <w:sz w:val="32"/>
          <w:szCs w:val="32"/>
        </w:rPr>
        <w:t>万元，主要用于以下方面：</w:t>
      </w:r>
      <w:r>
        <w:rPr>
          <w:rFonts w:hint="eastAsia" w:ascii="仿宋_GB2312" w:hAnsi="仿宋_GB2312" w:eastAsia="仿宋_GB2312" w:cs="仿宋_GB2312"/>
          <w:kern w:val="2"/>
          <w:sz w:val="32"/>
          <w:szCs w:val="32"/>
          <w:lang w:val="en-US" w:eastAsia="zh-CN" w:bidi="ar-SA"/>
        </w:rPr>
        <w:t>一般公共服务（类）支出161.92万元，占0.68%；科学技术（类）支出1.89万元，占0.01%；文化旅游体育与传媒（类）支出106.77万元，占0.45%；社会保障和就业（类）支出1056.61万元，占4.42%；卫生健康（类）支出113.61万元，占0.48%；节能环保（类）支出3900.92万元，占16.33%；城乡社区（类）支出7995.64万元，占33.46%；资源勘探工业信息等（类）支出5091.64万元，占21.31%；商业服务业等（类）支出4.99万元，占0.02%；住房保障（类）支出5121.17万元，占21.44%；其他（类）支出333.5万元，占1.4%。</w:t>
      </w:r>
    </w:p>
    <w:p w14:paraId="0C89753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2ECD33DF">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color w:val="auto"/>
          <w:sz w:val="32"/>
          <w:szCs w:val="32"/>
          <w:lang w:val="en-US" w:eastAsia="zh-CN"/>
        </w:rPr>
        <w:t>8231.92</w:t>
      </w:r>
      <w:r>
        <w:rPr>
          <w:rFonts w:hint="eastAsia" w:ascii="仿宋_GB2312" w:hAnsi="仿宋_GB2312" w:eastAsia="仿宋_GB2312" w:cs="仿宋_GB2312"/>
          <w:sz w:val="32"/>
          <w:szCs w:val="32"/>
        </w:rPr>
        <w:t>万元，支出决算数为</w:t>
      </w:r>
      <w:r>
        <w:rPr>
          <w:rFonts w:hint="eastAsia" w:ascii="仿宋" w:hAnsi="仿宋" w:eastAsia="仿宋"/>
          <w:color w:val="000000"/>
          <w:sz w:val="32"/>
          <w:szCs w:val="24"/>
          <w:highlight w:val="white"/>
          <w:lang w:val="zh-CN"/>
        </w:rPr>
        <w:t>23888.66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290.2</w:t>
      </w:r>
      <w:r>
        <w:rPr>
          <w:rFonts w:hint="eastAsia" w:ascii="仿宋_GB2312" w:hAnsi="仿宋_GB2312" w:eastAsia="仿宋_GB2312" w:cs="仿宋_GB2312"/>
          <w:sz w:val="32"/>
          <w:szCs w:val="32"/>
        </w:rPr>
        <w:t>%，其中：</w:t>
      </w:r>
    </w:p>
    <w:p w14:paraId="478D772A">
      <w:pPr>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w:t>
      </w:r>
      <w:r>
        <w:rPr>
          <w:rFonts w:hint="eastAsia" w:ascii="仿宋_GB2312" w:hAnsi="仿宋_GB2312" w:eastAsia="仿宋_GB2312" w:cs="仿宋_GB2312"/>
          <w:color w:val="000000"/>
          <w:kern w:val="0"/>
          <w:sz w:val="32"/>
          <w:szCs w:val="32"/>
          <w:lang w:val="zh-CN" w:eastAsia="zh-CN" w:bidi="ar-SA"/>
        </w:rPr>
        <w:t>一般公共服务支出（类）政府办公厅（室）及相关机构事务（款）其他政府办公厅（室）及相关机构事务支出（项）。</w:t>
      </w:r>
      <w:r>
        <w:rPr>
          <w:rFonts w:hint="eastAsia" w:ascii="仿宋_GB2312" w:hAnsi="仿宋_GB2312" w:eastAsia="仿宋_GB2312" w:cs="仿宋_GB2312"/>
          <w:color w:val="000000"/>
          <w:kern w:val="0"/>
          <w:sz w:val="32"/>
          <w:szCs w:val="32"/>
          <w:lang w:val="en-US" w:eastAsia="zh-CN" w:bidi="ar-SA"/>
        </w:rPr>
        <w:t xml:space="preserve">  </w:t>
      </w:r>
    </w:p>
    <w:p w14:paraId="54FAF5D0">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年初预算为0万元，支出决算为149.92万元，决算数大于年初预算数的主要原因是：追加安排使用施工图审查服务费服务外包专项资金。</w:t>
      </w:r>
    </w:p>
    <w:p w14:paraId="44EED0F7">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2.</w:t>
      </w:r>
      <w:r>
        <w:rPr>
          <w:rFonts w:hint="eastAsia" w:ascii="仿宋_GB2312" w:hAnsi="仿宋_GB2312" w:eastAsia="仿宋_GB2312" w:cs="仿宋_GB2312"/>
          <w:color w:val="000000"/>
          <w:kern w:val="0"/>
          <w:sz w:val="32"/>
          <w:szCs w:val="32"/>
          <w:lang w:val="zh-CN" w:eastAsia="zh-CN" w:bidi="ar-SA"/>
        </w:rPr>
        <w:t>一般公共服务支出（类）其他一般公共服务支出（款）其他一般公共服务支出（项）。</w:t>
      </w:r>
    </w:p>
    <w:p w14:paraId="1DFB5A2F">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年初预算为0万元，支出决算为12万元，决算数大于年初预算数的主要原因是：追加安排使用档案库房消防设施维修改造公共服务设施管理专项资金。</w:t>
      </w:r>
    </w:p>
    <w:p w14:paraId="0FE546C8">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3.</w:t>
      </w:r>
      <w:r>
        <w:rPr>
          <w:rFonts w:hint="eastAsia" w:ascii="仿宋_GB2312" w:hAnsi="仿宋_GB2312" w:eastAsia="仿宋_GB2312" w:cs="仿宋_GB2312"/>
          <w:color w:val="000000"/>
          <w:kern w:val="0"/>
          <w:sz w:val="32"/>
          <w:szCs w:val="32"/>
          <w:lang w:val="zh-CN" w:eastAsia="zh-CN" w:bidi="ar-SA"/>
        </w:rPr>
        <w:t>科学技术支出（类）其他科学技术支出（款）其他科学技术支出（项）。</w:t>
      </w:r>
    </w:p>
    <w:p w14:paraId="55A800D7">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年初预算为0万元，支出决算为1.89万元，决算数大于年初预算数的主要原因是：追加安排使用人才发展和科技创新资金。</w:t>
      </w:r>
    </w:p>
    <w:p w14:paraId="20433C66">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4.</w:t>
      </w:r>
      <w:r>
        <w:rPr>
          <w:rFonts w:hint="eastAsia" w:ascii="仿宋_GB2312" w:hAnsi="仿宋_GB2312" w:eastAsia="仿宋_GB2312" w:cs="仿宋_GB2312"/>
          <w:color w:val="000000"/>
          <w:kern w:val="0"/>
          <w:sz w:val="32"/>
          <w:szCs w:val="32"/>
          <w:lang w:val="zh-CN" w:eastAsia="zh-CN" w:bidi="ar-SA"/>
        </w:rPr>
        <w:t>文化旅游体育与传媒支出（类）文化和旅游（款）其他文化和旅游支出（项）。</w:t>
      </w:r>
    </w:p>
    <w:p w14:paraId="38EBF05F">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年初预算为0万元，支出决算为106.77万元，决算数大于年初预算数的主要原因是：追加安排使用历史文化名城保护专项经费。</w:t>
      </w:r>
    </w:p>
    <w:p w14:paraId="2D56E0AE">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5.</w:t>
      </w:r>
      <w:r>
        <w:rPr>
          <w:rFonts w:hint="eastAsia" w:ascii="仿宋_GB2312" w:hAnsi="仿宋_GB2312" w:eastAsia="仿宋_GB2312" w:cs="仿宋_GB2312"/>
          <w:color w:val="000000"/>
          <w:kern w:val="0"/>
          <w:sz w:val="32"/>
          <w:szCs w:val="32"/>
          <w:lang w:val="zh-CN" w:eastAsia="zh-CN" w:bidi="ar-SA"/>
        </w:rPr>
        <w:t>社会保障和就业支出（类）行政事业单位养老支出（款）行政单位离退休（项）。</w:t>
      </w:r>
    </w:p>
    <w:p w14:paraId="59FB0552">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309.06</w:t>
      </w:r>
      <w:r>
        <w:rPr>
          <w:rFonts w:hint="eastAsia" w:ascii="仿宋_GB2312" w:hAnsi="仿宋_GB2312" w:eastAsia="仿宋_GB2312" w:cs="仿宋_GB2312"/>
          <w:color w:val="000000"/>
          <w:kern w:val="0"/>
          <w:sz w:val="32"/>
          <w:szCs w:val="32"/>
          <w:lang w:val="zh-CN" w:eastAsia="zh-CN" w:bidi="ar-SA"/>
        </w:rPr>
        <w:t>万元，支出决算为305.33万元，</w:t>
      </w:r>
      <w:r>
        <w:rPr>
          <w:rFonts w:hint="eastAsia" w:ascii="仿宋_GB2312" w:hAnsi="仿宋_GB2312" w:eastAsia="仿宋_GB2312" w:cs="仿宋_GB2312"/>
          <w:color w:val="000000"/>
          <w:kern w:val="0"/>
          <w:sz w:val="32"/>
          <w:szCs w:val="32"/>
          <w:lang w:val="en-US" w:eastAsia="zh-CN" w:bidi="ar-SA"/>
        </w:rPr>
        <w:t>完成年初预算的98.79%，决算数小于年初预算数的</w:t>
      </w:r>
      <w:r>
        <w:rPr>
          <w:rFonts w:hint="eastAsia" w:ascii="仿宋_GB2312" w:hAnsi="仿宋_GB2312" w:eastAsia="仿宋_GB2312" w:cs="仿宋_GB2312"/>
          <w:color w:val="000000"/>
          <w:kern w:val="0"/>
          <w:sz w:val="32"/>
          <w:szCs w:val="32"/>
          <w:lang w:val="zh-CN" w:eastAsia="zh-CN" w:bidi="ar-SA"/>
        </w:rPr>
        <w:t>主要原因是：因人员变动减少退休人员中餐补助、物业补贴支出。</w:t>
      </w:r>
    </w:p>
    <w:p w14:paraId="31610CDB">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6.</w:t>
      </w:r>
      <w:r>
        <w:rPr>
          <w:rFonts w:hint="eastAsia" w:ascii="仿宋_GB2312" w:hAnsi="仿宋_GB2312" w:eastAsia="仿宋_GB2312" w:cs="仿宋_GB2312"/>
          <w:color w:val="000000"/>
          <w:kern w:val="0"/>
          <w:sz w:val="32"/>
          <w:szCs w:val="32"/>
          <w:lang w:val="zh-CN" w:eastAsia="zh-CN" w:bidi="ar-SA"/>
        </w:rPr>
        <w:t>社会保障和就业支出（类）行政事业单位养老支出（款）机关事业单位基本养老保险缴费支出（项）。</w:t>
      </w:r>
    </w:p>
    <w:p w14:paraId="5A9D069B">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662.85</w:t>
      </w:r>
      <w:r>
        <w:rPr>
          <w:rFonts w:hint="eastAsia" w:ascii="仿宋_GB2312" w:hAnsi="仿宋_GB2312" w:eastAsia="仿宋_GB2312" w:cs="仿宋_GB2312"/>
          <w:color w:val="000000"/>
          <w:kern w:val="0"/>
          <w:sz w:val="32"/>
          <w:szCs w:val="32"/>
          <w:lang w:val="zh-CN" w:eastAsia="zh-CN" w:bidi="ar-SA"/>
        </w:rPr>
        <w:t>万元，支出决算为655.17万元，</w:t>
      </w:r>
      <w:r>
        <w:rPr>
          <w:rFonts w:hint="eastAsia" w:ascii="仿宋_GB2312" w:hAnsi="仿宋_GB2312" w:eastAsia="仿宋_GB2312" w:cs="仿宋_GB2312"/>
          <w:color w:val="000000"/>
          <w:kern w:val="0"/>
          <w:sz w:val="32"/>
          <w:szCs w:val="32"/>
          <w:lang w:val="en-US" w:eastAsia="zh-CN" w:bidi="ar-SA"/>
        </w:rPr>
        <w:t>完成年初预算的98.84%，决算数小于年初预算数的</w:t>
      </w:r>
      <w:r>
        <w:rPr>
          <w:rFonts w:hint="eastAsia" w:ascii="仿宋_GB2312" w:hAnsi="仿宋_GB2312" w:eastAsia="仿宋_GB2312" w:cs="仿宋_GB2312"/>
          <w:color w:val="000000"/>
          <w:kern w:val="0"/>
          <w:sz w:val="32"/>
          <w:szCs w:val="32"/>
          <w:lang w:val="zh-CN" w:eastAsia="zh-CN" w:bidi="ar-SA"/>
        </w:rPr>
        <w:t>主要原因是：因人员变动减少单位基本养老保险缴费支出。</w:t>
      </w:r>
    </w:p>
    <w:p w14:paraId="55489D8F">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7.</w:t>
      </w:r>
      <w:r>
        <w:rPr>
          <w:rFonts w:hint="eastAsia" w:ascii="仿宋_GB2312" w:hAnsi="仿宋_GB2312" w:eastAsia="仿宋_GB2312" w:cs="仿宋_GB2312"/>
          <w:color w:val="000000"/>
          <w:kern w:val="0"/>
          <w:sz w:val="32"/>
          <w:szCs w:val="32"/>
          <w:lang w:val="zh-CN" w:eastAsia="zh-CN" w:bidi="ar-SA"/>
        </w:rPr>
        <w:t>社会保障和就业支出（类）行政事业单位养老支出（款）其他行政事业单位养老支出（项）。</w:t>
      </w:r>
    </w:p>
    <w:p w14:paraId="609DE763">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年初预算为0万元，支出决算为0.14万元，决算数大于预算数的主要原因是：追加安排市直企业离休干部2024年度考核绩效奖励经费。</w:t>
      </w:r>
    </w:p>
    <w:p w14:paraId="02C52CA9">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8.</w:t>
      </w:r>
      <w:r>
        <w:rPr>
          <w:rFonts w:hint="eastAsia" w:ascii="仿宋_GB2312" w:hAnsi="仿宋_GB2312" w:eastAsia="仿宋_GB2312" w:cs="仿宋_GB2312"/>
          <w:color w:val="000000"/>
          <w:kern w:val="0"/>
          <w:sz w:val="32"/>
          <w:szCs w:val="32"/>
          <w:lang w:val="zh-CN" w:eastAsia="zh-CN" w:bidi="ar-SA"/>
        </w:rPr>
        <w:t>社会保障和就业支出（类）抚恤（款）其他优抚支出（项）。</w:t>
      </w:r>
    </w:p>
    <w:p w14:paraId="08897163">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年初预算为0万元，支出决算为11.4万元，决算数大于预算数的主要原因是：</w:t>
      </w:r>
      <w:r>
        <w:rPr>
          <w:rFonts w:hint="eastAsia" w:ascii="仿宋_GB2312" w:hAnsi="仿宋_GB2312" w:eastAsia="仿宋_GB2312" w:cs="仿宋_GB2312"/>
          <w:color w:val="000000"/>
          <w:kern w:val="0"/>
          <w:sz w:val="32"/>
          <w:szCs w:val="32"/>
          <w:lang w:val="en-US" w:eastAsia="zh-CN" w:bidi="ar-SA"/>
        </w:rPr>
        <w:t>追加安排一次性抚恤及遗属费。</w:t>
      </w:r>
    </w:p>
    <w:p w14:paraId="19D78746">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9.</w:t>
      </w:r>
      <w:r>
        <w:rPr>
          <w:rFonts w:hint="eastAsia" w:ascii="仿宋_GB2312" w:hAnsi="仿宋_GB2312" w:eastAsia="仿宋_GB2312" w:cs="仿宋_GB2312"/>
          <w:color w:val="000000"/>
          <w:kern w:val="0"/>
          <w:sz w:val="32"/>
          <w:szCs w:val="32"/>
          <w:lang w:val="zh-CN" w:eastAsia="zh-CN" w:bidi="ar-SA"/>
        </w:rPr>
        <w:t>社会保障和就业支出（类）退役安置（款）军队转业干部安置（项）。</w:t>
      </w:r>
    </w:p>
    <w:p w14:paraId="1EC42A7B">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年初预算为0万元，支出决算为4.05万元，决算数大于预算数的主要原因是：追加安排困难企业军转干部帮扶解困资金。</w:t>
      </w:r>
    </w:p>
    <w:p w14:paraId="204A1D92">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10.</w:t>
      </w:r>
      <w:r>
        <w:rPr>
          <w:rFonts w:hint="eastAsia" w:ascii="仿宋_GB2312" w:hAnsi="仿宋_GB2312" w:eastAsia="仿宋_GB2312" w:cs="仿宋_GB2312"/>
          <w:color w:val="000000"/>
          <w:kern w:val="0"/>
          <w:sz w:val="32"/>
          <w:szCs w:val="32"/>
          <w:lang w:val="zh-CN" w:eastAsia="zh-CN" w:bidi="ar-SA"/>
        </w:rPr>
        <w:t>社会保障和就业支出（类）退役安置（款）其他退役安置支出（项）。</w:t>
      </w:r>
    </w:p>
    <w:p w14:paraId="7B0448B4">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年初预算为0万元，支出决算为1.12万元，决算数大于预算数的主要原因是：追加安排困难企业军转干部帮扶解困资金。</w:t>
      </w:r>
    </w:p>
    <w:p w14:paraId="79973FDD">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11.</w:t>
      </w:r>
      <w:r>
        <w:rPr>
          <w:rFonts w:hint="eastAsia" w:ascii="仿宋_GB2312" w:hAnsi="仿宋_GB2312" w:eastAsia="仿宋_GB2312" w:cs="仿宋_GB2312"/>
          <w:color w:val="000000"/>
          <w:kern w:val="0"/>
          <w:sz w:val="32"/>
          <w:szCs w:val="32"/>
          <w:lang w:val="zh-CN" w:eastAsia="zh-CN" w:bidi="ar-SA"/>
        </w:rPr>
        <w:t>社会保障和就业支出（类）残疾人事业（款）其他残疾人事业支出（项）。</w:t>
      </w:r>
    </w:p>
    <w:p w14:paraId="20E809C7">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47.97</w:t>
      </w:r>
      <w:r>
        <w:rPr>
          <w:rFonts w:hint="eastAsia" w:ascii="仿宋_GB2312" w:hAnsi="仿宋_GB2312" w:eastAsia="仿宋_GB2312" w:cs="仿宋_GB2312"/>
          <w:color w:val="000000"/>
          <w:kern w:val="0"/>
          <w:sz w:val="32"/>
          <w:szCs w:val="32"/>
          <w:lang w:val="zh-CN" w:eastAsia="zh-CN" w:bidi="ar-SA"/>
        </w:rPr>
        <w:t>万元，支出决算为47.97万元，</w:t>
      </w:r>
      <w:r>
        <w:rPr>
          <w:rFonts w:hint="eastAsia" w:ascii="仿宋_GB2312" w:hAnsi="仿宋_GB2312" w:eastAsia="仿宋_GB2312" w:cs="仿宋_GB2312"/>
          <w:color w:val="000000"/>
          <w:kern w:val="0"/>
          <w:sz w:val="32"/>
          <w:szCs w:val="32"/>
          <w:lang w:val="en-US" w:eastAsia="zh-CN" w:bidi="ar-SA"/>
        </w:rPr>
        <w:t>完成年初预算的100%，决算数等于年初预算数的主要原因是：严格按照年初预算安排残保金支出。</w:t>
      </w:r>
    </w:p>
    <w:p w14:paraId="2CFFC894">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12.</w:t>
      </w:r>
      <w:r>
        <w:rPr>
          <w:rFonts w:hint="eastAsia" w:ascii="仿宋_GB2312" w:hAnsi="仿宋_GB2312" w:eastAsia="仿宋_GB2312" w:cs="仿宋_GB2312"/>
          <w:color w:val="000000"/>
          <w:kern w:val="0"/>
          <w:sz w:val="32"/>
          <w:szCs w:val="32"/>
          <w:lang w:val="zh-CN" w:eastAsia="zh-CN" w:bidi="ar-SA"/>
        </w:rPr>
        <w:t>社会保障和就业支出（类）其他社会保障和就业支出（款）其他社会保障和就业支出（项）。</w:t>
      </w:r>
    </w:p>
    <w:p w14:paraId="22C19F3C">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28.10</w:t>
      </w:r>
      <w:r>
        <w:rPr>
          <w:rFonts w:hint="eastAsia" w:ascii="仿宋_GB2312" w:hAnsi="仿宋_GB2312" w:eastAsia="仿宋_GB2312" w:cs="仿宋_GB2312"/>
          <w:color w:val="000000"/>
          <w:kern w:val="0"/>
          <w:sz w:val="32"/>
          <w:szCs w:val="32"/>
          <w:lang w:val="zh-CN" w:eastAsia="zh-CN" w:bidi="ar-SA"/>
        </w:rPr>
        <w:t>万元，支出决算为31.44万元，完成年初预算的</w:t>
      </w:r>
      <w:r>
        <w:rPr>
          <w:rFonts w:hint="eastAsia" w:ascii="仿宋_GB2312" w:hAnsi="仿宋_GB2312" w:eastAsia="仿宋_GB2312" w:cs="仿宋_GB2312"/>
          <w:color w:val="000000"/>
          <w:kern w:val="0"/>
          <w:sz w:val="32"/>
          <w:szCs w:val="32"/>
          <w:lang w:val="en-US" w:eastAsia="zh-CN" w:bidi="ar-SA"/>
        </w:rPr>
        <w:t>111.89%，决算数大于年初预算数的主要原因是：追加安排机关事业单位养老保险收支缺口。</w:t>
      </w:r>
    </w:p>
    <w:p w14:paraId="14F7FF87">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13.卫生健康支出（类）行政事业单位医疗（款）行政单位医疗（项）。</w:t>
      </w:r>
    </w:p>
    <w:p w14:paraId="7E35E80E">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43.32</w:t>
      </w:r>
      <w:r>
        <w:rPr>
          <w:rFonts w:hint="eastAsia" w:ascii="仿宋_GB2312" w:hAnsi="仿宋_GB2312" w:eastAsia="仿宋_GB2312" w:cs="仿宋_GB2312"/>
          <w:color w:val="000000"/>
          <w:kern w:val="0"/>
          <w:sz w:val="32"/>
          <w:szCs w:val="32"/>
          <w:lang w:val="zh-CN" w:eastAsia="zh-CN" w:bidi="ar-SA"/>
        </w:rPr>
        <w:t>万元，支出决算为43.32万元，完成年初预算的</w:t>
      </w:r>
      <w:r>
        <w:rPr>
          <w:rFonts w:hint="eastAsia" w:ascii="仿宋_GB2312" w:hAnsi="仿宋_GB2312" w:eastAsia="仿宋_GB2312" w:cs="仿宋_GB2312"/>
          <w:color w:val="000000"/>
          <w:kern w:val="0"/>
          <w:sz w:val="32"/>
          <w:szCs w:val="32"/>
          <w:lang w:val="en-US" w:eastAsia="zh-CN" w:bidi="ar-SA"/>
        </w:rPr>
        <w:t>100%，决算数等于年初预算数的</w:t>
      </w:r>
      <w:r>
        <w:rPr>
          <w:rFonts w:hint="eastAsia" w:ascii="仿宋_GB2312" w:hAnsi="仿宋_GB2312" w:eastAsia="仿宋_GB2312" w:cs="仿宋_GB2312"/>
          <w:color w:val="000000"/>
          <w:kern w:val="0"/>
          <w:sz w:val="32"/>
          <w:szCs w:val="32"/>
          <w:lang w:val="zh-CN" w:eastAsia="zh-CN" w:bidi="ar-SA"/>
        </w:rPr>
        <w:t>主要原因是：</w:t>
      </w:r>
      <w:r>
        <w:rPr>
          <w:rFonts w:hint="eastAsia" w:ascii="仿宋_GB2312" w:hAnsi="仿宋_GB2312" w:eastAsia="仿宋_GB2312" w:cs="仿宋_GB2312"/>
          <w:color w:val="000000"/>
          <w:kern w:val="0"/>
          <w:sz w:val="32"/>
          <w:szCs w:val="32"/>
          <w:lang w:val="en-US" w:eastAsia="zh-CN" w:bidi="ar-SA"/>
        </w:rPr>
        <w:t>严格按照年初预算安排行政单位医疗保险支出。</w:t>
      </w:r>
    </w:p>
    <w:p w14:paraId="14CB7788">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14.卫生健康支出（类）行政事业单位医疗（款）事业单位医疗（项）。</w:t>
      </w:r>
    </w:p>
    <w:p w14:paraId="4C3A2F68">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70.29</w:t>
      </w:r>
      <w:r>
        <w:rPr>
          <w:rFonts w:hint="eastAsia" w:ascii="仿宋_GB2312" w:hAnsi="仿宋_GB2312" w:eastAsia="仿宋_GB2312" w:cs="仿宋_GB2312"/>
          <w:color w:val="000000"/>
          <w:kern w:val="0"/>
          <w:sz w:val="32"/>
          <w:szCs w:val="32"/>
          <w:lang w:val="zh-CN" w:eastAsia="zh-CN" w:bidi="ar-SA"/>
        </w:rPr>
        <w:t>万元，支出决算为70.29万元，完成年初预算的</w:t>
      </w:r>
      <w:r>
        <w:rPr>
          <w:rFonts w:hint="eastAsia" w:ascii="仿宋_GB2312" w:hAnsi="仿宋_GB2312" w:eastAsia="仿宋_GB2312" w:cs="仿宋_GB2312"/>
          <w:color w:val="000000"/>
          <w:kern w:val="0"/>
          <w:sz w:val="32"/>
          <w:szCs w:val="32"/>
          <w:lang w:val="en-US" w:eastAsia="zh-CN" w:bidi="ar-SA"/>
        </w:rPr>
        <w:t>100%，决算数等于年初预算数的</w:t>
      </w:r>
      <w:r>
        <w:rPr>
          <w:rFonts w:hint="eastAsia" w:ascii="仿宋_GB2312" w:hAnsi="仿宋_GB2312" w:eastAsia="仿宋_GB2312" w:cs="仿宋_GB2312"/>
          <w:color w:val="000000"/>
          <w:kern w:val="0"/>
          <w:sz w:val="32"/>
          <w:szCs w:val="32"/>
          <w:lang w:val="zh-CN" w:eastAsia="zh-CN" w:bidi="ar-SA"/>
        </w:rPr>
        <w:t>主要原因是：</w:t>
      </w:r>
      <w:r>
        <w:rPr>
          <w:rFonts w:hint="eastAsia" w:ascii="仿宋_GB2312" w:hAnsi="仿宋_GB2312" w:eastAsia="仿宋_GB2312" w:cs="仿宋_GB2312"/>
          <w:color w:val="000000"/>
          <w:kern w:val="0"/>
          <w:sz w:val="32"/>
          <w:szCs w:val="32"/>
          <w:lang w:val="en-US" w:eastAsia="zh-CN" w:bidi="ar-SA"/>
        </w:rPr>
        <w:t>严格按照年初预算安排事业单位医疗保险支出。</w:t>
      </w:r>
    </w:p>
    <w:p w14:paraId="6A202714">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15.节能环保支出（类）污染防治（款）水体（项）。</w:t>
      </w:r>
    </w:p>
    <w:p w14:paraId="3E651075">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年初预算为0万元，支出决算为3728.42万元，决算数大于年初预算数的主要原因是：追加安排使用中央城市管网及污水处理补助资金。</w:t>
      </w:r>
    </w:p>
    <w:p w14:paraId="4C02F4F6">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16.</w:t>
      </w:r>
      <w:r>
        <w:rPr>
          <w:rFonts w:hint="eastAsia" w:ascii="仿宋_GB2312" w:hAnsi="仿宋_GB2312" w:eastAsia="仿宋_GB2312" w:cs="仿宋_GB2312"/>
          <w:color w:val="000000"/>
          <w:kern w:val="0"/>
          <w:sz w:val="32"/>
          <w:szCs w:val="32"/>
          <w:lang w:val="zh-CN" w:eastAsia="zh-CN" w:bidi="ar-SA"/>
        </w:rPr>
        <w:t>节能环保支出（类）其他节能环保支出（款）其他节能环保支出（项）。</w:t>
      </w:r>
    </w:p>
    <w:p w14:paraId="160B0ACE">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年初预算为0万元，支出决算为172.5万元，决算数大于年初预算数的主要原因是：追加安排</w:t>
      </w:r>
      <w:r>
        <w:rPr>
          <w:rFonts w:hint="default" w:ascii="Times New Roman" w:hAnsi="Times New Roman" w:eastAsia="仿宋_GB2312" w:cs="仿宋_GB2312"/>
          <w:bCs/>
          <w:kern w:val="0"/>
          <w:sz w:val="32"/>
          <w:szCs w:val="32"/>
          <w:lang w:val="en-US" w:eastAsia="zh-CN" w:bidi="ar-SA"/>
        </w:rPr>
        <w:t>市绿色建筑产业发展服务中心</w:t>
      </w:r>
      <w:r>
        <w:rPr>
          <w:rFonts w:hint="eastAsia" w:ascii="仿宋_GB2312" w:hAnsi="仿宋_GB2312" w:eastAsia="仿宋_GB2312" w:cs="仿宋_GB2312"/>
          <w:color w:val="000000"/>
          <w:kern w:val="0"/>
          <w:sz w:val="32"/>
          <w:szCs w:val="32"/>
          <w:lang w:val="zh-CN" w:eastAsia="zh-CN" w:bidi="ar-SA"/>
        </w:rPr>
        <w:t>使用2023年省级绿色建造、浅层地热能建筑规模化应用试点补助资金。</w:t>
      </w:r>
    </w:p>
    <w:p w14:paraId="2139756C">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17.</w:t>
      </w:r>
      <w:r>
        <w:rPr>
          <w:rFonts w:hint="eastAsia" w:ascii="仿宋_GB2312" w:hAnsi="仿宋_GB2312" w:eastAsia="仿宋_GB2312" w:cs="仿宋_GB2312"/>
          <w:color w:val="000000"/>
          <w:kern w:val="0"/>
          <w:sz w:val="32"/>
          <w:szCs w:val="32"/>
          <w:lang w:val="zh-CN" w:eastAsia="zh-CN" w:bidi="ar-SA"/>
        </w:rPr>
        <w:t>城乡社区支出（类）城乡社区管理事务（款）行政运行（项）。</w:t>
      </w:r>
    </w:p>
    <w:p w14:paraId="4E77E1B6">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年初预算为0万元，支出决算为791.44万元，决算数大于年初预算数的主要原因是：追加安排人员经费补差、年终一个月工资奖及2025年年终绩效奖励资金。</w:t>
      </w:r>
    </w:p>
    <w:p w14:paraId="47C6A889">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18.</w:t>
      </w:r>
      <w:r>
        <w:rPr>
          <w:rFonts w:hint="eastAsia" w:ascii="仿宋_GB2312" w:hAnsi="仿宋_GB2312" w:eastAsia="仿宋_GB2312" w:cs="仿宋_GB2312"/>
          <w:color w:val="000000"/>
          <w:kern w:val="0"/>
          <w:sz w:val="32"/>
          <w:szCs w:val="32"/>
          <w:lang w:val="zh-CN" w:eastAsia="zh-CN" w:bidi="ar-SA"/>
        </w:rPr>
        <w:t>城乡社区支出（类）城乡社区管理事务（款）其他城乡社区管理事务支出（项）。</w:t>
      </w:r>
    </w:p>
    <w:p w14:paraId="11AD9810">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1273.17</w:t>
      </w:r>
      <w:r>
        <w:rPr>
          <w:rFonts w:hint="eastAsia" w:ascii="仿宋_GB2312" w:hAnsi="仿宋_GB2312" w:eastAsia="仿宋_GB2312" w:cs="仿宋_GB2312"/>
          <w:color w:val="000000"/>
          <w:kern w:val="0"/>
          <w:sz w:val="32"/>
          <w:szCs w:val="32"/>
          <w:lang w:val="zh-CN" w:eastAsia="zh-CN" w:bidi="ar-SA"/>
        </w:rPr>
        <w:t>万元，支出决算为1303.39万元，完成年初预算的</w:t>
      </w:r>
      <w:r>
        <w:rPr>
          <w:rFonts w:hint="eastAsia" w:ascii="仿宋_GB2312" w:hAnsi="仿宋_GB2312" w:eastAsia="仿宋_GB2312" w:cs="仿宋_GB2312"/>
          <w:color w:val="000000"/>
          <w:kern w:val="0"/>
          <w:sz w:val="32"/>
          <w:szCs w:val="32"/>
          <w:lang w:val="en-US" w:eastAsia="zh-CN" w:bidi="ar-SA"/>
        </w:rPr>
        <w:t>102.37%，决算数大于年初预算数的</w:t>
      </w:r>
      <w:r>
        <w:rPr>
          <w:rFonts w:hint="eastAsia" w:ascii="仿宋_GB2312" w:hAnsi="仿宋_GB2312" w:eastAsia="仿宋_GB2312" w:cs="仿宋_GB2312"/>
          <w:color w:val="000000"/>
          <w:kern w:val="0"/>
          <w:sz w:val="32"/>
          <w:szCs w:val="32"/>
          <w:lang w:val="zh-CN" w:eastAsia="zh-CN" w:bidi="ar-SA"/>
        </w:rPr>
        <w:t>主要原因是：追加市住房保障服务中心工资补差及存量资金安排的经适房不动产权证经费等经费。</w:t>
      </w:r>
    </w:p>
    <w:p w14:paraId="6DE9E5D3">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19.</w:t>
      </w:r>
      <w:r>
        <w:rPr>
          <w:rFonts w:hint="eastAsia" w:ascii="仿宋_GB2312" w:hAnsi="仿宋_GB2312" w:eastAsia="仿宋_GB2312" w:cs="仿宋_GB2312"/>
          <w:color w:val="000000"/>
          <w:kern w:val="0"/>
          <w:sz w:val="32"/>
          <w:szCs w:val="32"/>
          <w:lang w:val="zh-CN" w:eastAsia="zh-CN" w:bidi="ar-SA"/>
        </w:rPr>
        <w:t>城乡社区支出（类）城乡社区规划与管理（款）城乡社区规划与管理（项）。</w:t>
      </w:r>
    </w:p>
    <w:p w14:paraId="15AE8B0A">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598.7</w:t>
      </w:r>
      <w:r>
        <w:rPr>
          <w:rFonts w:hint="eastAsia" w:ascii="仿宋_GB2312" w:hAnsi="仿宋_GB2312" w:eastAsia="仿宋_GB2312" w:cs="仿宋_GB2312"/>
          <w:color w:val="000000"/>
          <w:kern w:val="0"/>
          <w:sz w:val="32"/>
          <w:szCs w:val="32"/>
          <w:lang w:val="zh-CN" w:eastAsia="zh-CN" w:bidi="ar-SA"/>
        </w:rPr>
        <w:t>万元，支出决算为601.73万元，完成年初预算的</w:t>
      </w:r>
      <w:r>
        <w:rPr>
          <w:rFonts w:hint="eastAsia" w:ascii="仿宋_GB2312" w:hAnsi="仿宋_GB2312" w:eastAsia="仿宋_GB2312" w:cs="仿宋_GB2312"/>
          <w:color w:val="000000"/>
          <w:kern w:val="0"/>
          <w:sz w:val="32"/>
          <w:szCs w:val="32"/>
          <w:lang w:val="en-US" w:eastAsia="zh-CN" w:bidi="ar-SA"/>
        </w:rPr>
        <w:t>100.51%，决算数大于年初预算数的</w:t>
      </w:r>
      <w:r>
        <w:rPr>
          <w:rFonts w:hint="eastAsia" w:ascii="仿宋_GB2312" w:hAnsi="仿宋_GB2312" w:eastAsia="仿宋_GB2312" w:cs="仿宋_GB2312"/>
          <w:color w:val="000000"/>
          <w:kern w:val="0"/>
          <w:sz w:val="32"/>
          <w:szCs w:val="32"/>
          <w:lang w:val="zh-CN" w:eastAsia="zh-CN" w:bidi="ar-SA"/>
        </w:rPr>
        <w:t>主要原因是：追加安排使用2024年单位指标结余结转资金。</w:t>
      </w:r>
    </w:p>
    <w:p w14:paraId="4D12E023">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20.</w:t>
      </w:r>
      <w:r>
        <w:rPr>
          <w:rFonts w:hint="eastAsia" w:ascii="仿宋_GB2312" w:hAnsi="仿宋_GB2312" w:eastAsia="仿宋_GB2312" w:cs="仿宋_GB2312"/>
          <w:color w:val="000000"/>
          <w:kern w:val="0"/>
          <w:sz w:val="32"/>
          <w:szCs w:val="32"/>
          <w:lang w:val="zh-CN" w:eastAsia="zh-CN" w:bidi="ar-SA"/>
        </w:rPr>
        <w:t>城乡社区支出（类）城乡社区公共设施（款）其他城乡社区公共设施支出（项）。</w:t>
      </w:r>
    </w:p>
    <w:p w14:paraId="1A99B670">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年初预算为0万元，支出决算为330.15万元，</w:t>
      </w:r>
      <w:r>
        <w:rPr>
          <w:rFonts w:hint="eastAsia" w:ascii="仿宋_GB2312" w:hAnsi="仿宋_GB2312" w:eastAsia="仿宋_GB2312" w:cs="仿宋_GB2312"/>
          <w:color w:val="000000"/>
          <w:kern w:val="0"/>
          <w:sz w:val="32"/>
          <w:szCs w:val="32"/>
          <w:lang w:val="en-US" w:eastAsia="zh-CN" w:bidi="ar-SA"/>
        </w:rPr>
        <w:t>决算数大于年初预算数的</w:t>
      </w:r>
      <w:r>
        <w:rPr>
          <w:rFonts w:hint="eastAsia" w:ascii="仿宋_GB2312" w:hAnsi="仿宋_GB2312" w:eastAsia="仿宋_GB2312" w:cs="仿宋_GB2312"/>
          <w:color w:val="000000"/>
          <w:kern w:val="0"/>
          <w:sz w:val="32"/>
          <w:szCs w:val="32"/>
          <w:lang w:val="zh-CN" w:eastAsia="zh-CN" w:bidi="ar-SA"/>
        </w:rPr>
        <w:t>主要原因是：追加安排住房城乡建设引导专项资金及市污水处理中心污水处理费安排的支出。</w:t>
      </w:r>
    </w:p>
    <w:p w14:paraId="4B625BC8">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21.</w:t>
      </w:r>
      <w:r>
        <w:rPr>
          <w:rFonts w:hint="eastAsia" w:ascii="仿宋_GB2312" w:hAnsi="仿宋_GB2312" w:eastAsia="仿宋_GB2312" w:cs="仿宋_GB2312"/>
          <w:color w:val="000000"/>
          <w:kern w:val="0"/>
          <w:sz w:val="32"/>
          <w:szCs w:val="32"/>
          <w:lang w:val="zh-CN" w:eastAsia="zh-CN" w:bidi="ar-SA"/>
        </w:rPr>
        <w:t>城乡社区支出（类）其他城乡社区支出（款）其他城乡社区支出（项）。</w:t>
      </w:r>
    </w:p>
    <w:p w14:paraId="670D58F3">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0.8</w:t>
      </w:r>
      <w:r>
        <w:rPr>
          <w:rFonts w:hint="eastAsia" w:ascii="仿宋_GB2312" w:hAnsi="仿宋_GB2312" w:eastAsia="仿宋_GB2312" w:cs="仿宋_GB2312"/>
          <w:color w:val="000000"/>
          <w:kern w:val="0"/>
          <w:sz w:val="32"/>
          <w:szCs w:val="32"/>
          <w:lang w:val="zh-CN" w:eastAsia="zh-CN" w:bidi="ar-SA"/>
        </w:rPr>
        <w:t>万元，支出决算为4968.92万元，完成年初预算的</w:t>
      </w:r>
      <w:r>
        <w:rPr>
          <w:rFonts w:hint="eastAsia" w:ascii="仿宋_GB2312" w:hAnsi="仿宋_GB2312" w:eastAsia="仿宋_GB2312" w:cs="仿宋_GB2312"/>
          <w:color w:val="000000"/>
          <w:kern w:val="0"/>
          <w:sz w:val="32"/>
          <w:szCs w:val="32"/>
          <w:lang w:val="en-US" w:eastAsia="zh-CN" w:bidi="ar-SA"/>
        </w:rPr>
        <w:t>6211.15%，决算数大于年初预算数的</w:t>
      </w:r>
      <w:r>
        <w:rPr>
          <w:rFonts w:hint="eastAsia" w:ascii="仿宋_GB2312" w:hAnsi="仿宋_GB2312" w:eastAsia="仿宋_GB2312" w:cs="仿宋_GB2312"/>
          <w:color w:val="000000"/>
          <w:kern w:val="0"/>
          <w:sz w:val="32"/>
          <w:szCs w:val="32"/>
          <w:lang w:val="zh-CN" w:eastAsia="zh-CN" w:bidi="ar-SA"/>
        </w:rPr>
        <w:t>主要原因是：追加安排城乡建设事务中心城市地下管网及设施专项资金。</w:t>
      </w:r>
    </w:p>
    <w:p w14:paraId="69E82212">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22.</w:t>
      </w:r>
      <w:r>
        <w:rPr>
          <w:rFonts w:hint="eastAsia" w:ascii="仿宋_GB2312" w:hAnsi="仿宋_GB2312" w:eastAsia="仿宋_GB2312" w:cs="仿宋_GB2312"/>
          <w:color w:val="000000"/>
          <w:kern w:val="0"/>
          <w:sz w:val="32"/>
          <w:szCs w:val="32"/>
          <w:lang w:val="zh-CN" w:eastAsia="zh-CN" w:bidi="ar-SA"/>
        </w:rPr>
        <w:t>资源勘探工业信息等支出（类）制造业（款）通信设备、计算机及其他电子设备制造业（项）。</w:t>
      </w:r>
    </w:p>
    <w:p w14:paraId="5DBBD8FD">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年初预算为0万元，支出决算为0.89万元，</w:t>
      </w:r>
      <w:r>
        <w:rPr>
          <w:rFonts w:hint="eastAsia" w:ascii="仿宋_GB2312" w:hAnsi="仿宋_GB2312" w:eastAsia="仿宋_GB2312" w:cs="仿宋_GB2312"/>
          <w:color w:val="000000"/>
          <w:kern w:val="0"/>
          <w:sz w:val="32"/>
          <w:szCs w:val="32"/>
          <w:lang w:val="en-US" w:eastAsia="zh-CN" w:bidi="ar-SA"/>
        </w:rPr>
        <w:t>决算数大于年初预算数的</w:t>
      </w:r>
      <w:r>
        <w:rPr>
          <w:rFonts w:hint="eastAsia" w:ascii="仿宋_GB2312" w:hAnsi="仿宋_GB2312" w:eastAsia="仿宋_GB2312" w:cs="仿宋_GB2312"/>
          <w:color w:val="000000"/>
          <w:kern w:val="0"/>
          <w:sz w:val="32"/>
          <w:szCs w:val="32"/>
          <w:lang w:val="zh-CN" w:eastAsia="zh-CN" w:bidi="ar-SA"/>
        </w:rPr>
        <w:t>主要原因是：追加安排市房地产市场服务中心党政机关安可替代国产芯片电脑经费。</w:t>
      </w:r>
    </w:p>
    <w:p w14:paraId="54787DE8">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23.资源勘探工业信息等支出（类）建筑业（款）行政运行（项）。年初预算为4697.11万元，支出决算为5061.93万元，完成年初预算的107.77%，决算数大于年初预算数的主要原因是：追加安排2024年度市直单位年度考核绩效奖励经费。</w:t>
      </w:r>
    </w:p>
    <w:p w14:paraId="3A0D00E7">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24.资源勘探工业信息等支出（类）建筑业（款）一般行政管理事务（项）。</w:t>
      </w:r>
    </w:p>
    <w:p w14:paraId="7089418E">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auto"/>
          <w:kern w:val="0"/>
          <w:sz w:val="32"/>
          <w:szCs w:val="32"/>
          <w:lang w:val="zh-CN" w:eastAsia="zh-CN" w:bidi="ar-SA"/>
        </w:rPr>
      </w:pPr>
      <w:r>
        <w:rPr>
          <w:rFonts w:hint="eastAsia" w:ascii="仿宋_GB2312" w:hAnsi="仿宋_GB2312" w:eastAsia="仿宋_GB2312" w:cs="仿宋_GB2312"/>
          <w:color w:val="auto"/>
          <w:kern w:val="0"/>
          <w:sz w:val="32"/>
          <w:szCs w:val="32"/>
          <w:lang w:val="zh-CN" w:eastAsia="zh-CN" w:bidi="ar-SA"/>
        </w:rPr>
        <w:t>年初预算为</w:t>
      </w:r>
      <w:r>
        <w:rPr>
          <w:rFonts w:hint="eastAsia" w:ascii="仿宋_GB2312" w:hAnsi="仿宋_GB2312" w:eastAsia="仿宋_GB2312" w:cs="仿宋_GB2312"/>
          <w:color w:val="auto"/>
          <w:kern w:val="0"/>
          <w:sz w:val="32"/>
          <w:szCs w:val="32"/>
          <w:lang w:val="en-US" w:eastAsia="zh-CN" w:bidi="ar-SA"/>
        </w:rPr>
        <w:t>0</w:t>
      </w:r>
      <w:r>
        <w:rPr>
          <w:rFonts w:hint="eastAsia" w:ascii="仿宋_GB2312" w:hAnsi="仿宋_GB2312" w:eastAsia="仿宋_GB2312" w:cs="仿宋_GB2312"/>
          <w:color w:val="auto"/>
          <w:kern w:val="0"/>
          <w:sz w:val="32"/>
          <w:szCs w:val="32"/>
          <w:lang w:val="zh-CN" w:eastAsia="zh-CN" w:bidi="ar-SA"/>
        </w:rPr>
        <w:t>万元，支出决算为19.12万元，</w:t>
      </w:r>
      <w:r>
        <w:rPr>
          <w:rFonts w:hint="eastAsia" w:ascii="仿宋_GB2312" w:hAnsi="仿宋_GB2312" w:eastAsia="仿宋_GB2312" w:cs="仿宋_GB2312"/>
          <w:color w:val="auto"/>
          <w:kern w:val="0"/>
          <w:sz w:val="32"/>
          <w:szCs w:val="32"/>
          <w:lang w:val="en-US" w:eastAsia="zh-CN" w:bidi="ar-SA"/>
        </w:rPr>
        <w:t>决算数等于年初预算数的</w:t>
      </w:r>
      <w:r>
        <w:rPr>
          <w:rFonts w:hint="eastAsia" w:ascii="仿宋_GB2312" w:hAnsi="仿宋_GB2312" w:eastAsia="仿宋_GB2312" w:cs="仿宋_GB2312"/>
          <w:color w:val="auto"/>
          <w:kern w:val="0"/>
          <w:sz w:val="32"/>
          <w:szCs w:val="32"/>
          <w:lang w:val="zh-CN" w:eastAsia="zh-CN" w:bidi="ar-SA"/>
        </w:rPr>
        <w:t>主要原因是：</w:t>
      </w:r>
      <w:r>
        <w:rPr>
          <w:rFonts w:hint="eastAsia" w:ascii="仿宋_GB2312" w:hAnsi="仿宋_GB2312" w:eastAsia="仿宋_GB2312" w:cs="仿宋_GB2312"/>
          <w:color w:val="auto"/>
          <w:kern w:val="0"/>
          <w:sz w:val="32"/>
          <w:szCs w:val="32"/>
          <w:highlight w:val="none"/>
          <w:lang w:val="en-US" w:eastAsia="zh-CN" w:bidi="ar-SA"/>
        </w:rPr>
        <w:t>追加日常工作经费以及功能科目调整。</w:t>
      </w:r>
    </w:p>
    <w:p w14:paraId="27D99ECB">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25.</w:t>
      </w:r>
      <w:r>
        <w:rPr>
          <w:rFonts w:hint="eastAsia" w:ascii="仿宋_GB2312" w:hAnsi="仿宋_GB2312" w:eastAsia="仿宋_GB2312" w:cs="仿宋_GB2312"/>
          <w:color w:val="000000"/>
          <w:kern w:val="0"/>
          <w:sz w:val="32"/>
          <w:szCs w:val="32"/>
          <w:lang w:val="zh-CN" w:eastAsia="zh-CN" w:bidi="ar-SA"/>
        </w:rPr>
        <w:t>资源勘探工业信息等支出（类）建筑业（款）其他建筑业支出（项）。</w:t>
      </w:r>
    </w:p>
    <w:p w14:paraId="050C243C">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0</w:t>
      </w:r>
      <w:r>
        <w:rPr>
          <w:rFonts w:hint="eastAsia" w:ascii="仿宋_GB2312" w:hAnsi="仿宋_GB2312" w:eastAsia="仿宋_GB2312" w:cs="仿宋_GB2312"/>
          <w:color w:val="000000"/>
          <w:kern w:val="0"/>
          <w:sz w:val="32"/>
          <w:szCs w:val="32"/>
          <w:lang w:val="zh-CN" w:eastAsia="zh-CN" w:bidi="ar-SA"/>
        </w:rPr>
        <w:t>万元，支出决算为7万元，</w:t>
      </w:r>
      <w:r>
        <w:rPr>
          <w:rFonts w:hint="eastAsia" w:ascii="仿宋_GB2312" w:hAnsi="仿宋_GB2312" w:eastAsia="仿宋_GB2312" w:cs="仿宋_GB2312"/>
          <w:color w:val="000000"/>
          <w:kern w:val="0"/>
          <w:sz w:val="32"/>
          <w:szCs w:val="32"/>
          <w:lang w:val="en-US" w:eastAsia="zh-CN" w:bidi="ar-SA"/>
        </w:rPr>
        <w:t>决算数大于年初预算数的</w:t>
      </w:r>
      <w:r>
        <w:rPr>
          <w:rFonts w:hint="eastAsia" w:ascii="仿宋_GB2312" w:hAnsi="仿宋_GB2312" w:eastAsia="仿宋_GB2312" w:cs="仿宋_GB2312"/>
          <w:color w:val="000000"/>
          <w:kern w:val="0"/>
          <w:sz w:val="32"/>
          <w:szCs w:val="32"/>
          <w:lang w:val="zh-CN" w:eastAsia="zh-CN" w:bidi="ar-SA"/>
        </w:rPr>
        <w:t>主要原因是：追加安排2024年争资争项工作奖励金。</w:t>
      </w:r>
    </w:p>
    <w:p w14:paraId="06B1C09D">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26.</w:t>
      </w:r>
      <w:r>
        <w:rPr>
          <w:rFonts w:hint="eastAsia" w:ascii="仿宋_GB2312" w:hAnsi="仿宋_GB2312" w:eastAsia="仿宋_GB2312" w:cs="仿宋_GB2312"/>
          <w:color w:val="000000"/>
          <w:kern w:val="0"/>
          <w:sz w:val="32"/>
          <w:szCs w:val="32"/>
          <w:lang w:val="zh-CN" w:eastAsia="zh-CN" w:bidi="ar-SA"/>
        </w:rPr>
        <w:t>资源勘探工业信息等支出（类）国有资产监管（款）其他国有资产监管支出（项）。</w:t>
      </w:r>
    </w:p>
    <w:p w14:paraId="6F1D57A0">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年初预算为0万元，支出决算为2.69万元，</w:t>
      </w:r>
      <w:r>
        <w:rPr>
          <w:rFonts w:hint="eastAsia" w:ascii="仿宋_GB2312" w:hAnsi="仿宋_GB2312" w:eastAsia="仿宋_GB2312" w:cs="仿宋_GB2312"/>
          <w:color w:val="000000"/>
          <w:kern w:val="0"/>
          <w:sz w:val="32"/>
          <w:szCs w:val="32"/>
          <w:lang w:val="en-US" w:eastAsia="zh-CN" w:bidi="ar-SA"/>
        </w:rPr>
        <w:t>决算数大于年初预算数的</w:t>
      </w:r>
      <w:r>
        <w:rPr>
          <w:rFonts w:hint="eastAsia" w:ascii="仿宋_GB2312" w:hAnsi="仿宋_GB2312" w:eastAsia="仿宋_GB2312" w:cs="仿宋_GB2312"/>
          <w:color w:val="000000"/>
          <w:kern w:val="0"/>
          <w:sz w:val="32"/>
          <w:szCs w:val="32"/>
          <w:lang w:val="zh-CN" w:eastAsia="zh-CN" w:bidi="ar-SA"/>
        </w:rPr>
        <w:t>主要原因是：追加安排市属国有企业退休干部帮扶解困资金。</w:t>
      </w:r>
    </w:p>
    <w:p w14:paraId="4A764659">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27.</w:t>
      </w:r>
      <w:r>
        <w:rPr>
          <w:rFonts w:hint="eastAsia" w:ascii="仿宋_GB2312" w:hAnsi="仿宋_GB2312" w:eastAsia="仿宋_GB2312" w:cs="仿宋_GB2312"/>
          <w:color w:val="000000"/>
          <w:kern w:val="0"/>
          <w:sz w:val="32"/>
          <w:szCs w:val="32"/>
          <w:lang w:val="zh-CN" w:eastAsia="zh-CN" w:bidi="ar-SA"/>
        </w:rPr>
        <w:t>商业服务业等支出（类）涉外发展服务支出（款）其他涉外发展服务支出（项）。</w:t>
      </w:r>
    </w:p>
    <w:p w14:paraId="1FA77795">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年初预算为0万元，支出决算为4.99万元，</w:t>
      </w:r>
      <w:r>
        <w:rPr>
          <w:rFonts w:hint="eastAsia" w:ascii="仿宋_GB2312" w:hAnsi="仿宋_GB2312" w:eastAsia="仿宋_GB2312" w:cs="仿宋_GB2312"/>
          <w:color w:val="000000"/>
          <w:kern w:val="0"/>
          <w:sz w:val="32"/>
          <w:szCs w:val="32"/>
          <w:lang w:val="en-US" w:eastAsia="zh-CN" w:bidi="ar-SA"/>
        </w:rPr>
        <w:t>决算数大于年初预算数的</w:t>
      </w:r>
      <w:r>
        <w:rPr>
          <w:rFonts w:hint="eastAsia" w:ascii="仿宋_GB2312" w:hAnsi="仿宋_GB2312" w:eastAsia="仿宋_GB2312" w:cs="仿宋_GB2312"/>
          <w:color w:val="000000"/>
          <w:kern w:val="0"/>
          <w:sz w:val="32"/>
          <w:szCs w:val="32"/>
          <w:lang w:val="zh-CN" w:eastAsia="zh-CN" w:bidi="ar-SA"/>
        </w:rPr>
        <w:t>主要原因是：追加安排自贸试验区制度创新奖励资金。</w:t>
      </w:r>
    </w:p>
    <w:p w14:paraId="65191250">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28.</w:t>
      </w:r>
      <w:r>
        <w:rPr>
          <w:rFonts w:hint="eastAsia" w:ascii="仿宋_GB2312" w:hAnsi="仿宋_GB2312" w:eastAsia="仿宋_GB2312" w:cs="仿宋_GB2312"/>
          <w:color w:val="000000"/>
          <w:kern w:val="0"/>
          <w:sz w:val="32"/>
          <w:szCs w:val="32"/>
          <w:lang w:val="zh-CN" w:eastAsia="zh-CN" w:bidi="ar-SA"/>
        </w:rPr>
        <w:t>住房保障支出（类）保障性安居工程支出（款）其他保障性安居工程支出（项）。</w:t>
      </w:r>
    </w:p>
    <w:p w14:paraId="24FCA1C5">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年初预算为0万元，支出决算为4653.41万元，决算数大于年初预算数的主要原因是：追加安排保障性住房购置专项资金用于收购中心城区恒大项目商品住房用作保障性住房。</w:t>
      </w:r>
    </w:p>
    <w:p w14:paraId="0AD9F6E3">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29.</w:t>
      </w:r>
      <w:r>
        <w:rPr>
          <w:rFonts w:hint="eastAsia" w:ascii="仿宋_GB2312" w:hAnsi="仿宋_GB2312" w:eastAsia="仿宋_GB2312" w:cs="仿宋_GB2312"/>
          <w:color w:val="000000"/>
          <w:kern w:val="0"/>
          <w:sz w:val="32"/>
          <w:szCs w:val="32"/>
          <w:lang w:val="zh-CN" w:eastAsia="zh-CN" w:bidi="ar-SA"/>
        </w:rPr>
        <w:t>住房保障支出（类）住房改革支出（款）住房公积金（项）。</w:t>
      </w:r>
    </w:p>
    <w:p w14:paraId="072A3634">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zh-CN" w:eastAsia="zh-CN" w:bidi="ar-SA"/>
        </w:rPr>
        <w:t>年初预算为</w:t>
      </w:r>
      <w:r>
        <w:rPr>
          <w:rFonts w:hint="eastAsia" w:ascii="仿宋_GB2312" w:hAnsi="仿宋_GB2312" w:eastAsia="仿宋_GB2312" w:cs="仿宋_GB2312"/>
          <w:color w:val="000000"/>
          <w:kern w:val="0"/>
          <w:sz w:val="32"/>
          <w:szCs w:val="32"/>
          <w:lang w:val="en-US" w:eastAsia="zh-CN" w:bidi="ar-SA"/>
        </w:rPr>
        <w:t>477.79</w:t>
      </w:r>
      <w:r>
        <w:rPr>
          <w:rFonts w:hint="eastAsia" w:ascii="仿宋_GB2312" w:hAnsi="仿宋_GB2312" w:eastAsia="仿宋_GB2312" w:cs="仿宋_GB2312"/>
          <w:color w:val="000000"/>
          <w:kern w:val="0"/>
          <w:sz w:val="32"/>
          <w:szCs w:val="32"/>
          <w:lang w:val="zh-CN" w:eastAsia="zh-CN" w:bidi="ar-SA"/>
        </w:rPr>
        <w:t>万元，支出决算为467.76万元，完成年初预算的</w:t>
      </w:r>
      <w:r>
        <w:rPr>
          <w:rFonts w:hint="eastAsia" w:ascii="仿宋_GB2312" w:hAnsi="仿宋_GB2312" w:eastAsia="仿宋_GB2312" w:cs="仿宋_GB2312"/>
          <w:color w:val="000000"/>
          <w:kern w:val="0"/>
          <w:sz w:val="32"/>
          <w:szCs w:val="32"/>
          <w:lang w:val="en-US" w:eastAsia="zh-CN" w:bidi="ar-SA"/>
        </w:rPr>
        <w:t>97.9%，决算数小于年初预算数的</w:t>
      </w:r>
      <w:r>
        <w:rPr>
          <w:rFonts w:hint="eastAsia" w:ascii="仿宋_GB2312" w:hAnsi="仿宋_GB2312" w:eastAsia="仿宋_GB2312" w:cs="仿宋_GB2312"/>
          <w:color w:val="000000"/>
          <w:kern w:val="0"/>
          <w:sz w:val="32"/>
          <w:szCs w:val="32"/>
          <w:lang w:val="zh-CN" w:eastAsia="zh-CN" w:bidi="ar-SA"/>
        </w:rPr>
        <w:t>主要原因是：</w:t>
      </w:r>
      <w:r>
        <w:rPr>
          <w:rFonts w:hint="eastAsia" w:ascii="仿宋_GB2312" w:hAnsi="仿宋_GB2312" w:eastAsia="仿宋_GB2312" w:cs="仿宋_GB2312"/>
          <w:color w:val="000000"/>
          <w:kern w:val="0"/>
          <w:sz w:val="32"/>
          <w:szCs w:val="32"/>
          <w:lang w:val="en-US" w:eastAsia="zh-CN" w:bidi="ar-SA"/>
        </w:rPr>
        <w:t>因人员退休减少住房公积金支出。</w:t>
      </w:r>
    </w:p>
    <w:p w14:paraId="62B2D67F">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en-US" w:eastAsia="zh-CN" w:bidi="ar-SA"/>
        </w:rPr>
        <w:t>30.</w:t>
      </w:r>
      <w:r>
        <w:rPr>
          <w:rFonts w:hint="eastAsia" w:ascii="仿宋_GB2312" w:hAnsi="仿宋_GB2312" w:eastAsia="仿宋_GB2312" w:cs="仿宋_GB2312"/>
          <w:color w:val="000000"/>
          <w:kern w:val="0"/>
          <w:sz w:val="32"/>
          <w:szCs w:val="32"/>
          <w:lang w:val="zh-CN" w:eastAsia="zh-CN" w:bidi="ar-SA"/>
        </w:rPr>
        <w:t>其他支出（类）其他支出（款）其他支出（项）。</w:t>
      </w:r>
    </w:p>
    <w:p w14:paraId="0977DC3D">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color w:val="000000"/>
          <w:kern w:val="0"/>
          <w:sz w:val="32"/>
          <w:szCs w:val="32"/>
          <w:lang w:val="zh-CN" w:eastAsia="zh-CN" w:bidi="ar-SA"/>
        </w:rPr>
        <w:t>年初预算为0万元，支出决算为333.5万元，</w:t>
      </w:r>
      <w:r>
        <w:rPr>
          <w:rFonts w:hint="eastAsia" w:ascii="仿宋_GB2312" w:hAnsi="仿宋_GB2312" w:eastAsia="仿宋_GB2312" w:cs="仿宋_GB2312"/>
          <w:color w:val="000000"/>
          <w:kern w:val="0"/>
          <w:sz w:val="32"/>
          <w:szCs w:val="32"/>
          <w:lang w:val="en-US" w:eastAsia="zh-CN" w:bidi="ar-SA"/>
        </w:rPr>
        <w:t>决算数大于年初预算数的</w:t>
      </w:r>
      <w:r>
        <w:rPr>
          <w:rFonts w:hint="eastAsia" w:ascii="仿宋_GB2312" w:hAnsi="仿宋_GB2312" w:eastAsia="仿宋_GB2312" w:cs="仿宋_GB2312"/>
          <w:color w:val="000000"/>
          <w:kern w:val="0"/>
          <w:sz w:val="32"/>
          <w:szCs w:val="32"/>
          <w:lang w:val="zh-CN" w:eastAsia="zh-CN" w:bidi="ar-SA"/>
        </w:rPr>
        <w:t>主要原因是：追加安排市城乡建设事务中心西环线（梅溪桥洞口北面）人行过街天桥项目支出。</w:t>
      </w:r>
    </w:p>
    <w:p w14:paraId="1CC5455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41A3742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 w:hAnsi="仿宋" w:eastAsia="仿宋"/>
          <w:color w:val="auto"/>
          <w:kern w:val="0"/>
          <w:sz w:val="32"/>
          <w:szCs w:val="24"/>
          <w:highlight w:val="white"/>
          <w:lang w:val="en-US"/>
        </w:rPr>
        <w:t>8778.82</w:t>
      </w:r>
      <w:r>
        <w:rPr>
          <w:rFonts w:hint="eastAsia" w:ascii="仿宋_GB2312" w:hAnsi="仿宋_GB2312" w:eastAsia="仿宋_GB2312" w:cs="仿宋_GB2312"/>
          <w:sz w:val="32"/>
          <w:szCs w:val="32"/>
        </w:rPr>
        <w:t>万元，其中：</w:t>
      </w:r>
    </w:p>
    <w:p w14:paraId="1BE21CA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人员经费</w:t>
      </w:r>
      <w:r>
        <w:rPr>
          <w:rFonts w:hint="eastAsia" w:ascii="仿宋" w:hAnsi="仿宋" w:eastAsia="仿宋"/>
          <w:color w:val="auto"/>
          <w:kern w:val="0"/>
          <w:sz w:val="32"/>
          <w:szCs w:val="24"/>
          <w:highlight w:val="white"/>
          <w:lang w:val="en-US"/>
        </w:rPr>
        <w:t>8058.9</w:t>
      </w:r>
      <w:r>
        <w:rPr>
          <w:rFonts w:hint="eastAsia" w:ascii="仿宋_GB2312" w:hAnsi="仿宋_GB2312" w:eastAsia="仿宋_GB2312" w:cs="仿宋_GB2312"/>
          <w:sz w:val="32"/>
          <w:szCs w:val="32"/>
        </w:rPr>
        <w:t>万元，占基本支出的</w:t>
      </w:r>
      <w:r>
        <w:rPr>
          <w:rFonts w:hint="eastAsia" w:ascii="仿宋" w:hAnsi="仿宋" w:eastAsia="仿宋"/>
          <w:color w:val="auto"/>
          <w:kern w:val="0"/>
          <w:sz w:val="32"/>
          <w:szCs w:val="24"/>
          <w:highlight w:val="white"/>
          <w:lang w:val="en-US"/>
        </w:rPr>
        <w:t>91.8</w:t>
      </w:r>
      <w:r>
        <w:rPr>
          <w:rFonts w:hint="eastAsia" w:ascii="仿宋_GB2312" w:hAnsi="仿宋_GB2312" w:eastAsia="仿宋_GB2312" w:cs="仿宋_GB2312"/>
          <w:sz w:val="32"/>
          <w:szCs w:val="32"/>
        </w:rPr>
        <w:t>%,主要包括</w:t>
      </w:r>
      <w:r>
        <w:rPr>
          <w:rFonts w:hint="eastAsia" w:ascii="仿宋" w:hAnsi="仿宋" w:eastAsia="仿宋"/>
          <w:color w:val="auto"/>
          <w:kern w:val="0"/>
          <w:sz w:val="32"/>
          <w:szCs w:val="24"/>
          <w:highlight w:val="white"/>
          <w:lang w:val="en-US"/>
        </w:rPr>
        <w:t>基本工资、津贴补贴、</w:t>
      </w:r>
      <w:r>
        <w:rPr>
          <w:rFonts w:hint="eastAsia" w:ascii="仿宋" w:hAnsi="仿宋" w:eastAsia="仿宋"/>
          <w:color w:val="auto"/>
          <w:kern w:val="0"/>
          <w:sz w:val="32"/>
          <w:szCs w:val="24"/>
          <w:highlight w:val="white"/>
          <w:lang w:val="zh-CN"/>
        </w:rPr>
        <w:t>奖金、伙食补助费、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r>
        <w:rPr>
          <w:rFonts w:hint="eastAsia" w:ascii="仿宋_GB2312" w:hAnsi="仿宋_GB2312" w:eastAsia="仿宋_GB2312" w:cs="仿宋_GB2312"/>
          <w:sz w:val="32"/>
          <w:szCs w:val="32"/>
          <w:lang w:eastAsia="zh-CN"/>
        </w:rPr>
        <w:t>。</w:t>
      </w:r>
    </w:p>
    <w:p w14:paraId="3CCB1366">
      <w:pPr>
        <w:keepNext/>
        <w:keepLines/>
        <w:spacing w:line="560" w:lineRule="exact"/>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 w:hAnsi="仿宋" w:eastAsia="仿宋"/>
          <w:color w:val="auto"/>
          <w:kern w:val="0"/>
          <w:sz w:val="32"/>
          <w:szCs w:val="24"/>
          <w:highlight w:val="white"/>
          <w:lang w:val="en-US"/>
        </w:rPr>
        <w:t>719.92</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8.2</w:t>
      </w:r>
      <w:r>
        <w:rPr>
          <w:rFonts w:hint="eastAsia" w:ascii="仿宋_GB2312" w:hAnsi="仿宋_GB2312" w:eastAsia="仿宋_GB2312" w:cs="仿宋_GB2312"/>
          <w:sz w:val="32"/>
          <w:szCs w:val="32"/>
        </w:rPr>
        <w:t>%，主要包括</w:t>
      </w:r>
      <w:r>
        <w:rPr>
          <w:rFonts w:hint="eastAsia" w:ascii="仿宋" w:hAnsi="仿宋" w:eastAsia="仿宋"/>
          <w:color w:val="auto"/>
          <w:kern w:val="0"/>
          <w:sz w:val="32"/>
          <w:szCs w:val="24"/>
          <w:highlight w:val="white"/>
          <w:lang w:val="en-US"/>
        </w:rPr>
        <w:t>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5128784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3198AB52">
      <w:pPr>
        <w:pStyle w:val="13"/>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w:t>
      </w:r>
      <w:r>
        <w:rPr>
          <w:rFonts w:hint="eastAsia" w:ascii="仿宋" w:hAnsi="仿宋" w:eastAsia="仿宋"/>
          <w:color w:val="auto"/>
          <w:sz w:val="32"/>
          <w:szCs w:val="24"/>
          <w:highlight w:val="white"/>
          <w:lang w:val="zh-CN"/>
        </w:rPr>
        <w:t>22532.8</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 w:hAnsi="仿宋" w:eastAsia="仿宋"/>
          <w:color w:val="auto"/>
          <w:sz w:val="32"/>
          <w:szCs w:val="24"/>
          <w:highlight w:val="white"/>
          <w:lang w:val="zh-CN"/>
        </w:rPr>
        <w:t>22532.8</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 w:hAnsi="仿宋" w:eastAsia="仿宋"/>
          <w:color w:val="auto"/>
          <w:sz w:val="32"/>
          <w:szCs w:val="24"/>
          <w:highlight w:val="white"/>
          <w:lang w:val="zh-CN"/>
        </w:rPr>
        <w:t>22532.8</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万元。具体情况如下：</w:t>
      </w:r>
    </w:p>
    <w:p w14:paraId="1E2EABD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 w:hAnsi="仿宋" w:eastAsia="仿宋"/>
          <w:color w:val="auto"/>
          <w:sz w:val="32"/>
          <w:szCs w:val="24"/>
          <w:lang w:val="zh-CN"/>
        </w:rPr>
        <w:t>节能环保支出（类）超长期特别国债安排的支出（款）水污染综合治理（项）</w:t>
      </w:r>
      <w:r>
        <w:rPr>
          <w:rFonts w:hint="eastAsia" w:ascii="仿宋_GB2312" w:hAnsi="仿宋_GB2312" w:eastAsia="仿宋_GB2312" w:cs="仿宋_GB2312"/>
          <w:sz w:val="32"/>
          <w:szCs w:val="32"/>
        </w:rPr>
        <w:t>。</w:t>
      </w:r>
    </w:p>
    <w:p w14:paraId="75A40B90">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00"/>
          <w:kern w:val="0"/>
          <w:sz w:val="32"/>
          <w:szCs w:val="32"/>
          <w:lang w:val="zh-CN" w:eastAsia="zh-CN" w:bidi="ar-SA"/>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 w:hAnsi="仿宋" w:eastAsia="仿宋"/>
          <w:color w:val="auto"/>
          <w:sz w:val="32"/>
          <w:szCs w:val="24"/>
          <w:lang w:val="zh-CN"/>
        </w:rPr>
        <w:t>9869.1</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color w:val="auto"/>
          <w:kern w:val="0"/>
          <w:sz w:val="32"/>
          <w:szCs w:val="32"/>
          <w:lang w:val="zh-CN" w:eastAsia="zh-CN" w:bidi="ar-SA"/>
        </w:rPr>
        <w:t>追加安排市城乡建设事务中心城市地下管网及设施专项资金。</w:t>
      </w:r>
    </w:p>
    <w:p w14:paraId="23E98BF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 w:hAnsi="仿宋" w:eastAsia="仿宋"/>
          <w:color w:val="auto"/>
          <w:sz w:val="32"/>
          <w:szCs w:val="24"/>
          <w:lang w:val="zh-CN"/>
        </w:rPr>
        <w:t>城乡社区支出（类）国有土地使用权出让收入安排的支出（款）其他国有土地使用权出让收入安排的支出（项）</w:t>
      </w:r>
      <w:r>
        <w:rPr>
          <w:rFonts w:hint="eastAsia" w:ascii="仿宋_GB2312" w:hAnsi="仿宋_GB2312" w:eastAsia="仿宋_GB2312" w:cs="仿宋_GB2312"/>
          <w:sz w:val="32"/>
          <w:szCs w:val="32"/>
        </w:rPr>
        <w:t>。</w:t>
      </w:r>
    </w:p>
    <w:p w14:paraId="66F6ED88">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0000FF"/>
          <w:kern w:val="0"/>
          <w:sz w:val="32"/>
          <w:szCs w:val="32"/>
          <w:lang w:val="zh-CN" w:eastAsia="zh-CN" w:bidi="ar-SA"/>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 w:hAnsi="仿宋" w:eastAsia="仿宋"/>
          <w:color w:val="auto"/>
          <w:sz w:val="32"/>
          <w:szCs w:val="24"/>
          <w:lang w:val="zh-CN"/>
        </w:rPr>
        <w:t>100</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color w:val="auto"/>
          <w:kern w:val="0"/>
          <w:sz w:val="32"/>
          <w:szCs w:val="32"/>
          <w:lang w:val="zh-CN" w:eastAsia="zh-CN" w:bidi="ar-SA"/>
        </w:rPr>
        <w:t>追加安排土桥桃花山旧改项目山体加固工程维护项目经费。</w:t>
      </w:r>
    </w:p>
    <w:p w14:paraId="352C167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 w:hAnsi="仿宋" w:eastAsia="仿宋"/>
          <w:color w:val="auto"/>
          <w:sz w:val="32"/>
          <w:szCs w:val="24"/>
          <w:lang w:val="zh-CN"/>
        </w:rPr>
        <w:t>城乡社区支出（类）超长期特别国债安排的支出（款）城乡社区公共设施（项）</w:t>
      </w:r>
      <w:r>
        <w:rPr>
          <w:rFonts w:hint="eastAsia" w:ascii="仿宋_GB2312" w:hAnsi="仿宋_GB2312" w:eastAsia="仿宋_GB2312" w:cs="仿宋_GB2312"/>
          <w:sz w:val="32"/>
          <w:szCs w:val="32"/>
        </w:rPr>
        <w:t>。</w:t>
      </w:r>
    </w:p>
    <w:p w14:paraId="366D770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 w:hAnsi="仿宋" w:eastAsia="仿宋"/>
          <w:color w:val="auto"/>
          <w:sz w:val="32"/>
          <w:szCs w:val="24"/>
          <w:lang w:val="zh-CN"/>
        </w:rPr>
        <w:t>1925.37</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color w:val="auto"/>
          <w:sz w:val="32"/>
          <w:szCs w:val="32"/>
          <w:lang w:eastAsia="zh-CN"/>
        </w:rPr>
        <w:t>追加安排岳阳市东风湖片区排水防涝通道提质改造工程项目和岳阳市中心城区南湖大道及蛇皮套城市排水防涝改造工程项目经费。</w:t>
      </w:r>
    </w:p>
    <w:p w14:paraId="3DF63D3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 w:hAnsi="仿宋" w:eastAsia="仿宋"/>
          <w:color w:val="auto"/>
          <w:sz w:val="32"/>
          <w:szCs w:val="24"/>
          <w:lang w:val="zh-CN"/>
        </w:rPr>
        <w:t>城乡社区支出（类）超长期特别国债安排的支出（款）其他城乡社区支出（项）</w:t>
      </w:r>
      <w:r>
        <w:rPr>
          <w:rFonts w:hint="eastAsia" w:ascii="仿宋_GB2312" w:hAnsi="仿宋_GB2312" w:eastAsia="仿宋_GB2312" w:cs="仿宋_GB2312"/>
          <w:sz w:val="32"/>
          <w:szCs w:val="32"/>
        </w:rPr>
        <w:t>。</w:t>
      </w:r>
    </w:p>
    <w:p w14:paraId="13AA007E">
      <w:pPr>
        <w:keepNext w:val="0"/>
        <w:keepLines w:val="0"/>
        <w:pageBreakBefore w:val="0"/>
        <w:widowControl w:val="0"/>
        <w:kinsoku/>
        <w:wordWrap/>
        <w:overflowPunct/>
        <w:topLinePunct w:val="0"/>
        <w:autoSpaceDE w:val="0"/>
        <w:autoSpaceDN w:val="0"/>
        <w:bidi w:val="0"/>
        <w:adjustRightInd w:val="0"/>
        <w:snapToGrid/>
        <w:spacing w:line="600" w:lineRule="exact"/>
        <w:ind w:leftChars="0" w:firstLine="800" w:firstLineChars="250"/>
        <w:textAlignment w:val="auto"/>
        <w:rPr>
          <w:rFonts w:hint="eastAsia" w:ascii="仿宋_GB2312" w:hAnsi="仿宋_GB2312" w:eastAsia="仿宋_GB2312" w:cs="仿宋_GB2312"/>
          <w:color w:val="auto"/>
          <w:kern w:val="0"/>
          <w:sz w:val="32"/>
          <w:szCs w:val="32"/>
          <w:lang w:val="zh-CN" w:eastAsia="zh-CN" w:bidi="ar-SA"/>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 w:hAnsi="仿宋" w:eastAsia="仿宋"/>
          <w:color w:val="auto"/>
          <w:sz w:val="32"/>
          <w:szCs w:val="24"/>
          <w:lang w:val="zh-CN"/>
        </w:rPr>
        <w:t>6346.6</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color w:val="auto"/>
          <w:kern w:val="0"/>
          <w:sz w:val="32"/>
          <w:szCs w:val="32"/>
          <w:lang w:val="zh-CN" w:eastAsia="zh-CN" w:bidi="ar-SA"/>
        </w:rPr>
        <w:t>追加安排市城乡建设事务中心城市地下管网及设施专项资金。</w:t>
      </w:r>
    </w:p>
    <w:p w14:paraId="5E0FEEA7">
      <w:pPr>
        <w:pStyle w:val="13"/>
        <w:keepNext w:val="0"/>
        <w:keepLines w:val="0"/>
        <w:pageBreakBefore w:val="0"/>
        <w:widowControl w:val="0"/>
        <w:kinsoku/>
        <w:wordWrap/>
        <w:overflowPunct/>
        <w:topLinePunct w:val="0"/>
        <w:bidi w:val="0"/>
        <w:snapToGrid/>
        <w:spacing w:line="600" w:lineRule="exact"/>
        <w:ind w:firstLine="960" w:firstLineChars="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 w:hAnsi="仿宋" w:eastAsia="仿宋"/>
          <w:color w:val="auto"/>
          <w:sz w:val="32"/>
          <w:szCs w:val="24"/>
          <w:lang w:val="zh-CN"/>
        </w:rPr>
        <w:t>其他支出（类）其他政府性基金及对应专项债务收入安排的支出（款）其他地方自行试点项目收益专项债券收入安排的支出（项）</w:t>
      </w:r>
      <w:r>
        <w:rPr>
          <w:rFonts w:hint="eastAsia" w:ascii="仿宋_GB2312" w:hAnsi="仿宋_GB2312" w:eastAsia="仿宋_GB2312" w:cs="仿宋_GB2312"/>
          <w:sz w:val="32"/>
          <w:szCs w:val="32"/>
        </w:rPr>
        <w:t>。</w:t>
      </w:r>
    </w:p>
    <w:p w14:paraId="719110E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FF"/>
          <w:kern w:val="0"/>
          <w:sz w:val="32"/>
          <w:szCs w:val="32"/>
          <w:lang w:val="zh-CN" w:eastAsia="zh-CN" w:bidi="ar-SA"/>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 w:hAnsi="仿宋" w:eastAsia="仿宋"/>
          <w:color w:val="auto"/>
          <w:sz w:val="32"/>
          <w:szCs w:val="24"/>
          <w:lang w:val="zh-CN"/>
        </w:rPr>
        <w:t>2291.73</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color w:val="auto"/>
          <w:kern w:val="0"/>
          <w:sz w:val="32"/>
          <w:szCs w:val="32"/>
          <w:lang w:val="zh-CN" w:eastAsia="zh-CN" w:bidi="ar-SA"/>
        </w:rPr>
        <w:t>追加安排市四中人行天桥EPC项目和市保交楼配套道路及管网建设项目等资金。</w:t>
      </w:r>
    </w:p>
    <w:p w14:paraId="57A1032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 w:hAnsi="仿宋" w:eastAsia="仿宋"/>
          <w:color w:val="auto"/>
          <w:sz w:val="32"/>
          <w:szCs w:val="24"/>
          <w:lang w:val="zh-CN"/>
        </w:rPr>
        <w:t>债务还本支出（类）地方政府专项债务还本支出（款）其他政府性基金债务还本支出（项）</w:t>
      </w:r>
      <w:r>
        <w:rPr>
          <w:rFonts w:hint="eastAsia" w:ascii="仿宋_GB2312" w:hAnsi="仿宋_GB2312" w:eastAsia="仿宋_GB2312" w:cs="仿宋_GB2312"/>
          <w:sz w:val="32"/>
          <w:szCs w:val="32"/>
        </w:rPr>
        <w:t>。</w:t>
      </w:r>
    </w:p>
    <w:p w14:paraId="75213C0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 w:hAnsi="仿宋" w:eastAsia="仿宋"/>
          <w:color w:val="auto"/>
          <w:sz w:val="32"/>
          <w:szCs w:val="24"/>
          <w:lang w:val="zh-CN"/>
        </w:rPr>
        <w:t>2000</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color w:val="auto"/>
          <w:sz w:val="32"/>
          <w:szCs w:val="32"/>
          <w:lang w:eastAsia="zh-CN"/>
        </w:rPr>
        <w:t>追加安排</w:t>
      </w:r>
      <w:r>
        <w:rPr>
          <w:rFonts w:hint="eastAsia" w:ascii="仿宋_GB2312" w:hAnsi="仿宋_GB2312" w:eastAsia="仿宋_GB2312" w:cs="仿宋_GB2312"/>
          <w:color w:val="auto"/>
          <w:sz w:val="32"/>
          <w:szCs w:val="32"/>
        </w:rPr>
        <w:t>求索西路（南津港路-建设南路）道路工程</w:t>
      </w:r>
      <w:r>
        <w:rPr>
          <w:rFonts w:hint="eastAsia" w:ascii="仿宋_GB2312" w:hAnsi="仿宋_GB2312" w:eastAsia="仿宋_GB2312" w:cs="仿宋_GB2312"/>
          <w:color w:val="auto"/>
          <w:sz w:val="32"/>
          <w:szCs w:val="32"/>
          <w:lang w:eastAsia="zh-CN"/>
        </w:rPr>
        <w:t>和保交楼配套道路及管网建设 （梅溪路等6条道路及通海北路给水管网）项目资金。</w:t>
      </w:r>
    </w:p>
    <w:p w14:paraId="64954F9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2D8302A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2025年度国有资本经营预算财政拨款收入0万元；年初结转和结余0万；支出0万元，其中：基本支出0万元，项目支出0万元；年末结转和结余0万元。</w:t>
      </w:r>
    </w:p>
    <w:p w14:paraId="432418D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78EDB98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6BC37533">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仿宋" w:hAnsi="仿宋" w:eastAsia="仿宋"/>
          <w:color w:val="auto"/>
          <w:sz w:val="32"/>
          <w:szCs w:val="24"/>
          <w:highlight w:val="white"/>
          <w:lang w:val="en-US"/>
        </w:rPr>
        <w:t>10.5</w:t>
      </w:r>
      <w:r>
        <w:rPr>
          <w:rFonts w:ascii="Times New Roman" w:hAnsi="Times New Roman" w:eastAsia="仿宋_GB2312" w:cs="Times New Roman"/>
          <w:sz w:val="32"/>
          <w:szCs w:val="32"/>
        </w:rPr>
        <w:t>万元，支出决算为</w:t>
      </w:r>
      <w:r>
        <w:rPr>
          <w:rFonts w:hint="eastAsia" w:ascii="仿宋" w:hAnsi="仿宋" w:eastAsia="仿宋"/>
          <w:color w:val="auto"/>
          <w:sz w:val="32"/>
          <w:szCs w:val="24"/>
          <w:highlight w:val="white"/>
          <w:lang w:val="en-US"/>
        </w:rPr>
        <w:t>8.25</w:t>
      </w:r>
      <w:r>
        <w:rPr>
          <w:rFonts w:ascii="Times New Roman" w:hAnsi="Times New Roman" w:eastAsia="仿宋_GB2312" w:cs="Times New Roman"/>
          <w:sz w:val="32"/>
          <w:szCs w:val="32"/>
        </w:rPr>
        <w:t>万元，完成预算的</w:t>
      </w:r>
      <w:r>
        <w:rPr>
          <w:rFonts w:hint="eastAsia" w:ascii="仿宋" w:hAnsi="仿宋" w:eastAsia="仿宋"/>
          <w:color w:val="auto"/>
          <w:sz w:val="32"/>
          <w:szCs w:val="24"/>
          <w:highlight w:val="white"/>
          <w:lang w:val="zh-CN"/>
        </w:rPr>
        <w:t>78.57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65.45</w:t>
      </w:r>
      <w:r>
        <w:rPr>
          <w:rFonts w:ascii="Times New Roman" w:hAnsi="Times New Roman" w:eastAsia="仿宋_GB2312" w:cs="Times New Roman"/>
          <w:sz w:val="32"/>
          <w:szCs w:val="32"/>
        </w:rPr>
        <w:t>%。决算数小于预算数的主要原因是</w:t>
      </w:r>
      <w:r>
        <w:rPr>
          <w:rFonts w:hint="eastAsia" w:ascii="仿宋" w:hAnsi="仿宋" w:eastAsia="仿宋"/>
          <w:color w:val="auto"/>
          <w:sz w:val="32"/>
          <w:szCs w:val="24"/>
          <w:highlight w:val="white"/>
          <w:lang w:val="en-US"/>
        </w:rPr>
        <w:t>认真贯彻落实中央“八项规定”精神和厉行节约要求，从严控制“三公”经费开支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2024年</w:t>
      </w:r>
      <w:r>
        <w:rPr>
          <w:rFonts w:ascii="Times New Roman" w:hAnsi="Times New Roman" w:eastAsia="仿宋_GB2312" w:cs="Times New Roman"/>
          <w:sz w:val="32"/>
          <w:szCs w:val="32"/>
        </w:rPr>
        <w:t>根据省住建厅、市政府工作安排增加了</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人次出国公务，</w:t>
      </w:r>
      <w:r>
        <w:rPr>
          <w:rFonts w:hint="eastAsia" w:ascii="Times New Roman" w:hAnsi="Times New Roman" w:eastAsia="仿宋_GB2312" w:cs="Times New Roman"/>
          <w:sz w:val="32"/>
          <w:szCs w:val="32"/>
          <w:lang w:eastAsia="zh-CN"/>
        </w:rPr>
        <w:t>本年度</w:t>
      </w:r>
      <w:r>
        <w:rPr>
          <w:rFonts w:ascii="Times New Roman" w:hAnsi="Times New Roman" w:eastAsia="仿宋_GB2312" w:cs="Times New Roman"/>
          <w:sz w:val="32"/>
          <w:szCs w:val="32"/>
        </w:rPr>
        <w:t>未安排。</w:t>
      </w:r>
    </w:p>
    <w:p w14:paraId="1E4FB05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3BACBE0D">
      <w:pPr>
        <w:pStyle w:val="13"/>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仿宋" w:hAnsi="仿宋" w:eastAsia="仿宋"/>
          <w:color w:val="auto"/>
          <w:sz w:val="32"/>
          <w:szCs w:val="24"/>
          <w:highlight w:val="white"/>
          <w:lang w:val="en-US"/>
        </w:rPr>
        <w:t>12.1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color w:val="auto"/>
          <w:sz w:val="32"/>
          <w:szCs w:val="32"/>
          <w:lang w:val="en-US" w:eastAsia="zh-CN"/>
        </w:rPr>
        <w:t>我单位严格按预算执行决算</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2024年</w:t>
      </w:r>
      <w:r>
        <w:rPr>
          <w:rFonts w:ascii="Times New Roman" w:hAnsi="Times New Roman" w:eastAsia="仿宋_GB2312" w:cs="Times New Roman"/>
          <w:sz w:val="32"/>
          <w:szCs w:val="32"/>
        </w:rPr>
        <w:t>根据省住建厅、市政府工作安排增加了</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人次出国公务，</w:t>
      </w:r>
      <w:r>
        <w:rPr>
          <w:rFonts w:hint="eastAsia" w:ascii="Times New Roman" w:hAnsi="Times New Roman" w:eastAsia="仿宋_GB2312" w:cs="Times New Roman"/>
          <w:sz w:val="32"/>
          <w:szCs w:val="32"/>
          <w:lang w:eastAsia="zh-CN"/>
        </w:rPr>
        <w:t>本年度</w:t>
      </w:r>
      <w:r>
        <w:rPr>
          <w:rFonts w:ascii="Times New Roman" w:hAnsi="Times New Roman" w:eastAsia="仿宋_GB2312" w:cs="Times New Roman"/>
          <w:sz w:val="32"/>
          <w:szCs w:val="32"/>
        </w:rPr>
        <w:t>未安排。</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度安排因公出国（境）团组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14:paraId="4C4FD3C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94.44</w:t>
      </w:r>
      <w:r>
        <w:rPr>
          <w:rFonts w:ascii="Times New Roman" w:hAnsi="Times New Roman" w:eastAsia="仿宋_GB2312" w:cs="Times New Roman"/>
          <w:sz w:val="32"/>
          <w:szCs w:val="32"/>
        </w:rPr>
        <w:t>%；与上年相比</w:t>
      </w:r>
      <w:r>
        <w:rPr>
          <w:rFonts w:hint="eastAsia" w:ascii="仿宋" w:hAnsi="仿宋" w:eastAsia="仿宋"/>
          <w:color w:val="000000"/>
          <w:sz w:val="32"/>
          <w:szCs w:val="24"/>
          <w:highlight w:val="white"/>
          <w:lang w:val="en-US"/>
        </w:rPr>
        <w:t>减少</w:t>
      </w:r>
      <w:r>
        <w:rPr>
          <w:rFonts w:hint="eastAsia" w:ascii="仿宋" w:hAnsi="仿宋" w:eastAsia="仿宋"/>
          <w:color w:val="000000"/>
          <w:sz w:val="32"/>
          <w:szCs w:val="24"/>
          <w:highlight w:val="white"/>
          <w:lang w:val="en-US" w:eastAsia="zh-CN"/>
        </w:rPr>
        <w:t>2.86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25.18</w:t>
      </w:r>
      <w:r>
        <w:rPr>
          <w:rFonts w:ascii="Times New Roman" w:hAnsi="Times New Roman" w:eastAsia="仿宋_GB2312" w:cs="Times New Roman"/>
          <w:sz w:val="32"/>
          <w:szCs w:val="32"/>
        </w:rPr>
        <w:t>%。其中：</w:t>
      </w:r>
    </w:p>
    <w:p w14:paraId="0CF11D2F">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决算数等于预算数，主要原因是我单位严格按预算执行决算</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与上年一致，无增减变动，主要原因是两年均未购置公务用车。本单位</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p>
    <w:p w14:paraId="3794DB04">
      <w:pPr>
        <w:pStyle w:val="13"/>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99.44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2.86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25.18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color w:val="auto"/>
          <w:kern w:val="0"/>
          <w:sz w:val="32"/>
          <w:szCs w:val="32"/>
          <w:lang w:val="en-US" w:eastAsia="zh-CN" w:bidi="ar-SA"/>
        </w:rPr>
        <w:t>按预算严控</w:t>
      </w:r>
      <w:r>
        <w:rPr>
          <w:rFonts w:hint="eastAsia" w:ascii="Times New Roman" w:hAnsi="Times New Roman" w:eastAsia="仿宋_GB2312" w:cs="Times New Roman"/>
          <w:color w:val="auto"/>
          <w:kern w:val="0"/>
          <w:sz w:val="32"/>
          <w:szCs w:val="32"/>
          <w:lang w:val="zh-CN" w:eastAsia="zh-CN" w:bidi="ar-SA"/>
        </w:rPr>
        <w:t>按规定保留的公务用车的燃料费、维修费、过桥过路费、保险费、安全奖励费用等支出</w:t>
      </w:r>
      <w:r>
        <w:rPr>
          <w:rFonts w:ascii="Times New Roman" w:hAnsi="Times New Roman" w:eastAsia="仿宋_GB2312" w:cs="Times New Roman"/>
          <w:color w:val="auto"/>
          <w:kern w:val="0"/>
          <w:sz w:val="32"/>
          <w:szCs w:val="32"/>
          <w:lang w:val="en-US" w:eastAsia="zh-CN" w:bidi="ar-SA"/>
        </w:rPr>
        <w:t>。</w:t>
      </w:r>
      <w:r>
        <w:rPr>
          <w:rFonts w:ascii="Times New Roman" w:hAnsi="Times New Roman" w:eastAsia="仿宋_GB2312" w:cs="Times New Roman"/>
          <w:sz w:val="32"/>
          <w:szCs w:val="32"/>
        </w:rPr>
        <w:t>决算数小于上年数的主要原因是</w:t>
      </w:r>
      <w:r>
        <w:rPr>
          <w:rFonts w:hint="eastAsia" w:ascii="仿宋" w:hAnsi="仿宋" w:eastAsia="仿宋"/>
          <w:color w:val="000000"/>
          <w:sz w:val="32"/>
          <w:szCs w:val="24"/>
          <w:highlight w:val="white"/>
          <w:lang w:val="en-US"/>
        </w:rPr>
        <w:t>认真贯彻落实中央“八项规定”精神和厉行节约要求，从严控制“三公”经费开支</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辆。</w:t>
      </w:r>
    </w:p>
    <w:p w14:paraId="3A05283A">
      <w:pPr>
        <w:numPr>
          <w:ilvl w:val="0"/>
          <w:numId w:val="0"/>
        </w:numPr>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2"/>
          <w:sz w:val="32"/>
          <w:szCs w:val="32"/>
          <w:lang w:val="en-US" w:eastAsia="zh-CN" w:bidi="ar-SA"/>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0.42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2"/>
          <w:sz w:val="32"/>
          <w:szCs w:val="32"/>
          <w:lang w:val="en-US" w:eastAsia="zh-CN" w:bidi="ar-SA"/>
        </w:rPr>
        <w:t>决算数小于预算数的主要原因是</w:t>
      </w:r>
      <w:r>
        <w:rPr>
          <w:rFonts w:hint="eastAsia" w:ascii="Times New Roman" w:hAnsi="Times New Roman" w:eastAsia="仿宋_GB2312" w:cs="Times New Roman"/>
          <w:kern w:val="2"/>
          <w:sz w:val="32"/>
          <w:szCs w:val="32"/>
          <w:lang w:val="en-US" w:eastAsia="zh-CN" w:bidi="ar-SA"/>
        </w:rPr>
        <w:t>认真贯彻落实中央“八项规定”精神和厉行节约要求，从严控制“三公”经费开支</w:t>
      </w:r>
      <w:r>
        <w:rPr>
          <w:rFonts w:ascii="Times New Roman" w:hAnsi="Times New Roman" w:eastAsia="仿宋_GB2312" w:cs="Times New Roman"/>
          <w:kern w:val="2"/>
          <w:sz w:val="32"/>
          <w:szCs w:val="32"/>
          <w:lang w:val="en-US" w:eastAsia="zh-CN" w:bidi="ar-SA"/>
        </w:rPr>
        <w:t>。决算数小于上年数的主要原因是</w:t>
      </w:r>
      <w:r>
        <w:rPr>
          <w:rFonts w:hint="eastAsia" w:ascii="Times New Roman" w:hAnsi="Times New Roman" w:eastAsia="仿宋_GB2312" w:cs="Times New Roman"/>
          <w:kern w:val="2"/>
          <w:sz w:val="32"/>
          <w:szCs w:val="32"/>
          <w:lang w:val="en-US" w:eastAsia="zh-CN" w:bidi="ar-SA"/>
        </w:rPr>
        <w:t>从严控制“三公”经费开支，省内无接待</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37C0E2A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56943CB3">
      <w:pPr>
        <w:pStyle w:val="13"/>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w:t>
      </w:r>
      <w:r>
        <w:rPr>
          <w:rFonts w:hint="eastAsia" w:ascii="仿宋" w:hAnsi="仿宋" w:eastAsia="仿宋"/>
          <w:color w:val="auto"/>
          <w:sz w:val="32"/>
          <w:szCs w:val="24"/>
          <w:highlight w:val="white"/>
          <w:lang w:val="en-US" w:eastAsia="zh-CN"/>
        </w:rPr>
        <w:t>719.92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比上年决算数增加</w:t>
      </w:r>
      <w:r>
        <w:rPr>
          <w:rFonts w:hint="eastAsia" w:ascii="仿宋_GB2312" w:hAnsi="仿宋_GB2312" w:eastAsia="仿宋_GB2312" w:cs="仿宋_GB2312"/>
          <w:sz w:val="32"/>
          <w:szCs w:val="32"/>
          <w:highlight w:val="none"/>
          <w:lang w:val="en-US" w:eastAsia="zh-CN"/>
        </w:rPr>
        <w:t>36.2</w:t>
      </w:r>
      <w:r>
        <w:rPr>
          <w:rFonts w:hint="eastAsia" w:ascii="仿宋_GB2312" w:hAnsi="仿宋_GB2312" w:eastAsia="仿宋_GB2312" w:cs="仿宋_GB2312"/>
          <w:sz w:val="32"/>
          <w:szCs w:val="32"/>
          <w:highlight w:val="none"/>
        </w:rPr>
        <w:t>万元，增长</w:t>
      </w:r>
      <w:r>
        <w:rPr>
          <w:rFonts w:hint="eastAsia" w:ascii="仿宋_GB2312" w:hAnsi="仿宋_GB2312" w:eastAsia="仿宋_GB2312" w:cs="仿宋_GB2312"/>
          <w:sz w:val="32"/>
          <w:szCs w:val="32"/>
          <w:highlight w:val="none"/>
          <w:lang w:val="en-US" w:eastAsia="zh-CN"/>
        </w:rPr>
        <w:t>5.29</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color w:val="auto"/>
          <w:sz w:val="32"/>
          <w:szCs w:val="32"/>
          <w:highlight w:val="none"/>
          <w:lang w:eastAsia="zh-CN"/>
        </w:rPr>
        <w:t>本年度水、电、物业费等运转支出的财政拨款支出比重增加，其他资金支出比重减少</w:t>
      </w:r>
      <w:r>
        <w:rPr>
          <w:rFonts w:hint="eastAsia" w:ascii="楷体" w:hAnsi="楷体" w:eastAsia="楷体" w:cs="楷体"/>
          <w:color w:val="auto"/>
          <w:sz w:val="32"/>
          <w:szCs w:val="32"/>
        </w:rPr>
        <w:t>。</w:t>
      </w:r>
    </w:p>
    <w:p w14:paraId="6254C2A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1834A5CB">
      <w:pPr>
        <w:pStyle w:val="13"/>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度，会议费年初预算2万元，另有项目支出会议费预算2万元，支出决算为2.85万元，完成年初预算的71.25%。</w:t>
      </w:r>
      <w:r>
        <w:rPr>
          <w:rFonts w:hint="eastAsia" w:ascii="仿宋_GB2312" w:hAnsi="仿宋_GB2312" w:eastAsia="仿宋_GB2312" w:cs="仿宋_GB2312"/>
          <w:color w:val="auto"/>
          <w:sz w:val="32"/>
          <w:szCs w:val="32"/>
          <w:lang w:val="en-US" w:eastAsia="zh-CN"/>
        </w:rPr>
        <w:t>用于召开全市住房和城乡建设暨党风廉建设会议、与省住建厅和兴湘集团交流座谈会议，</w:t>
      </w:r>
      <w:r>
        <w:rPr>
          <w:rFonts w:hint="eastAsia" w:ascii="仿宋_GB2312" w:hAnsi="仿宋_GB2312" w:eastAsia="仿宋_GB2312" w:cs="仿宋_GB2312"/>
          <w:color w:val="auto"/>
          <w:sz w:val="32"/>
          <w:szCs w:val="32"/>
        </w:rPr>
        <w:t>人数</w:t>
      </w:r>
      <w:r>
        <w:rPr>
          <w:rFonts w:hint="eastAsia" w:ascii="仿宋_GB2312" w:hAnsi="仿宋_GB2312" w:eastAsia="仿宋_GB2312" w:cs="仿宋_GB2312"/>
          <w:color w:val="auto"/>
          <w:sz w:val="32"/>
          <w:szCs w:val="32"/>
          <w:lang w:val="en-US" w:eastAsia="zh-CN"/>
        </w:rPr>
        <w:t>118</w:t>
      </w:r>
      <w:r>
        <w:rPr>
          <w:rFonts w:hint="eastAsia" w:ascii="仿宋_GB2312" w:hAnsi="仿宋_GB2312" w:eastAsia="仿宋_GB2312" w:cs="仿宋_GB2312"/>
          <w:color w:val="auto"/>
          <w:sz w:val="32"/>
          <w:szCs w:val="32"/>
        </w:rPr>
        <w:t>人，内容为</w:t>
      </w:r>
      <w:r>
        <w:rPr>
          <w:rFonts w:hint="eastAsia" w:ascii="仿宋_GB2312" w:hAnsi="仿宋_GB2312" w:eastAsia="仿宋_GB2312" w:cs="仿宋_GB2312"/>
          <w:color w:val="auto"/>
          <w:sz w:val="32"/>
          <w:szCs w:val="32"/>
          <w:lang w:eastAsia="zh-CN"/>
        </w:rPr>
        <w:t>总结</w:t>
      </w:r>
      <w:r>
        <w:rPr>
          <w:rFonts w:hint="eastAsia" w:ascii="仿宋_GB2312" w:hAnsi="仿宋_GB2312" w:eastAsia="仿宋_GB2312" w:cs="仿宋_GB2312"/>
          <w:color w:val="auto"/>
          <w:sz w:val="32"/>
          <w:szCs w:val="32"/>
          <w:lang w:val="en-US" w:eastAsia="zh-CN"/>
        </w:rPr>
        <w:t>2024年全市住房城乡建设工作暨2025年工作规划、省厅支持我市住建工作及企业交流等</w:t>
      </w:r>
      <w:r>
        <w:rPr>
          <w:rFonts w:hint="eastAsia" w:ascii="仿宋_GB2312" w:hAnsi="仿宋_GB2312" w:eastAsia="仿宋_GB2312" w:cs="仿宋_GB2312"/>
          <w:color w:val="auto"/>
          <w:sz w:val="32"/>
          <w:szCs w:val="32"/>
          <w:lang w:eastAsia="zh-CN"/>
        </w:rPr>
        <w:t>。</w:t>
      </w:r>
    </w:p>
    <w:p w14:paraId="2F1F2F5B">
      <w:pPr>
        <w:widowControl w:val="0"/>
        <w:autoSpaceDE w:val="0"/>
        <w:autoSpaceDN w:val="0"/>
        <w:adjustRightInd w:val="0"/>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培训费年初预算9万元，</w:t>
      </w:r>
      <w:r>
        <w:rPr>
          <w:rFonts w:hint="eastAsia" w:ascii="仿宋_GB2312" w:hAnsi="仿宋_GB2312" w:eastAsia="仿宋_GB2312" w:cs="仿宋_GB2312"/>
          <w:color w:val="auto"/>
          <w:sz w:val="32"/>
          <w:szCs w:val="32"/>
          <w:lang w:val="en-US" w:eastAsia="zh-CN"/>
        </w:rPr>
        <w:t>另有项目支出培训费预算5.59万元，</w:t>
      </w:r>
      <w:r>
        <w:rPr>
          <w:rFonts w:hint="eastAsia" w:ascii="仿宋_GB2312" w:hAnsi="仿宋_GB2312" w:eastAsia="仿宋_GB2312" w:cs="仿宋_GB2312"/>
          <w:color w:val="auto"/>
          <w:kern w:val="0"/>
          <w:sz w:val="32"/>
          <w:szCs w:val="32"/>
          <w:lang w:val="en-US" w:eastAsia="zh-CN" w:bidi="ar-SA"/>
        </w:rPr>
        <w:t>支出决算为8.06万元，完成年初预算的55.24%。用于开展干部职工党校培训和</w:t>
      </w:r>
      <w:r>
        <w:rPr>
          <w:rFonts w:hint="eastAsia" w:ascii="仿宋" w:hAnsi="仿宋" w:eastAsia="仿宋"/>
          <w:color w:val="auto"/>
          <w:kern w:val="0"/>
          <w:sz w:val="32"/>
          <w:szCs w:val="24"/>
          <w:highlight w:val="white"/>
          <w:lang w:val="en-US" w:eastAsia="zh-CN"/>
        </w:rPr>
        <w:t>建筑行业从业人员培训</w:t>
      </w:r>
      <w:r>
        <w:rPr>
          <w:rFonts w:hint="eastAsia" w:ascii="仿宋_GB2312" w:hAnsi="仿宋_GB2312" w:eastAsia="仿宋_GB2312" w:cs="仿宋_GB2312"/>
          <w:color w:val="auto"/>
          <w:kern w:val="0"/>
          <w:sz w:val="32"/>
          <w:szCs w:val="32"/>
          <w:lang w:val="en-US" w:eastAsia="zh-CN" w:bidi="ar-SA"/>
        </w:rPr>
        <w:t>，人数</w:t>
      </w:r>
      <w:r>
        <w:rPr>
          <w:rFonts w:hint="eastAsia" w:ascii="仿宋" w:hAnsi="仿宋" w:eastAsia="仿宋"/>
          <w:color w:val="auto"/>
          <w:kern w:val="0"/>
          <w:sz w:val="32"/>
          <w:szCs w:val="24"/>
          <w:highlight w:val="white"/>
          <w:lang w:val="en-US" w:eastAsia="zh-CN"/>
        </w:rPr>
        <w:t>2.35万</w:t>
      </w:r>
      <w:r>
        <w:rPr>
          <w:rFonts w:hint="eastAsia" w:ascii="仿宋_GB2312" w:hAnsi="仿宋_GB2312" w:eastAsia="仿宋_GB2312" w:cs="仿宋_GB2312"/>
          <w:color w:val="auto"/>
          <w:kern w:val="0"/>
          <w:sz w:val="32"/>
          <w:szCs w:val="32"/>
          <w:lang w:val="en-US" w:eastAsia="zh-CN" w:bidi="ar-SA"/>
        </w:rPr>
        <w:t>人，内容为</w:t>
      </w:r>
      <w:r>
        <w:rPr>
          <w:rFonts w:hint="eastAsia" w:ascii="仿宋" w:hAnsi="仿宋" w:eastAsia="仿宋"/>
          <w:color w:val="auto"/>
          <w:kern w:val="0"/>
          <w:sz w:val="32"/>
          <w:szCs w:val="24"/>
          <w:highlight w:val="white"/>
          <w:lang w:val="en-US" w:eastAsia="zh-CN"/>
        </w:rPr>
        <w:t>施工企业主要负责人、项目负责人和专职安全生产管理人员及建筑施工特种作业人员</w:t>
      </w:r>
      <w:r>
        <w:rPr>
          <w:rFonts w:hint="eastAsia" w:ascii="仿宋_GB2312" w:hAnsi="仿宋_GB2312" w:eastAsia="仿宋_GB2312" w:cs="仿宋_GB2312"/>
          <w:color w:val="auto"/>
          <w:kern w:val="0"/>
          <w:sz w:val="32"/>
          <w:szCs w:val="32"/>
          <w:lang w:val="en-US" w:eastAsia="zh-CN" w:bidi="ar-SA"/>
        </w:rPr>
        <w:t>培训。</w:t>
      </w:r>
    </w:p>
    <w:p w14:paraId="108B4F76">
      <w:pPr>
        <w:widowControl w:val="0"/>
        <w:autoSpaceDE w:val="0"/>
        <w:autoSpaceDN w:val="0"/>
        <w:adjustRightInd w:val="0"/>
        <w:ind w:firstLine="640" w:firstLineChars="200"/>
        <w:rPr>
          <w:rFonts w:hint="eastAsia" w:ascii="仿宋_GB2312" w:hAnsi="仿宋_GB2312" w:eastAsia="仿宋_GB2312" w:cs="仿宋_GB2312"/>
          <w:b/>
          <w:bCs/>
          <w:i/>
          <w:color w:val="auto"/>
          <w:kern w:val="0"/>
          <w:sz w:val="32"/>
          <w:szCs w:val="32"/>
          <w:highlight w:val="yellow"/>
          <w:lang w:val="en-US" w:eastAsia="zh-CN" w:bidi="ar-SA"/>
        </w:rPr>
      </w:pPr>
      <w:r>
        <w:rPr>
          <w:rFonts w:hint="eastAsia" w:ascii="仿宋_GB2312" w:hAnsi="仿宋_GB2312" w:eastAsia="仿宋_GB2312" w:cs="仿宋_GB2312"/>
          <w:color w:val="auto"/>
          <w:kern w:val="0"/>
          <w:sz w:val="32"/>
          <w:szCs w:val="32"/>
          <w:lang w:val="en-US" w:eastAsia="zh-CN" w:bidi="ar-SA"/>
        </w:rPr>
        <w:t>举办节庆、晚会、论坛、赛事活动年初预算0万元，支出决算为0万元。本单位无举办节庆、晚会、论坛、赛事等活动的预算和支出决算数。</w:t>
      </w:r>
    </w:p>
    <w:p w14:paraId="00237C9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5A9F4E7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 w:hAnsi="仿宋" w:eastAsia="仿宋"/>
          <w:color w:val="auto"/>
          <w:sz w:val="32"/>
          <w:szCs w:val="24"/>
          <w:highlight w:val="white"/>
          <w:lang w:val="en-US"/>
        </w:rPr>
        <w:t>2792.58</w:t>
      </w:r>
      <w:r>
        <w:rPr>
          <w:rFonts w:hint="eastAsia" w:ascii="仿宋_GB2312" w:hAnsi="仿宋_GB2312" w:eastAsia="仿宋_GB2312" w:cs="仿宋_GB2312"/>
          <w:sz w:val="32"/>
          <w:szCs w:val="32"/>
        </w:rPr>
        <w:t>万元，其中：政府采购货物支出</w:t>
      </w:r>
      <w:r>
        <w:rPr>
          <w:rFonts w:hint="eastAsia" w:ascii="仿宋" w:hAnsi="仿宋" w:eastAsia="仿宋"/>
          <w:color w:val="auto"/>
          <w:sz w:val="32"/>
          <w:szCs w:val="24"/>
          <w:highlight w:val="white"/>
          <w:lang w:val="en-US"/>
        </w:rPr>
        <w:t>76.12</w:t>
      </w:r>
      <w:r>
        <w:rPr>
          <w:rFonts w:hint="eastAsia" w:ascii="仿宋_GB2312" w:hAnsi="仿宋_GB2312" w:eastAsia="仿宋_GB2312" w:cs="仿宋_GB2312"/>
          <w:sz w:val="32"/>
          <w:szCs w:val="32"/>
        </w:rPr>
        <w:t>万元、政府采购工程支出</w:t>
      </w:r>
      <w:r>
        <w:rPr>
          <w:rFonts w:hint="eastAsia" w:ascii="仿宋" w:hAnsi="仿宋" w:eastAsia="仿宋"/>
          <w:color w:val="auto"/>
          <w:sz w:val="32"/>
          <w:szCs w:val="24"/>
          <w:highlight w:val="white"/>
          <w:lang w:val="en-US"/>
        </w:rPr>
        <w:t>1569.06</w:t>
      </w:r>
      <w:r>
        <w:rPr>
          <w:rFonts w:hint="eastAsia" w:ascii="仿宋_GB2312" w:hAnsi="仿宋_GB2312" w:eastAsia="仿宋_GB2312" w:cs="仿宋_GB2312"/>
          <w:sz w:val="32"/>
          <w:szCs w:val="32"/>
        </w:rPr>
        <w:t>万元、政府采购服务支出</w:t>
      </w:r>
      <w:r>
        <w:rPr>
          <w:rFonts w:hint="eastAsia" w:ascii="仿宋" w:hAnsi="仿宋" w:eastAsia="仿宋"/>
          <w:color w:val="auto"/>
          <w:sz w:val="32"/>
          <w:szCs w:val="24"/>
          <w:highlight w:val="white"/>
          <w:lang w:val="en-US"/>
        </w:rPr>
        <w:t>1147.41</w:t>
      </w:r>
      <w:r>
        <w:rPr>
          <w:rFonts w:hint="eastAsia" w:ascii="仿宋_GB2312" w:hAnsi="仿宋_GB2312" w:eastAsia="仿宋_GB2312" w:cs="仿宋_GB2312"/>
          <w:sz w:val="32"/>
          <w:szCs w:val="32"/>
        </w:rPr>
        <w:t>万元。授予中小企业合同金额</w:t>
      </w:r>
      <w:r>
        <w:rPr>
          <w:rFonts w:hint="eastAsia" w:ascii="仿宋" w:hAnsi="仿宋" w:eastAsia="仿宋"/>
          <w:color w:val="auto"/>
          <w:sz w:val="32"/>
          <w:szCs w:val="24"/>
          <w:highlight w:val="white"/>
          <w:lang w:val="en-US"/>
        </w:rPr>
        <w:t>2781.29</w:t>
      </w:r>
      <w:r>
        <w:rPr>
          <w:rFonts w:hint="eastAsia" w:ascii="仿宋_GB2312" w:hAnsi="仿宋_GB2312" w:eastAsia="仿宋_GB2312" w:cs="仿宋_GB2312"/>
          <w:sz w:val="32"/>
          <w:szCs w:val="32"/>
        </w:rPr>
        <w:t>万元，占政府采购支出总额的</w:t>
      </w:r>
      <w:r>
        <w:rPr>
          <w:rFonts w:hint="eastAsia" w:ascii="仿宋" w:hAnsi="仿宋" w:eastAsia="仿宋"/>
          <w:color w:val="auto"/>
          <w:sz w:val="32"/>
          <w:szCs w:val="24"/>
          <w:highlight w:val="white"/>
          <w:lang w:val="en-US"/>
        </w:rPr>
        <w:t>99.6</w:t>
      </w:r>
      <w:r>
        <w:rPr>
          <w:rFonts w:hint="eastAsia" w:ascii="仿宋_GB2312" w:hAnsi="仿宋_GB2312" w:eastAsia="仿宋_GB2312" w:cs="仿宋_GB2312"/>
          <w:sz w:val="32"/>
          <w:szCs w:val="32"/>
        </w:rPr>
        <w:t>%，其中：授予小微企业合同金额</w:t>
      </w:r>
      <w:r>
        <w:rPr>
          <w:rFonts w:hint="eastAsia" w:ascii="仿宋" w:hAnsi="仿宋" w:eastAsia="仿宋"/>
          <w:color w:val="auto"/>
          <w:sz w:val="32"/>
          <w:szCs w:val="24"/>
          <w:highlight w:val="white"/>
          <w:lang w:val="en-US"/>
        </w:rPr>
        <w:t>215.66</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 w:hAnsi="仿宋" w:eastAsia="仿宋"/>
          <w:color w:val="auto"/>
          <w:sz w:val="32"/>
          <w:szCs w:val="24"/>
          <w:highlight w:val="white"/>
          <w:lang w:val="en-US"/>
        </w:rPr>
        <w:t>7.75</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 w:hAnsi="仿宋" w:eastAsia="仿宋"/>
          <w:color w:val="auto"/>
          <w:sz w:val="32"/>
          <w:szCs w:val="24"/>
          <w:highlight w:val="white"/>
          <w:lang w:val="en-US"/>
        </w:rPr>
        <w:t>2.73</w:t>
      </w:r>
      <w:r>
        <w:rPr>
          <w:rFonts w:hint="eastAsia" w:ascii="仿宋_GB2312" w:hAnsi="仿宋_GB2312" w:eastAsia="仿宋_GB2312" w:cs="仿宋_GB2312"/>
          <w:color w:val="auto"/>
          <w:sz w:val="32"/>
          <w:szCs w:val="32"/>
        </w:rPr>
        <w:t>%，工程采购授予中小企业合同金额占工程支出金额的</w:t>
      </w:r>
      <w:r>
        <w:rPr>
          <w:rFonts w:hint="eastAsia" w:ascii="仿宋" w:hAnsi="仿宋" w:eastAsia="仿宋"/>
          <w:color w:val="auto"/>
          <w:sz w:val="32"/>
          <w:szCs w:val="24"/>
          <w:highlight w:val="white"/>
          <w:lang w:val="en-US"/>
        </w:rPr>
        <w:t>56.19</w:t>
      </w:r>
      <w:r>
        <w:rPr>
          <w:rFonts w:hint="eastAsia" w:ascii="仿宋_GB2312" w:hAnsi="仿宋_GB2312" w:eastAsia="仿宋_GB2312" w:cs="仿宋_GB2312"/>
          <w:color w:val="auto"/>
          <w:sz w:val="32"/>
          <w:szCs w:val="32"/>
        </w:rPr>
        <w:t>%，服务采购授予中小企业合同金额占服务支出金额的</w:t>
      </w:r>
      <w:r>
        <w:rPr>
          <w:rFonts w:hint="eastAsia" w:ascii="仿宋" w:hAnsi="仿宋" w:eastAsia="仿宋"/>
          <w:color w:val="auto"/>
          <w:sz w:val="32"/>
          <w:szCs w:val="24"/>
          <w:highlight w:val="white"/>
          <w:lang w:val="en-US"/>
        </w:rPr>
        <w:t>41.09</w:t>
      </w:r>
      <w:r>
        <w:rPr>
          <w:rFonts w:hint="eastAsia" w:ascii="仿宋_GB2312" w:hAnsi="仿宋_GB2312" w:eastAsia="仿宋_GB2312" w:cs="仿宋_GB2312"/>
          <w:color w:val="auto"/>
          <w:sz w:val="32"/>
          <w:szCs w:val="32"/>
        </w:rPr>
        <w:t>%。</w:t>
      </w:r>
    </w:p>
    <w:p w14:paraId="68D9ECE0">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5B400590">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辆，其他用车主要是</w:t>
      </w:r>
      <w:r>
        <w:rPr>
          <w:rFonts w:hint="eastAsia" w:ascii="仿宋" w:hAnsi="仿宋" w:eastAsia="仿宋"/>
          <w:color w:val="auto"/>
          <w:sz w:val="32"/>
          <w:szCs w:val="24"/>
          <w:highlight w:val="white"/>
          <w:lang w:val="en-US"/>
        </w:rPr>
        <w:t>机要通信和应急保障之外公务用途的车辆</w:t>
      </w:r>
      <w:r>
        <w:rPr>
          <w:rFonts w:hint="eastAsia" w:ascii="仿宋_GB2312" w:hAnsi="仿宋_GB2312" w:eastAsia="仿宋_GB2312" w:cs="仿宋_GB2312"/>
          <w:color w:val="auto"/>
          <w:sz w:val="32"/>
          <w:szCs w:val="32"/>
        </w:rPr>
        <w:t>；单位价值100万元以上设备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台（套）。</w:t>
      </w:r>
    </w:p>
    <w:p w14:paraId="150A23C6">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黑体" w:hAnsi="黑体" w:eastAsia="黑体" w:cs="黑体"/>
          <w:b w:val="0"/>
          <w:bCs/>
          <w:color w:val="auto"/>
          <w:sz w:val="32"/>
          <w:szCs w:val="32"/>
          <w:highlight w:val="none"/>
          <w:lang w:eastAsia="zh-CN"/>
        </w:rPr>
        <w:t>2025年度预算绩效管理情况的说明</w:t>
      </w:r>
    </w:p>
    <w:p w14:paraId="4542DC27">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7FA63B80">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度本部门整体支出开展绩效自评，涉及项目</w:t>
      </w:r>
      <w:r>
        <w:rPr>
          <w:rFonts w:hint="eastAsia" w:ascii="Times New Roman" w:hAnsi="Times New Roman" w:eastAsia="仿宋_GB2312" w:cs="Times New Roman"/>
          <w:kern w:val="0"/>
          <w:sz w:val="32"/>
          <w:szCs w:val="32"/>
          <w:lang w:val="en-US" w:eastAsia="zh-CN"/>
        </w:rPr>
        <w:t>36</w:t>
      </w:r>
      <w:r>
        <w:rPr>
          <w:rFonts w:ascii="Times New Roman" w:hAnsi="Times New Roman" w:eastAsia="仿宋_GB2312" w:cs="Times New Roman"/>
          <w:kern w:val="0"/>
          <w:sz w:val="32"/>
          <w:szCs w:val="32"/>
        </w:rPr>
        <w:t>个，共涉及资金</w:t>
      </w:r>
      <w:r>
        <w:rPr>
          <w:rFonts w:hint="default" w:ascii="Times New Roman" w:hAnsi="Times New Roman" w:eastAsia="仿宋_GB2312" w:cs="Times New Roman"/>
          <w:kern w:val="0"/>
          <w:sz w:val="32"/>
          <w:szCs w:val="32"/>
          <w:lang w:val="en-US" w:eastAsia="zh-CN" w:bidi="ar-SA"/>
        </w:rPr>
        <w:t>51050.2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27</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19289.07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80.75</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w:t>
      </w:r>
      <w:r>
        <w:rPr>
          <w:rFonts w:hint="eastAsia" w:ascii="仿宋" w:hAnsi="仿宋" w:eastAsia="仿宋" w:cs="仿宋"/>
          <w:sz w:val="32"/>
          <w:szCs w:val="32"/>
          <w:highlight w:val="none"/>
          <w:lang w:val="en-US" w:eastAsia="zh-CN"/>
        </w:rPr>
        <w:t>22532.8</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14:paraId="602F2595">
      <w:pPr>
        <w:overflowPunct w:val="0"/>
        <w:spacing w:line="600" w:lineRule="exact"/>
        <w:ind w:firstLine="640" w:firstLineChars="200"/>
        <w:rPr>
          <w:rFonts w:hint="eastAsia" w:ascii="Times New Roman" w:hAnsi="Times New Roman" w:eastAsia="仿宋_GB2312" w:cs="Times New Roman"/>
          <w:color w:val="FF0000"/>
          <w:kern w:val="0"/>
          <w:sz w:val="32"/>
          <w:szCs w:val="32"/>
          <w:lang w:eastAsia="zh-CN"/>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hint="eastAsia" w:ascii="Times New Roman" w:hAnsi="Times New Roman" w:eastAsia="仿宋_GB2312" w:cs="Times New Roman"/>
          <w:color w:val="auto"/>
          <w:kern w:val="0"/>
          <w:sz w:val="32"/>
          <w:szCs w:val="32"/>
          <w:lang w:val="en-US" w:eastAsia="zh-CN"/>
        </w:rPr>
        <w:t>本单位及所属单位本年度未开展项目，所以无部门评价开展情况。</w:t>
      </w:r>
    </w:p>
    <w:p w14:paraId="3865DF17">
      <w:pPr>
        <w:overflowPunct w:val="0"/>
        <w:spacing w:line="600" w:lineRule="exact"/>
        <w:ind w:firstLine="640" w:firstLineChars="200"/>
        <w:rPr>
          <w:rFonts w:hint="eastAsia" w:ascii="Times New Roman" w:hAnsi="Times New Roman" w:eastAsia="仿宋_GB2312" w:cs="Times New Roman"/>
          <w:color w:val="FF0000"/>
          <w:kern w:val="0"/>
          <w:sz w:val="32"/>
          <w:szCs w:val="32"/>
          <w:lang w:val="en-US" w:eastAsia="zh-CN"/>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color w:val="auto"/>
          <w:kern w:val="0"/>
          <w:sz w:val="32"/>
          <w:szCs w:val="32"/>
          <w:lang w:val="en-US" w:eastAsia="zh-CN"/>
        </w:rPr>
        <w:t>本单位及所属单位本年度未新增重大政策和重大项目，所以无事前绩效评估开展情况。</w:t>
      </w:r>
    </w:p>
    <w:p w14:paraId="55318E95">
      <w:pPr>
        <w:overflowPunct w:val="0"/>
        <w:spacing w:line="600" w:lineRule="exact"/>
        <w:ind w:firstLine="640" w:firstLineChars="200"/>
        <w:rPr>
          <w:rFonts w:ascii="Times New Roman" w:hAnsi="Times New Roman" w:eastAsia="楷体" w:cs="Times New Roman"/>
          <w:b/>
          <w:bCs/>
          <w:sz w:val="32"/>
          <w:szCs w:val="32"/>
        </w:rPr>
      </w:pPr>
    </w:p>
    <w:p w14:paraId="31553E70">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6C7574E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度本部门整体支出</w:t>
      </w:r>
      <w:r>
        <w:rPr>
          <w:rFonts w:ascii="Times New Roman" w:hAnsi="Times New Roman" w:eastAsia="仿宋_GB2312" w:cs="Times New Roman"/>
          <w:sz w:val="32"/>
          <w:szCs w:val="32"/>
        </w:rPr>
        <w:t>全年预算数</w:t>
      </w:r>
      <w:r>
        <w:rPr>
          <w:rFonts w:hint="default" w:ascii="Times New Roman" w:hAnsi="Times New Roman" w:eastAsia="仿宋_GB2312" w:cs="Times New Roman"/>
          <w:kern w:val="2"/>
          <w:sz w:val="32"/>
          <w:szCs w:val="32"/>
          <w:lang w:val="en-US" w:eastAsia="zh-CN" w:bidi="ar-SA"/>
        </w:rPr>
        <w:t>93963.57</w:t>
      </w:r>
      <w:r>
        <w:rPr>
          <w:rFonts w:ascii="Times New Roman" w:hAnsi="Times New Roman" w:eastAsia="仿宋_GB2312" w:cs="Times New Roman"/>
          <w:sz w:val="32"/>
          <w:szCs w:val="32"/>
        </w:rPr>
        <w:t>万元，执行数</w:t>
      </w:r>
      <w:r>
        <w:rPr>
          <w:rFonts w:hint="default" w:ascii="Times New Roman" w:hAnsi="Times New Roman" w:eastAsia="仿宋_GB2312" w:cs="Times New Roman"/>
          <w:kern w:val="2"/>
          <w:sz w:val="32"/>
          <w:szCs w:val="32"/>
          <w:lang w:val="en-US" w:eastAsia="zh-CN" w:bidi="ar-SA"/>
        </w:rPr>
        <w:t>51050.20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54.33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92.08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仿宋_GB2312" w:hAnsi="仿宋_GB2312" w:eastAsia="仿宋_GB2312" w:cs="仿宋_GB2312"/>
          <w:sz w:val="32"/>
          <w:szCs w:val="32"/>
          <w:highlight w:val="none"/>
          <w:lang w:val="en-US" w:eastAsia="zh-CN"/>
        </w:rPr>
        <w:t>单位统筹预算资金，强化要素保障，整体运转正常有序</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highlight w:val="none"/>
          <w:lang w:val="en-US" w:eastAsia="zh-CN"/>
        </w:rPr>
        <w:t>机关运行经费有效节约</w:t>
      </w:r>
      <w:r>
        <w:rPr>
          <w:rFonts w:ascii="Times New Roman" w:hAnsi="Times New Roman" w:eastAsia="仿宋_GB2312" w:cs="Times New Roman"/>
          <w:sz w:val="32"/>
          <w:szCs w:val="32"/>
        </w:rPr>
        <w:t>。发现的主要问题及原因：一是</w:t>
      </w:r>
      <w:r>
        <w:rPr>
          <w:rFonts w:hint="eastAsia" w:ascii="仿宋_GB2312" w:hAnsi="仿宋_GB2312" w:eastAsia="仿宋_GB2312" w:cs="仿宋_GB2312"/>
          <w:color w:val="000000"/>
          <w:kern w:val="0"/>
          <w:sz w:val="32"/>
          <w:szCs w:val="32"/>
          <w:highlight w:val="none"/>
          <w:lang w:val="en-US" w:eastAsia="zh-CN" w:bidi="ar-SA"/>
        </w:rPr>
        <w:t>因机构改革合并的政策性超编导致的</w:t>
      </w:r>
      <w:r>
        <w:rPr>
          <w:rFonts w:hint="eastAsia" w:ascii="Times New Roman" w:hAnsi="Times New Roman" w:eastAsia="仿宋_GB2312" w:cs="Times New Roman"/>
          <w:kern w:val="2"/>
          <w:sz w:val="32"/>
          <w:szCs w:val="32"/>
          <w:lang w:val="en-US" w:eastAsia="zh-CN" w:bidi="ar-SA"/>
        </w:rPr>
        <w:t>实际在岗人数超编制人数现象</w:t>
      </w:r>
      <w:r>
        <w:rPr>
          <w:rFonts w:hint="eastAsia" w:ascii="Times New Roman" w:hAnsi="Times New Roman" w:eastAsia="仿宋_GB2312" w:cs="Times New Roman"/>
          <w:color w:val="auto"/>
          <w:kern w:val="2"/>
          <w:sz w:val="32"/>
          <w:szCs w:val="32"/>
          <w:lang w:val="en-US" w:eastAsia="zh-CN" w:bidi="ar-SA"/>
        </w:rPr>
        <w:t>仍然存在</w:t>
      </w:r>
      <w:r>
        <w:rPr>
          <w:rFonts w:ascii="Times New Roman" w:hAnsi="Times New Roman" w:eastAsia="仿宋_GB2312" w:cs="Times New Roman"/>
          <w:sz w:val="32"/>
          <w:szCs w:val="32"/>
        </w:rPr>
        <w:t>；二是</w:t>
      </w:r>
      <w:r>
        <w:rPr>
          <w:rFonts w:hint="eastAsia" w:ascii="仿宋_GB2312" w:hAnsi="仿宋_GB2312" w:eastAsia="仿宋_GB2312" w:cs="仿宋_GB2312"/>
          <w:b w:val="0"/>
          <w:bCs w:val="0"/>
          <w:sz w:val="32"/>
          <w:szCs w:val="32"/>
          <w:lang w:val="en-US" w:eastAsia="zh-CN"/>
        </w:rPr>
        <w:t>预算绩效目标编制不够规范；三是</w:t>
      </w:r>
      <w:r>
        <w:rPr>
          <w:rFonts w:hint="eastAsia" w:ascii="仿宋_GB2312" w:hAnsi="仿宋_GB2312" w:eastAsia="仿宋_GB2312" w:cs="仿宋_GB2312"/>
          <w:b w:val="0"/>
          <w:bCs w:val="0"/>
          <w:color w:val="auto"/>
          <w:sz w:val="32"/>
          <w:szCs w:val="32"/>
          <w:lang w:val="en-US" w:eastAsia="zh-CN"/>
        </w:rPr>
        <w:t>预算执行力度有待进一步加强</w:t>
      </w:r>
      <w:r>
        <w:rPr>
          <w:rFonts w:ascii="Times New Roman" w:hAnsi="Times New Roman" w:eastAsia="仿宋_GB2312" w:cs="Times New Roman"/>
          <w:sz w:val="32"/>
          <w:szCs w:val="32"/>
        </w:rPr>
        <w:t>。下一步改进措施：一是</w:t>
      </w:r>
      <w:r>
        <w:rPr>
          <w:rFonts w:hint="eastAsia" w:eastAsia="仿宋_GB2312" w:cs="Times New Roman"/>
          <w:b w:val="0"/>
          <w:bCs w:val="0"/>
          <w:color w:val="000000"/>
          <w:kern w:val="0"/>
          <w:sz w:val="32"/>
          <w:szCs w:val="32"/>
          <w:lang w:val="en-US" w:eastAsia="zh-CN" w:bidi="ar-SA"/>
        </w:rPr>
        <w:t>合理控制在岗人数，</w:t>
      </w:r>
      <w:r>
        <w:rPr>
          <w:rFonts w:hint="eastAsia" w:eastAsia="仿宋_GB2312" w:cs="Times New Roman"/>
          <w:color w:val="000000"/>
          <w:kern w:val="0"/>
          <w:sz w:val="32"/>
          <w:szCs w:val="32"/>
          <w:lang w:val="en-US" w:eastAsia="zh-CN" w:bidi="ar-SA"/>
        </w:rPr>
        <w:t>调整“三定方案”，争取逐步解决政策性超编问题</w:t>
      </w:r>
      <w:r>
        <w:rPr>
          <w:rFonts w:ascii="Times New Roman" w:hAnsi="Times New Roman" w:eastAsia="仿宋_GB2312" w:cs="Times New Roman"/>
          <w:sz w:val="32"/>
          <w:szCs w:val="32"/>
        </w:rPr>
        <w:t>；二是</w:t>
      </w:r>
      <w:r>
        <w:rPr>
          <w:rFonts w:hint="eastAsia" w:ascii="仿宋_GB2312" w:hAnsi="仿宋_GB2312" w:eastAsia="仿宋_GB2312" w:cs="仿宋_GB2312"/>
          <w:b w:val="0"/>
          <w:bCs w:val="0"/>
          <w:color w:val="auto"/>
          <w:sz w:val="32"/>
          <w:szCs w:val="32"/>
          <w:shd w:val="clear" w:color="auto" w:fill="FFFFFF"/>
          <w:lang w:eastAsia="zh-CN"/>
        </w:rPr>
        <w:t>加快</w:t>
      </w:r>
      <w:r>
        <w:rPr>
          <w:rFonts w:hint="eastAsia" w:ascii="仿宋_GB2312" w:hAnsi="仿宋_GB2312" w:eastAsia="仿宋_GB2312" w:cs="仿宋_GB2312"/>
          <w:b w:val="0"/>
          <w:bCs w:val="0"/>
          <w:color w:val="auto"/>
          <w:sz w:val="32"/>
          <w:szCs w:val="32"/>
          <w:shd w:val="clear" w:color="auto" w:fill="FFFFFF"/>
          <w:lang w:val="en-US" w:eastAsia="zh-CN"/>
        </w:rPr>
        <w:t>人才</w:t>
      </w:r>
      <w:r>
        <w:rPr>
          <w:rFonts w:hint="eastAsia" w:ascii="仿宋_GB2312" w:hAnsi="仿宋_GB2312" w:eastAsia="仿宋_GB2312" w:cs="仿宋_GB2312"/>
          <w:b w:val="0"/>
          <w:bCs w:val="0"/>
          <w:color w:val="auto"/>
          <w:sz w:val="32"/>
          <w:szCs w:val="32"/>
          <w:shd w:val="clear" w:color="auto" w:fill="FFFFFF"/>
          <w:lang w:eastAsia="zh-CN"/>
        </w:rPr>
        <w:t>队伍建设，提</w:t>
      </w:r>
      <w:r>
        <w:rPr>
          <w:rFonts w:hint="eastAsia" w:ascii="仿宋_GB2312" w:hAnsi="仿宋_GB2312" w:eastAsia="仿宋_GB2312" w:cs="仿宋_GB2312"/>
          <w:b w:val="0"/>
          <w:bCs w:val="0"/>
          <w:color w:val="auto"/>
          <w:sz w:val="32"/>
          <w:szCs w:val="32"/>
          <w:shd w:val="clear" w:color="auto" w:fill="FFFFFF"/>
          <w:lang w:val="en-US" w:eastAsia="zh-CN"/>
        </w:rPr>
        <w:t>升绩效</w:t>
      </w:r>
      <w:r>
        <w:rPr>
          <w:rFonts w:hint="eastAsia" w:ascii="仿宋_GB2312" w:hAnsi="仿宋_GB2312" w:eastAsia="仿宋_GB2312" w:cs="仿宋_GB2312"/>
          <w:b w:val="0"/>
          <w:bCs w:val="0"/>
          <w:color w:val="auto"/>
          <w:sz w:val="32"/>
          <w:szCs w:val="32"/>
          <w:shd w:val="clear" w:color="auto" w:fill="FFFFFF"/>
          <w:lang w:eastAsia="zh-CN"/>
        </w:rPr>
        <w:t>管理人员专业水平；三是</w:t>
      </w:r>
      <w:r>
        <w:rPr>
          <w:rFonts w:hint="eastAsia" w:ascii="仿宋_GB2312" w:hAnsi="仿宋_GB2312" w:eastAsia="仿宋_GB2312" w:cs="仿宋_GB2312"/>
          <w:b w:val="0"/>
          <w:bCs w:val="0"/>
          <w:color w:val="auto"/>
          <w:sz w:val="32"/>
          <w:szCs w:val="32"/>
          <w:lang w:val="en-US" w:eastAsia="zh-CN"/>
        </w:rPr>
        <w:t>加强部门间交流沟通，完善支付手续，提高资金支付效率</w:t>
      </w:r>
      <w:r>
        <w:rPr>
          <w:rFonts w:ascii="Times New Roman" w:hAnsi="Times New Roman" w:eastAsia="仿宋_GB2312" w:cs="Times New Roman"/>
          <w:sz w:val="32"/>
          <w:szCs w:val="32"/>
        </w:rPr>
        <w:t>。</w:t>
      </w:r>
    </w:p>
    <w:p w14:paraId="0291430D">
      <w:pPr>
        <w:overflowPunct w:val="0"/>
        <w:spacing w:line="600" w:lineRule="exact"/>
        <w:ind w:firstLine="640" w:firstLineChars="200"/>
        <w:rPr>
          <w:rFonts w:ascii="Times New Roman" w:hAnsi="Times New Roman" w:eastAsia="仿宋_GB2312" w:cs="Times New Roman"/>
          <w:color w:val="auto"/>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color w:val="auto"/>
          <w:kern w:val="0"/>
          <w:sz w:val="32"/>
          <w:szCs w:val="32"/>
          <w:lang w:val="en-US" w:eastAsia="zh-CN"/>
        </w:rPr>
        <w:t>本单位及所属单位本年度未开展部门评价，所以无部门评价结果。</w:t>
      </w:r>
    </w:p>
    <w:p w14:paraId="30F76823">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color w:val="auto"/>
          <w:kern w:val="0"/>
          <w:sz w:val="32"/>
          <w:szCs w:val="32"/>
          <w:lang w:val="en-US" w:eastAsia="zh-CN"/>
        </w:rPr>
        <w:t>本单位及所属单位本年度未开展事前绩效评估，所以无事前绩效评估结果。</w:t>
      </w:r>
    </w:p>
    <w:p w14:paraId="5965AD68">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color w:val="FF0000"/>
          <w:sz w:val="32"/>
          <w:szCs w:val="32"/>
        </w:rPr>
      </w:pPr>
    </w:p>
    <w:p w14:paraId="3FEE8206">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31EA1A1B">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336C4A6C">
      <w:pPr>
        <w:pStyle w:val="8"/>
        <w:rPr>
          <w:rFonts w:hint="eastAsia"/>
          <w:lang w:val="en-US" w:eastAsia="zh-CN"/>
        </w:rPr>
      </w:pPr>
    </w:p>
    <w:p w14:paraId="228E9F11">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55471A5F">
      <w:pPr>
        <w:pStyle w:val="13"/>
        <w:jc w:val="both"/>
        <w:rPr>
          <w:rFonts w:hint="eastAsia" w:ascii="方正小标宋_GBK" w:hAnsi="方正小标宋_GBK" w:eastAsia="方正小标宋_GBK" w:cs="方正小标宋_GBK"/>
          <w:sz w:val="24"/>
          <w:szCs w:val="24"/>
        </w:rPr>
      </w:pPr>
    </w:p>
    <w:p w14:paraId="5C2FF794">
      <w:pPr>
        <w:pStyle w:val="13"/>
        <w:jc w:val="center"/>
        <w:rPr>
          <w:rFonts w:hint="eastAsia" w:ascii="方正小标宋_GBK" w:hAnsi="方正小标宋_GBK" w:eastAsia="方正小标宋_GBK" w:cs="方正小标宋_GBK"/>
          <w:sz w:val="72"/>
          <w:szCs w:val="72"/>
        </w:rPr>
      </w:pPr>
    </w:p>
    <w:p w14:paraId="4FF4D93D">
      <w:pPr>
        <w:pStyle w:val="13"/>
        <w:jc w:val="center"/>
        <w:rPr>
          <w:rFonts w:hint="eastAsia" w:ascii="方正小标宋_GBK" w:hAnsi="方正小标宋_GBK" w:eastAsia="方正小标宋_GBK" w:cs="方正小标宋_GBK"/>
          <w:sz w:val="72"/>
          <w:szCs w:val="72"/>
        </w:rPr>
      </w:pPr>
    </w:p>
    <w:p w14:paraId="0A8F8408">
      <w:pPr>
        <w:pStyle w:val="13"/>
        <w:jc w:val="center"/>
        <w:rPr>
          <w:rFonts w:hint="eastAsia" w:ascii="方正小标宋_GBK" w:hAnsi="方正小标宋_GBK" w:eastAsia="方正小标宋_GBK" w:cs="方正小标宋_GBK"/>
          <w:sz w:val="72"/>
          <w:szCs w:val="72"/>
        </w:rPr>
      </w:pPr>
    </w:p>
    <w:p w14:paraId="57686C67">
      <w:pPr>
        <w:pStyle w:val="13"/>
        <w:jc w:val="center"/>
        <w:rPr>
          <w:rFonts w:hint="eastAsia" w:ascii="方正小标宋_GBK" w:hAnsi="方正小标宋_GBK" w:eastAsia="方正小标宋_GBK" w:cs="方正小标宋_GBK"/>
          <w:sz w:val="72"/>
          <w:szCs w:val="72"/>
        </w:rPr>
      </w:pPr>
    </w:p>
    <w:p w14:paraId="543C5A39">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FCB81B1">
      <w:pPr>
        <w:jc w:val="center"/>
        <w:rPr>
          <w:rFonts w:hint="eastAsia" w:ascii="方正小标宋_GBK" w:hAnsi="方正小标宋_GBK" w:eastAsia="方正小标宋_GBK" w:cs="方正小标宋_GBK"/>
          <w:color w:val="000000"/>
          <w:kern w:val="0"/>
          <w:sz w:val="70"/>
          <w:szCs w:val="70"/>
        </w:rPr>
      </w:pPr>
    </w:p>
    <w:p w14:paraId="6A3C1356">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26805171">
      <w:pPr>
        <w:pStyle w:val="8"/>
      </w:pPr>
    </w:p>
    <w:p w14:paraId="1FE3A2BC">
      <w:pPr>
        <w:pStyle w:val="2"/>
      </w:pPr>
    </w:p>
    <w:p w14:paraId="4261353D"/>
    <w:p w14:paraId="69D216D2">
      <w:pPr>
        <w:pStyle w:val="8"/>
      </w:pPr>
    </w:p>
    <w:p w14:paraId="271A46A0">
      <w:pPr>
        <w:pStyle w:val="2"/>
      </w:pPr>
    </w:p>
    <w:p w14:paraId="5F0A627D"/>
    <w:p w14:paraId="613A0D28">
      <w:pPr>
        <w:pStyle w:val="8"/>
      </w:pPr>
    </w:p>
    <w:p w14:paraId="3801DA6C">
      <w:pPr>
        <w:pStyle w:val="2"/>
      </w:pPr>
    </w:p>
    <w:p w14:paraId="46739D63"/>
    <w:p w14:paraId="2482E2B2">
      <w:pPr>
        <w:pStyle w:val="8"/>
      </w:pPr>
    </w:p>
    <w:p w14:paraId="28D07166">
      <w:pPr>
        <w:pStyle w:val="2"/>
      </w:pPr>
    </w:p>
    <w:p w14:paraId="6519AD81"/>
    <w:p w14:paraId="608FA343">
      <w:pPr>
        <w:pStyle w:val="8"/>
      </w:pPr>
    </w:p>
    <w:p w14:paraId="68D52143">
      <w:pPr>
        <w:pStyle w:val="2"/>
      </w:pPr>
    </w:p>
    <w:p w14:paraId="35D6D727"/>
    <w:p w14:paraId="2D981BDB">
      <w:pPr>
        <w:pStyle w:val="8"/>
      </w:pPr>
    </w:p>
    <w:p w14:paraId="5B517DCC">
      <w:pPr>
        <w:ind w:firstLine="640" w:firstLineChars="200"/>
        <w:jc w:val="left"/>
        <w:rPr>
          <w:rFonts w:hint="eastAsia" w:ascii="仿宋_GB2312" w:hAnsi="仿宋_GB2312" w:eastAsia="仿宋_GB2312" w:cs="仿宋_GB2312"/>
          <w:color w:val="000000"/>
          <w:kern w:val="0"/>
          <w:sz w:val="32"/>
          <w:szCs w:val="32"/>
        </w:rPr>
      </w:pPr>
    </w:p>
    <w:p w14:paraId="352F73CB">
      <w:pPr>
        <w:ind w:firstLine="640" w:firstLineChars="200"/>
        <w:jc w:val="left"/>
        <w:rPr>
          <w:rFonts w:hint="eastAsia" w:ascii="仿宋_GB2312" w:hAnsi="仿宋_GB2312" w:eastAsia="仿宋_GB2312" w:cs="仿宋_GB2312"/>
          <w:color w:val="000000"/>
          <w:kern w:val="0"/>
          <w:sz w:val="32"/>
          <w:szCs w:val="32"/>
        </w:rPr>
      </w:pPr>
      <w:bookmarkStart w:id="0" w:name="_GoBack"/>
      <w:bookmarkEnd w:id="0"/>
    </w:p>
    <w:p w14:paraId="587A247B">
      <w:pPr>
        <w:ind w:firstLine="640" w:firstLineChars="200"/>
        <w:jc w:val="left"/>
        <w:rPr>
          <w:rFonts w:hint="eastAsia" w:ascii="仿宋_GB2312" w:hAnsi="仿宋_GB2312" w:eastAsia="仿宋_GB2312" w:cs="仿宋_GB2312"/>
          <w:color w:val="000000"/>
          <w:kern w:val="0"/>
          <w:sz w:val="32"/>
          <w:szCs w:val="32"/>
        </w:rPr>
      </w:pPr>
    </w:p>
    <w:p w14:paraId="310BD8FA">
      <w:pPr>
        <w:pStyle w:val="8"/>
        <w:rPr>
          <w:rFonts w:hint="eastAsia"/>
        </w:rPr>
      </w:pPr>
    </w:p>
    <w:p w14:paraId="718F1A4D">
      <w:pPr>
        <w:ind w:firstLine="640" w:firstLineChars="200"/>
        <w:jc w:val="left"/>
        <w:rPr>
          <w:rFonts w:hint="eastAsia" w:ascii="仿宋_GB2312" w:hAnsi="仿宋_GB2312" w:eastAsia="仿宋_GB2312" w:cs="仿宋_GB2312"/>
          <w:color w:val="000000"/>
          <w:kern w:val="0"/>
          <w:sz w:val="32"/>
          <w:szCs w:val="32"/>
        </w:rPr>
      </w:pPr>
    </w:p>
    <w:p w14:paraId="271AA451">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42061EF">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7B775424">
      <w:pPr>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w:t>
      </w:r>
      <w:r>
        <w:rPr>
          <w:rFonts w:ascii="仿宋_GB2312" w:hAnsi="仿宋_GB2312" w:eastAsia="仿宋_GB2312" w:cs="仿宋_GB2312"/>
          <w:color w:val="000000"/>
          <w:kern w:val="0"/>
          <w:sz w:val="32"/>
          <w:szCs w:val="32"/>
        </w:rPr>
        <w:t>基本支出，指保障机构正常运转、完成日常工作任务而发生的人员支出和公用支出。</w:t>
      </w:r>
    </w:p>
    <w:p w14:paraId="2DFB135F">
      <w:pPr>
        <w:spacing w:line="600" w:lineRule="exact"/>
        <w:ind w:firstLine="640" w:firstLineChars="20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四、项目支出，指在基本支出之外为完成特定行政任务和事业发展目标所发生的支出。</w:t>
      </w:r>
    </w:p>
    <w:p w14:paraId="621D3E8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p>
    <w:p w14:paraId="2E898A56">
      <w:pPr>
        <w:pStyle w:val="13"/>
        <w:jc w:val="center"/>
        <w:rPr>
          <w:rFonts w:hint="eastAsia" w:ascii="仿宋_GB2312" w:hAnsi="仿宋_GB2312" w:eastAsia="仿宋_GB2312" w:cs="仿宋_GB2312"/>
          <w:sz w:val="32"/>
          <w:szCs w:val="32"/>
        </w:rPr>
      </w:pPr>
    </w:p>
    <w:p w14:paraId="089A70A4">
      <w:pPr>
        <w:pStyle w:val="2"/>
      </w:pPr>
    </w:p>
    <w:p w14:paraId="4D0AFFF4"/>
    <w:p w14:paraId="314D5CC2">
      <w:pPr>
        <w:pStyle w:val="8"/>
      </w:pPr>
    </w:p>
    <w:p w14:paraId="75077C19">
      <w:pPr>
        <w:pStyle w:val="2"/>
      </w:pPr>
    </w:p>
    <w:p w14:paraId="0BA3CC7D"/>
    <w:p w14:paraId="54568439">
      <w:pPr>
        <w:pStyle w:val="8"/>
      </w:pPr>
    </w:p>
    <w:p w14:paraId="2B047AF3">
      <w:pPr>
        <w:pStyle w:val="2"/>
      </w:pPr>
    </w:p>
    <w:p w14:paraId="7AC2AD5F"/>
    <w:p w14:paraId="0F5A03A2">
      <w:pPr>
        <w:pStyle w:val="8"/>
      </w:pPr>
    </w:p>
    <w:p w14:paraId="129B5BCA">
      <w:pPr>
        <w:pStyle w:val="2"/>
      </w:pPr>
    </w:p>
    <w:p w14:paraId="79298DCD"/>
    <w:p w14:paraId="4EFEBD0B">
      <w:pPr>
        <w:pStyle w:val="8"/>
      </w:pPr>
    </w:p>
    <w:p w14:paraId="523E4EE1">
      <w:pPr>
        <w:pStyle w:val="2"/>
      </w:pPr>
    </w:p>
    <w:p w14:paraId="6F7704B1"/>
    <w:p w14:paraId="1284F9ED">
      <w:pPr>
        <w:pStyle w:val="8"/>
      </w:pPr>
    </w:p>
    <w:p w14:paraId="7F559617">
      <w:pPr>
        <w:pStyle w:val="2"/>
      </w:pPr>
    </w:p>
    <w:p w14:paraId="15D99C2E"/>
    <w:p w14:paraId="181E541C">
      <w:pPr>
        <w:pStyle w:val="8"/>
      </w:pPr>
    </w:p>
    <w:p w14:paraId="015AECFC">
      <w:pPr>
        <w:pStyle w:val="2"/>
      </w:pPr>
    </w:p>
    <w:p w14:paraId="6B47E3BB"/>
    <w:p w14:paraId="276CCC3D"/>
    <w:p w14:paraId="75F7A856">
      <w:pPr>
        <w:pStyle w:val="8"/>
      </w:pPr>
    </w:p>
    <w:p w14:paraId="36807977">
      <w:pPr>
        <w:pStyle w:val="13"/>
        <w:jc w:val="both"/>
        <w:rPr>
          <w:rFonts w:hint="eastAsia" w:ascii="方正小标宋_GBK" w:hAnsi="方正小标宋_GBK" w:eastAsia="方正小标宋_GBK" w:cs="方正小标宋_GBK"/>
          <w:sz w:val="72"/>
          <w:szCs w:val="72"/>
        </w:rPr>
      </w:pPr>
    </w:p>
    <w:p w14:paraId="6ED35A38">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2A77FE39">
      <w:pPr>
        <w:pStyle w:val="13"/>
        <w:jc w:val="both"/>
        <w:rPr>
          <w:rFonts w:hint="eastAsia" w:ascii="方正小标宋_GBK" w:hAnsi="方正小标宋_GBK" w:eastAsia="方正小标宋_GBK" w:cs="方正小标宋_GBK"/>
          <w:sz w:val="70"/>
          <w:szCs w:val="70"/>
          <w:lang w:eastAsia="zh-CN"/>
        </w:rPr>
      </w:pPr>
    </w:p>
    <w:p w14:paraId="0DA5AA50">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41D34F5B">
      <w:pPr>
        <w:ind w:firstLine="640" w:firstLineChars="200"/>
        <w:jc w:val="left"/>
        <w:rPr>
          <w:rFonts w:hint="eastAsia" w:ascii="宋体" w:hAnsi="宋体" w:eastAsia="宋体" w:cs="黑体"/>
          <w:b/>
          <w:color w:val="000000"/>
          <w:kern w:val="0"/>
          <w:sz w:val="32"/>
          <w:szCs w:val="32"/>
          <w:lang w:val="en-US" w:eastAsia="zh-CN"/>
        </w:rPr>
      </w:pPr>
    </w:p>
    <w:p w14:paraId="23F93285">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01547F8D">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473C689C"/>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240C92"/>
    <w:rsid w:val="012A2FED"/>
    <w:rsid w:val="02AC120A"/>
    <w:rsid w:val="02CF7A3A"/>
    <w:rsid w:val="04553F6E"/>
    <w:rsid w:val="047C7436"/>
    <w:rsid w:val="04FA50C7"/>
    <w:rsid w:val="059958AD"/>
    <w:rsid w:val="059E1945"/>
    <w:rsid w:val="05DF5AD8"/>
    <w:rsid w:val="06C857E7"/>
    <w:rsid w:val="08C24A73"/>
    <w:rsid w:val="09CD45A7"/>
    <w:rsid w:val="0A64315D"/>
    <w:rsid w:val="0D224DF8"/>
    <w:rsid w:val="0D51729D"/>
    <w:rsid w:val="0E3708D3"/>
    <w:rsid w:val="11231F4E"/>
    <w:rsid w:val="11516F03"/>
    <w:rsid w:val="116E041E"/>
    <w:rsid w:val="11944E2C"/>
    <w:rsid w:val="12583BA5"/>
    <w:rsid w:val="13BA5B9C"/>
    <w:rsid w:val="14245AE7"/>
    <w:rsid w:val="1573515B"/>
    <w:rsid w:val="16DE5791"/>
    <w:rsid w:val="18CB084B"/>
    <w:rsid w:val="1AB44942"/>
    <w:rsid w:val="1AC7726A"/>
    <w:rsid w:val="1B4B7383"/>
    <w:rsid w:val="1BCC0B62"/>
    <w:rsid w:val="1C1C7C64"/>
    <w:rsid w:val="1D97DEFF"/>
    <w:rsid w:val="1DE83DB8"/>
    <w:rsid w:val="1DFF72E5"/>
    <w:rsid w:val="1EC10460"/>
    <w:rsid w:val="1EFC6F07"/>
    <w:rsid w:val="1F0527A6"/>
    <w:rsid w:val="20C0056A"/>
    <w:rsid w:val="20FD17BE"/>
    <w:rsid w:val="211B1C44"/>
    <w:rsid w:val="212342BC"/>
    <w:rsid w:val="21E169EA"/>
    <w:rsid w:val="22AC03C2"/>
    <w:rsid w:val="230F7587"/>
    <w:rsid w:val="23E7405F"/>
    <w:rsid w:val="2551032A"/>
    <w:rsid w:val="2653082F"/>
    <w:rsid w:val="283B15FE"/>
    <w:rsid w:val="28ED2DB0"/>
    <w:rsid w:val="28F60FCD"/>
    <w:rsid w:val="29564161"/>
    <w:rsid w:val="295A3CB9"/>
    <w:rsid w:val="2A192AE7"/>
    <w:rsid w:val="2ACB01D7"/>
    <w:rsid w:val="2AF53506"/>
    <w:rsid w:val="2BD15D21"/>
    <w:rsid w:val="2C236465"/>
    <w:rsid w:val="2D076D73"/>
    <w:rsid w:val="2EDF69A7"/>
    <w:rsid w:val="2F2B1DEB"/>
    <w:rsid w:val="2FDF85B8"/>
    <w:rsid w:val="2FE204FD"/>
    <w:rsid w:val="2FFFEE04"/>
    <w:rsid w:val="31C95635"/>
    <w:rsid w:val="34DF85B0"/>
    <w:rsid w:val="35887450"/>
    <w:rsid w:val="384C6E5B"/>
    <w:rsid w:val="38D60D66"/>
    <w:rsid w:val="39290F4A"/>
    <w:rsid w:val="39504729"/>
    <w:rsid w:val="39E70CA2"/>
    <w:rsid w:val="39F63F68"/>
    <w:rsid w:val="3AA27056"/>
    <w:rsid w:val="3B8F36BC"/>
    <w:rsid w:val="3BE075B3"/>
    <w:rsid w:val="3FBC163F"/>
    <w:rsid w:val="409D5D7A"/>
    <w:rsid w:val="43EB5BA5"/>
    <w:rsid w:val="476A10AC"/>
    <w:rsid w:val="491FF225"/>
    <w:rsid w:val="49634005"/>
    <w:rsid w:val="49EF5898"/>
    <w:rsid w:val="4A4F2514"/>
    <w:rsid w:val="4AE859F4"/>
    <w:rsid w:val="4C8F1102"/>
    <w:rsid w:val="4DFC0584"/>
    <w:rsid w:val="4E8E01C0"/>
    <w:rsid w:val="4EC310A1"/>
    <w:rsid w:val="4F8D440C"/>
    <w:rsid w:val="4FFD214C"/>
    <w:rsid w:val="5019366F"/>
    <w:rsid w:val="5134736D"/>
    <w:rsid w:val="523F66B5"/>
    <w:rsid w:val="534E64E2"/>
    <w:rsid w:val="5352765A"/>
    <w:rsid w:val="553810CA"/>
    <w:rsid w:val="56324F65"/>
    <w:rsid w:val="570A5ABF"/>
    <w:rsid w:val="5777D4F5"/>
    <w:rsid w:val="57EBA9D6"/>
    <w:rsid w:val="57F22B6F"/>
    <w:rsid w:val="58B738B1"/>
    <w:rsid w:val="59DD8326"/>
    <w:rsid w:val="5A0013FC"/>
    <w:rsid w:val="5AF1063C"/>
    <w:rsid w:val="5DEF592A"/>
    <w:rsid w:val="5E631F59"/>
    <w:rsid w:val="5E8F2D4E"/>
    <w:rsid w:val="5EB66937"/>
    <w:rsid w:val="5F6A3237"/>
    <w:rsid w:val="5FC6BB1E"/>
    <w:rsid w:val="5FF720F1"/>
    <w:rsid w:val="605E0C2A"/>
    <w:rsid w:val="6110461A"/>
    <w:rsid w:val="622964C1"/>
    <w:rsid w:val="62436329"/>
    <w:rsid w:val="627F0926"/>
    <w:rsid w:val="6402186A"/>
    <w:rsid w:val="646507D9"/>
    <w:rsid w:val="64D5611F"/>
    <w:rsid w:val="66EA76BB"/>
    <w:rsid w:val="676A4358"/>
    <w:rsid w:val="67FF5C0B"/>
    <w:rsid w:val="680315E9"/>
    <w:rsid w:val="69474951"/>
    <w:rsid w:val="69BD2748"/>
    <w:rsid w:val="6A7E1EF5"/>
    <w:rsid w:val="6BAA4A2F"/>
    <w:rsid w:val="6BD72179"/>
    <w:rsid w:val="6C7D68DC"/>
    <w:rsid w:val="6DDEC5C0"/>
    <w:rsid w:val="6E1579F6"/>
    <w:rsid w:val="6E2F4FF9"/>
    <w:rsid w:val="6E3D7395"/>
    <w:rsid w:val="6EFC0924"/>
    <w:rsid w:val="6F9E8580"/>
    <w:rsid w:val="6FB74722"/>
    <w:rsid w:val="6FEF8B7E"/>
    <w:rsid w:val="702A6D7B"/>
    <w:rsid w:val="716350F4"/>
    <w:rsid w:val="717FE77F"/>
    <w:rsid w:val="71A6591B"/>
    <w:rsid w:val="71FC02A3"/>
    <w:rsid w:val="72697ED9"/>
    <w:rsid w:val="737D59BA"/>
    <w:rsid w:val="737F32B1"/>
    <w:rsid w:val="73BD3FCA"/>
    <w:rsid w:val="75735557"/>
    <w:rsid w:val="776BDA01"/>
    <w:rsid w:val="77C37683"/>
    <w:rsid w:val="789E20B4"/>
    <w:rsid w:val="79330944"/>
    <w:rsid w:val="79FF515B"/>
    <w:rsid w:val="7CED2005"/>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4">
    <w:name w:val="toa heading"/>
    <w:basedOn w:val="1"/>
    <w:next w:val="1"/>
    <w:qFormat/>
    <w:uiPriority w:val="99"/>
    <w:pPr>
      <w:spacing w:before="120" w:after="200" w:line="276" w:lineRule="auto"/>
    </w:pPr>
    <w:rPr>
      <w:rFonts w:ascii="Arial" w:hAnsi="Arial"/>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2"/>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24</Pages>
  <Words>2839</Words>
  <Characters>2848</Characters>
  <Lines>63</Lines>
  <Paragraphs>18</Paragraphs>
  <TotalTime>0</TotalTime>
  <ScaleCrop>false</ScaleCrop>
  <LinksUpToDate>false</LinksUpToDate>
  <CharactersWithSpaces>2855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Sufany</cp:lastModifiedBy>
  <cp:lastPrinted>2024-08-11T18:20:00Z</cp:lastPrinted>
  <dcterms:modified xsi:type="dcterms:W3CDTF">2026-09-21T03:07:54Z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eyJoZGlkIjoiM2Q0NzEwZTc1NWY1NDRiZTcyMmQ2OGI3ZDNmZjdjZDUiLCJ1c2VySWQiOiI1NDYxNDY5OTkifQ==</vt:lpwstr>
  </property>
</Properties>
</file>