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仿宋" w:hAnsi="仿宋" w:eastAsia="仿宋" w:cs="仿宋"/>
          <w:b/>
          <w:bCs/>
          <w:sz w:val="24"/>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2</w:t>
      </w:r>
      <w:r>
        <w:rPr>
          <w:rFonts w:hint="eastAsia" w:ascii="仿宋" w:hAnsi="仿宋" w:eastAsia="仿宋" w:cs="仿宋"/>
          <w:b/>
          <w:bCs/>
          <w:sz w:val="36"/>
          <w:szCs w:val="36"/>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lang w:eastAsia="zh-CN"/>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9.671.00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2,600.00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942</w:t>
            </w:r>
            <w:r>
              <w:rPr>
                <w:rFonts w:hint="eastAsia" w:ascii="仿宋_GB2312" w:hAnsi="仿宋_GB2312" w:eastAsia="仿宋_GB2312" w:cs="仿宋_GB2312"/>
                <w:sz w:val="20"/>
                <w:szCs w:val="20"/>
                <w:lang w:val="en-US" w:eastAsia="zh-CN"/>
              </w:rPr>
              <w:t>.00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42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9.671.00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2,600.00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942</w:t>
            </w:r>
            <w:r>
              <w:rPr>
                <w:rFonts w:hint="eastAsia" w:ascii="仿宋_GB2312" w:hAnsi="仿宋_GB2312" w:eastAsia="仿宋_GB2312" w:cs="仿宋_GB2312"/>
                <w:sz w:val="20"/>
                <w:szCs w:val="20"/>
                <w:lang w:val="en-US" w:eastAsia="zh-CN"/>
              </w:rPr>
              <w:t>.00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9,439,242.74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550</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eastAsia="zh-CN"/>
              </w:rPr>
              <w:t>800</w:t>
            </w:r>
            <w:r>
              <w:rPr>
                <w:rFonts w:hint="eastAsia" w:ascii="仿宋_GB2312" w:hAnsi="仿宋_GB2312" w:eastAsia="仿宋_GB2312" w:cs="仿宋_GB2312"/>
                <w:sz w:val="20"/>
                <w:szCs w:val="20"/>
                <w:lang w:val="en-US" w:eastAsia="zh-CN"/>
              </w:rPr>
              <w:t>.00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default" w:ascii="仿宋_GB2312" w:hAnsi="仿宋_GB2312" w:eastAsia="仿宋_GB2312" w:cs="仿宋_GB2312"/>
                <w:sz w:val="20"/>
                <w:szCs w:val="20"/>
                <w:lang w:val="en-US"/>
              </w:rPr>
              <w:t>7</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313</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361.67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其中：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4,818,122.39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140</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980.75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default" w:ascii="仿宋_GB2312" w:hAnsi="仿宋_GB2312" w:eastAsia="仿宋_GB2312" w:cs="仿宋_GB2312"/>
                <w:sz w:val="20"/>
                <w:szCs w:val="20"/>
                <w:lang w:val="en-US"/>
              </w:rPr>
              <w:t>6</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000</w:t>
            </w:r>
            <w:r>
              <w:rPr>
                <w:rFonts w:hint="eastAsia" w:ascii="仿宋_GB2312" w:hAnsi="仿宋_GB2312" w:eastAsia="仿宋_GB2312" w:cs="仿宋_GB2312"/>
                <w:sz w:val="20"/>
                <w:szCs w:val="20"/>
                <w:lang w:val="en-US" w:eastAsia="zh-CN"/>
              </w:rPr>
              <w:t>,</w:t>
            </w:r>
            <w:r>
              <w:rPr>
                <w:rFonts w:hint="default" w:ascii="仿宋_GB2312" w:hAnsi="仿宋_GB2312" w:eastAsia="仿宋_GB2312" w:cs="仿宋_GB2312"/>
                <w:sz w:val="20"/>
                <w:szCs w:val="20"/>
                <w:lang w:val="en-US"/>
              </w:rPr>
              <w:t>213.29</w:t>
            </w:r>
          </w:p>
        </w:tc>
      </w:tr>
      <w:tr>
        <w:tblPrEx>
          <w:tblCellMar>
            <w:top w:w="0" w:type="dxa"/>
            <w:left w:w="108" w:type="dxa"/>
            <w:bottom w:w="0" w:type="dxa"/>
            <w:right w:w="108" w:type="dxa"/>
          </w:tblCellMar>
        </w:tblPrEx>
        <w:trPr>
          <w:trHeight w:val="41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92,721.42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138,960.23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398,286.76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20,000.00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560,493.20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7,461.00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1,000.00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32,701.00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144</w:t>
            </w:r>
            <w:r>
              <w:rPr>
                <w:rFonts w:hint="eastAsia" w:ascii="仿宋_GB2312" w:hAnsi="仿宋_GB2312" w:eastAsia="仿宋_GB2312" w:cs="仿宋_GB2312"/>
                <w:sz w:val="20"/>
                <w:szCs w:val="20"/>
                <w:lang w:val="en-US" w:eastAsia="zh-CN"/>
              </w:rPr>
              <w:t>,</w:t>
            </w:r>
            <w:r>
              <w:rPr>
                <w:rFonts w:hint="eastAsia" w:ascii="仿宋_GB2312" w:hAnsi="仿宋_GB2312" w:eastAsia="仿宋_GB2312" w:cs="仿宋_GB2312"/>
                <w:sz w:val="20"/>
                <w:szCs w:val="20"/>
              </w:rPr>
              <w:t>054.71</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r>
        <w:rPr>
          <w:rFonts w:hint="default" w:ascii="Times New Roman" w:hAnsi="Times New Roman" w:eastAsia="仿宋_GB2312" w:cs="Times New Roman"/>
          <w:sz w:val="22"/>
          <w:szCs w:val="22"/>
        </w:rPr>
        <w:t>填表人：姚淑会  填报日期：</w:t>
      </w:r>
      <w:r>
        <w:rPr>
          <w:rFonts w:hint="eastAsia" w:ascii="Times New Roman" w:hAnsi="Times New Roman" w:eastAsia="仿宋_GB2312" w:cs="Times New Roman"/>
          <w:sz w:val="22"/>
          <w:szCs w:val="22"/>
          <w:lang w:val="en-US" w:eastAsia="zh-CN"/>
        </w:rPr>
        <w:t>2023-9-19</w:t>
      </w:r>
      <w:r>
        <w:rPr>
          <w:rFonts w:hint="default" w:ascii="Times New Roman" w:hAnsi="Times New Roman" w:eastAsia="仿宋_GB2312" w:cs="Times New Roman"/>
          <w:sz w:val="22"/>
          <w:szCs w:val="22"/>
        </w:rPr>
        <w:t xml:space="preserve">  联系电话：18173059960单位负责人签字：</w:t>
      </w:r>
    </w:p>
    <w:p/>
    <w:p>
      <w:pPr>
        <w:pStyle w:val="3"/>
        <w:ind w:left="0" w:leftChars="0" w:firstLine="0" w:firstLineChars="0"/>
      </w:pPr>
    </w:p>
    <w:p>
      <w:pPr>
        <w:widowControl/>
        <w:spacing w:after="0" w:afterLines="0" w:line="4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202</w:t>
      </w:r>
      <w:r>
        <w:rPr>
          <w:rFonts w:hint="eastAsia" w:ascii="仿宋" w:hAnsi="仿宋" w:eastAsia="仿宋" w:cs="仿宋"/>
          <w:b/>
          <w:bCs/>
          <w:color w:val="000000"/>
          <w:sz w:val="36"/>
          <w:szCs w:val="36"/>
          <w:lang w:val="en-US" w:eastAsia="zh-CN"/>
        </w:rPr>
        <w:t>2</w:t>
      </w:r>
      <w:r>
        <w:rPr>
          <w:rFonts w:hint="eastAsia" w:ascii="仿宋" w:hAnsi="仿宋" w:eastAsia="仿宋" w:cs="仿宋"/>
          <w:b/>
          <w:bCs/>
          <w:color w:val="000000"/>
          <w:sz w:val="36"/>
          <w:szCs w:val="36"/>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342"/>
        <w:gridCol w:w="1239"/>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 w:cs="仿宋_GB2312"/>
                <w:color w:val="000000"/>
                <w:sz w:val="20"/>
                <w:szCs w:val="20"/>
                <w:lang w:eastAsia="zh-CN"/>
              </w:rPr>
            </w:pPr>
            <w:r>
              <w:rPr>
                <w:rFonts w:hint="eastAsia" w:ascii="仿宋" w:hAnsi="仿宋" w:eastAsia="仿宋" w:cs="仿宋"/>
                <w:sz w:val="24"/>
                <w:szCs w:val="24"/>
              </w:rPr>
              <w:t>岳阳市</w:t>
            </w:r>
            <w:r>
              <w:rPr>
                <w:rFonts w:hint="eastAsia" w:eastAsia="仿宋" w:cs="仿宋"/>
                <w:sz w:val="24"/>
                <w:szCs w:val="24"/>
                <w:highlight w:val="none"/>
                <w:lang w:val="en-US" w:eastAsia="zh-CN"/>
              </w:rPr>
              <w:t>博物馆</w:t>
            </w:r>
          </w:p>
        </w:tc>
      </w:tr>
      <w:tr>
        <w:tblPrEx>
          <w:tblCellMar>
            <w:top w:w="0" w:type="dxa"/>
            <w:left w:w="108" w:type="dxa"/>
            <w:bottom w:w="0" w:type="dxa"/>
            <w:right w:w="108" w:type="dxa"/>
          </w:tblCellMar>
        </w:tblPrEx>
        <w:trPr>
          <w:trHeight w:val="333" w:hRule="atLeast"/>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34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23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393"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42"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280.97</w:t>
            </w:r>
          </w:p>
        </w:tc>
        <w:tc>
          <w:tcPr>
            <w:tcW w:w="123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1101.37</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1101.37</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309"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按支出性质分：</w:t>
            </w:r>
            <w:r>
              <w:rPr>
                <w:rFonts w:hint="eastAsia" w:ascii="仿宋_GB2312" w:hAnsi="仿宋_GB2312" w:eastAsia="仿宋_GB2312" w:cs="仿宋_GB2312"/>
                <w:sz w:val="20"/>
                <w:szCs w:val="20"/>
                <w:lang w:val="en-US" w:eastAsia="zh-CN"/>
              </w:rPr>
              <w:t>1101.37</w:t>
            </w:r>
          </w:p>
        </w:tc>
      </w:tr>
      <w:tr>
        <w:tblPrEx>
          <w:tblCellMar>
            <w:top w:w="0" w:type="dxa"/>
            <w:left w:w="108" w:type="dxa"/>
            <w:bottom w:w="0" w:type="dxa"/>
            <w:right w:w="108" w:type="dxa"/>
          </w:tblCellMar>
        </w:tblPrEx>
        <w:trPr>
          <w:trHeight w:val="333"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sz w:val="20"/>
                <w:szCs w:val="20"/>
                <w:lang w:val="en-US" w:eastAsia="zh-CN"/>
              </w:rPr>
              <w:t>280.97</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370.03</w:t>
            </w:r>
          </w:p>
        </w:tc>
      </w:tr>
      <w:tr>
        <w:tblPrEx>
          <w:tblCellMar>
            <w:top w:w="0" w:type="dxa"/>
            <w:left w:w="108" w:type="dxa"/>
            <w:bottom w:w="0" w:type="dxa"/>
            <w:right w:w="108" w:type="dxa"/>
          </w:tblCellMar>
        </w:tblPrEx>
        <w:trPr>
          <w:trHeight w:val="358"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政府性预算收入</w:t>
            </w:r>
            <w:r>
              <w:rPr>
                <w:rFonts w:hint="eastAsia" w:ascii="仿宋_GB2312" w:hAnsi="仿宋_GB2312" w:eastAsia="仿宋_GB2312" w:cs="仿宋_GB2312"/>
                <w:color w:val="000000"/>
                <w:sz w:val="20"/>
                <w:szCs w:val="20"/>
              </w:rPr>
              <w:t>：</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731.34</w:t>
            </w:r>
          </w:p>
        </w:tc>
      </w:tr>
      <w:tr>
        <w:tblPrEx>
          <w:tblCellMar>
            <w:top w:w="0" w:type="dxa"/>
            <w:left w:w="108" w:type="dxa"/>
            <w:bottom w:w="0" w:type="dxa"/>
            <w:right w:w="108" w:type="dxa"/>
          </w:tblCellMar>
        </w:tblPrEx>
        <w:trPr>
          <w:trHeight w:val="333"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15"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7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932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numPr>
                <w:ilvl w:val="0"/>
                <w:numId w:val="1"/>
              </w:numPr>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履职尽责，党风廉政建设工作稳步推进；</w:t>
            </w:r>
          </w:p>
          <w:p>
            <w:pPr>
              <w:numPr>
                <w:ilvl w:val="0"/>
                <w:numId w:val="1"/>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严格依照市纪委监委和局党组相关要求，有序开展各项目申报及实施工作；</w:t>
            </w:r>
          </w:p>
          <w:p>
            <w:pPr>
              <w:pStyle w:val="2"/>
              <w:numPr>
                <w:ilvl w:val="0"/>
                <w:numId w:val="1"/>
              </w:numPr>
              <w:ind w:left="0" w:leftChars="0" w:firstLine="0" w:firstLineChars="0"/>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免费开放工作需井然有序，研学社教活动需有声有色进行；</w:t>
            </w:r>
          </w:p>
          <w:p>
            <w:pPr>
              <w:pStyle w:val="3"/>
              <w:numPr>
                <w:ilvl w:val="0"/>
                <w:numId w:val="1"/>
              </w:numPr>
              <w:ind w:left="0" w:leftChars="0" w:firstLine="0" w:firstLineChars="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文物征集保管及保护利用工作需再上台阶；</w:t>
            </w:r>
          </w:p>
          <w:p>
            <w:pPr>
              <w:numPr>
                <w:ilvl w:val="0"/>
                <w:numId w:val="1"/>
              </w:numPr>
              <w:ind w:left="0" w:leftChars="0" w:firstLine="0" w:firstLineChars="0"/>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文物考古工作需进展顺利，提升学术研究水平；</w:t>
            </w:r>
          </w:p>
          <w:p>
            <w:pPr>
              <w:pStyle w:val="2"/>
              <w:numPr>
                <w:ilvl w:val="0"/>
                <w:numId w:val="1"/>
              </w:numPr>
              <w:ind w:left="0" w:leftChars="0" w:firstLine="0" w:firstLineChars="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着力提升博物馆的管理运营水平、专业技术力量和服务品质；</w:t>
            </w:r>
          </w:p>
          <w:p>
            <w:pPr>
              <w:pStyle w:val="3"/>
              <w:numPr>
                <w:ilvl w:val="0"/>
                <w:numId w:val="1"/>
              </w:numPr>
              <w:ind w:left="0" w:leftChars="0" w:firstLine="0" w:firstLineChars="0"/>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加强领导干部的廉洁自律，防微杜渐，严守“诱惑关”；</w:t>
            </w:r>
          </w:p>
          <w:p>
            <w:pPr>
              <w:pStyle w:val="2"/>
              <w:numPr>
                <w:ilvl w:val="0"/>
                <w:numId w:val="0"/>
              </w:numPr>
              <w:rPr>
                <w:rFonts w:hint="eastAsia"/>
                <w:lang w:val="en-US" w:eastAsia="zh-CN"/>
              </w:rPr>
            </w:pPr>
          </w:p>
          <w:p>
            <w:pPr>
              <w:pStyle w:val="2"/>
              <w:numPr>
                <w:ilvl w:val="0"/>
                <w:numId w:val="0"/>
              </w:numPr>
              <w:rPr>
                <w:rFonts w:hint="default"/>
                <w:lang w:val="en-US"/>
              </w:rPr>
            </w:pPr>
          </w:p>
        </w:tc>
        <w:tc>
          <w:tcPr>
            <w:tcW w:w="4304" w:type="dxa"/>
            <w:gridSpan w:val="4"/>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制定了市博物馆2022年度党风廉政建设“一岗双责”工作制度和实施办法，始终坚持民主集中，严格落实“三重一大”决策制度，我党支部始终把学习宣传贯彻党的二十大精神作为当前和今后一段时期的首要政治任务；</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2、已全面完成博物馆消防改造工程（二期）、馆藏文物预防性保护项目的审计结算工作，青铜器、铁器文物保护修复项目已完成国家级专家组技术性竣工验收，长江沿线文物考古调查项目实施进度超50%。正在申报的馆藏漆木质文物修复项目和博物馆安防升级改造项目已获省文物局批准通过，预计2022年3月下达专项资金；</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3、博物馆全年共计免费开放313天，接待游客19.7万人次，完成讲解任务432场/次；</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4、全年接受捐赠11件，接收省考古所移交1135件，修复青铜文物329件/套，铁质文物33件/套，添置文物预防性保护囊匣1615套，文物柜架213组，配备环境检测、文物保护相关仪器、设备71台，中心文物库房形成了集文物藏品保护管理、协调、监测、分析、处理、预案等一系列风险预控机制，大大提升了我馆文物预防性保护水平；</w:t>
            </w:r>
          </w:p>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进行三荷机场改扩建工地、华容县藕池河、胥家桥等3个考古工地发掘，清理明清时期墓葬7座，清代木棺墓21座，出土文物10余件/套。整理、编撰文物考古调查勘探报告42册，在省、市级刊物上发表学术论文和报告文学8篇；</w:t>
            </w:r>
          </w:p>
          <w:p>
            <w:pPr>
              <w:pStyle w:val="2"/>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6、我馆大力推荐、鼓励、组织干部职工，尤其是年青同志积极参加各类业务培训；</w:t>
            </w:r>
          </w:p>
          <w:p>
            <w:pPr>
              <w:pStyle w:val="3"/>
              <w:ind w:left="0" w:leftChars="0" w:firstLine="0" w:firstLineChars="0"/>
              <w:rPr>
                <w:rFonts w:hint="default"/>
                <w:lang w:val="en-US" w:eastAsia="zh-CN"/>
              </w:rPr>
            </w:pPr>
            <w:r>
              <w:rPr>
                <w:rFonts w:hint="eastAsia" w:ascii="仿宋_GB2312" w:hAnsi="仿宋_GB2312" w:eastAsia="仿宋_GB2312" w:cs="仿宋_GB2312"/>
                <w:color w:val="000000"/>
                <w:kern w:val="0"/>
                <w:sz w:val="20"/>
                <w:szCs w:val="20"/>
                <w:lang w:val="en-US" w:eastAsia="zh-CN" w:bidi="ar-SA"/>
              </w:rPr>
              <w:t>7、我馆班子成员皆做到谨言慎行，时刻保持清醒的头脑，做到自尊、自主、自爱、自律、自重，始终按照一名合格党员标准严格要求自已，始终牢记党的宗旨；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偏差原因分析及改进措施</w:t>
            </w:r>
          </w:p>
        </w:tc>
      </w:tr>
      <w:tr>
        <w:tblPrEx>
          <w:tblCellMar>
            <w:top w:w="0" w:type="dxa"/>
            <w:left w:w="108" w:type="dxa"/>
            <w:bottom w:w="0" w:type="dxa"/>
            <w:right w:w="108" w:type="dxa"/>
          </w:tblCellMar>
        </w:tblPrEx>
        <w:trPr>
          <w:trHeight w:val="59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全年共计免费开放天数需≥300天</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≥300天</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313天</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59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接待游客15万人次，需完成讲解任务≥400场/次。</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接待人数≥15万人次/≥400场</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接待人数≥19.7万人次/≥432场</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p>
        </w:tc>
      </w:tr>
      <w:tr>
        <w:tblPrEx>
          <w:tblCellMar>
            <w:top w:w="0" w:type="dxa"/>
            <w:left w:w="108" w:type="dxa"/>
            <w:bottom w:w="0" w:type="dxa"/>
            <w:right w:w="108" w:type="dxa"/>
          </w:tblCellMar>
        </w:tblPrEx>
        <w:trPr>
          <w:trHeight w:val="46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让馆藏文物得到有效保护和合理利用，征集保管部全年共整理、修复陶瓷器文物标本超1000余件</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≥1000件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1146件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40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收取的考古调查勘探经费纳入非税收入</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需纳入</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已纳入</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49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目标任务完成及时率达到100%</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46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预算成本控制≤</w:t>
            </w:r>
            <w:r>
              <w:rPr>
                <w:rFonts w:hint="eastAsia" w:ascii="仿宋_GB2312" w:hAnsi="仿宋_GB2312" w:eastAsia="仿宋_GB2312" w:cs="仿宋_GB2312"/>
                <w:sz w:val="20"/>
                <w:szCs w:val="20"/>
                <w:lang w:val="en-US" w:eastAsia="zh-CN"/>
              </w:rPr>
              <w:t>1101.37</w:t>
            </w:r>
            <w:r>
              <w:rPr>
                <w:rFonts w:hint="eastAsia" w:ascii="仿宋_GB2312" w:hAnsi="仿宋_GB2312" w:eastAsia="仿宋_GB2312" w:cs="仿宋_GB2312"/>
                <w:color w:val="000000"/>
                <w:sz w:val="20"/>
                <w:szCs w:val="20"/>
                <w:lang w:val="en-US" w:eastAsia="zh-CN"/>
              </w:rPr>
              <w:t>万元</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sz w:val="20"/>
                <w:szCs w:val="20"/>
                <w:lang w:val="en-US" w:eastAsia="zh-CN"/>
              </w:rPr>
              <w:t>1101.37万元</w:t>
            </w: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sz w:val="20"/>
                <w:szCs w:val="20"/>
                <w:lang w:val="en-US" w:eastAsia="zh-CN"/>
              </w:rPr>
              <w:t>1101.37</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免费参观，繁荣文物市场，确保文物安全,增加市民文物知识</w:t>
            </w:r>
          </w:p>
        </w:tc>
        <w:tc>
          <w:tcPr>
            <w:tcW w:w="123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较2021年有所提高</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达到效果</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推进文物考古、提高学术研究，丰富馆内文物，提升岳阳文化事业</w:t>
            </w:r>
          </w:p>
        </w:tc>
        <w:tc>
          <w:tcPr>
            <w:tcW w:w="123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较2021年有所提高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达到效果</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4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社会公众满意度≥90%</w:t>
            </w:r>
          </w:p>
        </w:tc>
        <w:tc>
          <w:tcPr>
            <w:tcW w:w="123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67"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both"/>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填表人：姚淑会  填报日期：</w:t>
      </w:r>
      <w:r>
        <w:rPr>
          <w:rFonts w:hint="eastAsia" w:ascii="Times New Roman" w:hAnsi="Times New Roman" w:eastAsia="仿宋_GB2312" w:cs="Times New Roman"/>
          <w:sz w:val="22"/>
          <w:szCs w:val="22"/>
          <w:lang w:val="en-US" w:eastAsia="zh-CN"/>
        </w:rPr>
        <w:t>2023-9-19</w:t>
      </w:r>
      <w:r>
        <w:rPr>
          <w:rFonts w:hint="default" w:ascii="Times New Roman" w:hAnsi="Times New Roman" w:eastAsia="仿宋_GB2312" w:cs="Times New Roman"/>
          <w:sz w:val="22"/>
          <w:szCs w:val="22"/>
        </w:rPr>
        <w:t xml:space="preserve">   联系电话：18173059960单位负责人签字：</w:t>
      </w:r>
    </w:p>
    <w:p/>
    <w:p/>
    <w:p>
      <w:pPr>
        <w:pStyle w:val="2"/>
      </w:pPr>
    </w:p>
    <w:p>
      <w:pPr>
        <w:pStyle w:val="3"/>
      </w:pPr>
    </w:p>
    <w:p/>
    <w:p>
      <w:pPr>
        <w:widowControl/>
        <w:spacing w:line="600" w:lineRule="exact"/>
        <w:jc w:val="both"/>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仿宋" w:hAnsi="仿宋" w:eastAsia="仿宋" w:cs="仿宋"/>
          <w:b/>
          <w:bCs/>
        </w:rPr>
      </w:pPr>
      <w:r>
        <w:rPr>
          <w:rFonts w:hint="eastAsia" w:ascii="仿宋" w:hAnsi="仿宋" w:eastAsia="仿宋" w:cs="仿宋"/>
          <w:b/>
          <w:bCs/>
          <w:color w:val="000000"/>
          <w:sz w:val="36"/>
          <w:szCs w:val="36"/>
        </w:rPr>
        <w:t>202</w:t>
      </w:r>
      <w:r>
        <w:rPr>
          <w:rFonts w:hint="eastAsia" w:ascii="仿宋" w:hAnsi="仿宋" w:eastAsia="仿宋" w:cs="仿宋"/>
          <w:b/>
          <w:bCs/>
          <w:color w:val="000000"/>
          <w:sz w:val="36"/>
          <w:szCs w:val="36"/>
          <w:lang w:val="en-US" w:eastAsia="zh-CN"/>
        </w:rPr>
        <w:t>2</w:t>
      </w:r>
      <w:r>
        <w:rPr>
          <w:rFonts w:hint="eastAsia" w:ascii="仿宋" w:hAnsi="仿宋" w:eastAsia="仿宋" w:cs="仿宋"/>
          <w:b/>
          <w:bCs/>
          <w:color w:val="000000"/>
          <w:sz w:val="36"/>
          <w:szCs w:val="36"/>
        </w:rPr>
        <w:t>年度项目支出绩效自评表</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trHeight w:val="41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文化旅游体育与传媒支出　</w:t>
            </w:r>
          </w:p>
        </w:tc>
      </w:tr>
      <w:tr>
        <w:tblPrEx>
          <w:tblCellMar>
            <w:top w:w="0" w:type="dxa"/>
            <w:left w:w="108" w:type="dxa"/>
            <w:bottom w:w="0" w:type="dxa"/>
            <w:right w:w="108" w:type="dxa"/>
          </w:tblCellMar>
        </w:tblPrEx>
        <w:trPr>
          <w:trHeight w:val="486"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岳阳市</w:t>
            </w:r>
            <w:r>
              <w:rPr>
                <w:rFonts w:hint="eastAsia" w:ascii="仿宋_GB2312" w:hAnsi="仿宋_GB2312" w:eastAsia="仿宋_GB2312" w:cs="仿宋_GB2312"/>
                <w:color w:val="000000"/>
                <w:sz w:val="20"/>
                <w:szCs w:val="20"/>
                <w:lang w:val="en-US" w:eastAsia="zh-CN"/>
              </w:rPr>
              <w:t>博物馆</w:t>
            </w:r>
          </w:p>
        </w:tc>
      </w:tr>
      <w:tr>
        <w:tblPrEx>
          <w:tblCellMar>
            <w:top w:w="0" w:type="dxa"/>
            <w:left w:w="108" w:type="dxa"/>
            <w:bottom w:w="0" w:type="dxa"/>
            <w:right w:w="108" w:type="dxa"/>
          </w:tblCellMar>
        </w:tblPrEx>
        <w:trPr>
          <w:trHeight w:val="379"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43"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55.08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731.34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731.34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35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661.56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69.78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0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numPr>
                <w:ilvl w:val="0"/>
                <w:numId w:val="0"/>
              </w:numPr>
              <w:autoSpaceDN w:val="0"/>
              <w:spacing w:line="320" w:lineRule="exact"/>
              <w:ind w:leftChars="0"/>
              <w:jc w:val="left"/>
              <w:textAlignment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严格依照市纪委监委和局党组相关要求，有序开展各项目申报、采购、实施及拨付工作；通过国家级专家组技术性竣工验收，达到验收标准；通过湖南省文物局委托市文物局组织的专家终审验收。</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已完成</w:t>
            </w:r>
          </w:p>
        </w:tc>
      </w:tr>
      <w:tr>
        <w:tblPrEx>
          <w:tblCellMar>
            <w:top w:w="0" w:type="dxa"/>
            <w:left w:w="108" w:type="dxa"/>
            <w:bottom w:w="0" w:type="dxa"/>
            <w:right w:w="108" w:type="dxa"/>
          </w:tblCellMar>
        </w:tblPrEx>
        <w:trPr>
          <w:trHeight w:val="489"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3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全面完成目标计划数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8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通过国家级专家组技术性竣工验收，达到验收标准；通过湖南省文物局委托市文物局组织的专家终审验收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目标任务完成及时率达到100%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2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预算成本控制≤731.34万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≤731.34万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731.34万元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免费参观，吸引更多的人走进博物馆参观打卡，了解文物知识</w:t>
            </w:r>
          </w:p>
        </w:tc>
        <w:tc>
          <w:tcPr>
            <w:tcW w:w="1134"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较2021年有所增加</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推进文物考古工作、提高学术研究，丰富馆内文物，提升岳阳文化事业</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较2021年有所提高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达到效果</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8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社会公众满意度≥90%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87"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填表人：姚淑会  填报日期：</w:t>
      </w:r>
      <w:r>
        <w:rPr>
          <w:rFonts w:hint="eastAsia" w:ascii="Times New Roman" w:hAnsi="Times New Roman" w:eastAsia="仿宋_GB2312" w:cs="Times New Roman"/>
          <w:sz w:val="22"/>
          <w:szCs w:val="22"/>
          <w:lang w:val="en-US" w:eastAsia="zh-CN"/>
        </w:rPr>
        <w:t>2023-9-19</w:t>
      </w:r>
      <w:r>
        <w:rPr>
          <w:rFonts w:hint="default" w:ascii="Times New Roman" w:hAnsi="Times New Roman" w:eastAsia="仿宋_GB2312" w:cs="Times New Roman"/>
          <w:sz w:val="22"/>
          <w:szCs w:val="22"/>
        </w:rPr>
        <w:t xml:space="preserve">  联系电话：18173059960单位负责人签字：</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hint="default" w:ascii="Times New Roman" w:hAnsi="Times New Roman" w:eastAsia="方正小标宋_GBK" w:cs="Times New Roman"/>
          <w:sz w:val="52"/>
          <w:szCs w:val="52"/>
        </w:rPr>
      </w:pPr>
    </w:p>
    <w:p>
      <w:pPr>
        <w:jc w:val="center"/>
        <w:rPr>
          <w:rFonts w:hint="eastAsia" w:ascii="仿宋" w:hAnsi="仿宋" w:eastAsia="仿宋" w:cs="仿宋"/>
          <w:b/>
          <w:bCs/>
          <w:sz w:val="44"/>
          <w:szCs w:val="44"/>
        </w:rPr>
      </w:pP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2</w:t>
      </w:r>
      <w:r>
        <w:rPr>
          <w:rFonts w:hint="eastAsia" w:ascii="仿宋" w:hAnsi="仿宋" w:eastAsia="仿宋" w:cs="仿宋"/>
          <w:b/>
          <w:bCs/>
          <w:sz w:val="44"/>
          <w:szCs w:val="44"/>
        </w:rPr>
        <w:t>年度岳阳市</w:t>
      </w:r>
      <w:r>
        <w:rPr>
          <w:rFonts w:hint="eastAsia" w:ascii="仿宋" w:hAnsi="仿宋" w:eastAsia="仿宋" w:cs="仿宋"/>
          <w:b/>
          <w:bCs/>
          <w:sz w:val="44"/>
          <w:szCs w:val="44"/>
          <w:lang w:val="en-US" w:eastAsia="zh-CN"/>
        </w:rPr>
        <w:t>博物馆</w:t>
      </w:r>
      <w:r>
        <w:rPr>
          <w:rFonts w:hint="eastAsia" w:ascii="仿宋" w:hAnsi="仿宋" w:eastAsia="仿宋" w:cs="仿宋"/>
          <w:b/>
          <w:bCs/>
          <w:sz w:val="44"/>
          <w:szCs w:val="44"/>
        </w:rPr>
        <w:t>整体支出</w:t>
      </w:r>
    </w:p>
    <w:p>
      <w:pPr>
        <w:jc w:val="center"/>
        <w:rPr>
          <w:rFonts w:hint="eastAsia" w:ascii="仿宋" w:hAnsi="仿宋" w:eastAsia="仿宋" w:cs="仿宋"/>
          <w:b/>
          <w:bCs/>
          <w:sz w:val="44"/>
          <w:szCs w:val="44"/>
        </w:rPr>
      </w:pPr>
      <w:r>
        <w:rPr>
          <w:rFonts w:hint="eastAsia" w:ascii="仿宋" w:hAnsi="仿宋" w:eastAsia="仿宋" w:cs="仿宋"/>
          <w:b/>
          <w:bCs/>
          <w:sz w:val="44"/>
          <w:szCs w:val="44"/>
        </w:rPr>
        <w:t>绩效自评报告</w:t>
      </w:r>
    </w:p>
    <w:p>
      <w:pPr>
        <w:jc w:val="both"/>
        <w:rPr>
          <w:rFonts w:hint="eastAsia" w:ascii="仿宋" w:hAnsi="仿宋" w:eastAsia="仿宋" w:cs="仿宋"/>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2023</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rPr>
        <w:t xml:space="preserve"> 月 </w:t>
      </w:r>
      <w:r>
        <w:rPr>
          <w:rFonts w:hint="eastAsia" w:ascii="Times New Roman" w:hAnsi="Times New Roman" w:eastAsia="楷体_GB2312" w:cs="Times New Roman"/>
          <w:sz w:val="32"/>
          <w:szCs w:val="32"/>
          <w:lang w:val="en-US" w:eastAsia="zh-CN"/>
        </w:rPr>
        <w:t>19</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（此页为封面）</w:t>
      </w:r>
    </w:p>
    <w:p>
      <w:pPr>
        <w:jc w:val="center"/>
        <w:rPr>
          <w:rFonts w:hint="eastAsia" w:ascii="宋体" w:hAnsi="宋体" w:eastAsia="宋体" w:cs="宋体"/>
          <w:b/>
          <w:bCs/>
          <w:sz w:val="44"/>
          <w:szCs w:val="44"/>
        </w:rPr>
      </w:pPr>
      <w:r>
        <w:rPr>
          <w:rFonts w:hint="default" w:ascii="Times New Roman" w:hAnsi="Times New Roman" w:eastAsia="仿宋_GB2312" w:cs="Times New Roman"/>
          <w:sz w:val="32"/>
          <w:szCs w:val="32"/>
        </w:rPr>
        <w:br w:type="page"/>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年度岳阳市</w:t>
      </w:r>
      <w:r>
        <w:rPr>
          <w:rFonts w:hint="eastAsia" w:ascii="宋体" w:hAnsi="宋体" w:eastAsia="宋体" w:cs="宋体"/>
          <w:b/>
          <w:bCs/>
          <w:sz w:val="44"/>
          <w:szCs w:val="44"/>
          <w:lang w:val="en-US" w:eastAsia="zh-CN"/>
        </w:rPr>
        <w:t>博物馆</w:t>
      </w:r>
      <w:r>
        <w:rPr>
          <w:rFonts w:hint="eastAsia" w:ascii="宋体" w:hAnsi="宋体" w:eastAsia="宋体" w:cs="宋体"/>
          <w:b/>
          <w:bCs/>
          <w:sz w:val="44"/>
          <w:szCs w:val="44"/>
        </w:rPr>
        <w:t>整体支出</w:t>
      </w:r>
    </w:p>
    <w:p>
      <w:pPr>
        <w:jc w:val="center"/>
        <w:rPr>
          <w:rFonts w:hint="eastAsia" w:ascii="宋体" w:hAnsi="宋体" w:eastAsia="宋体" w:cs="宋体"/>
          <w:b/>
          <w:bCs/>
          <w:sz w:val="44"/>
          <w:szCs w:val="44"/>
        </w:rPr>
      </w:pPr>
      <w:r>
        <w:rPr>
          <w:rFonts w:hint="eastAsia" w:ascii="宋体" w:hAnsi="宋体" w:eastAsia="宋体" w:cs="宋体"/>
          <w:b/>
          <w:bCs/>
          <w:sz w:val="44"/>
          <w:szCs w:val="44"/>
        </w:rPr>
        <w:t>绩效自评报告</w:t>
      </w:r>
    </w:p>
    <w:p>
      <w:pPr>
        <w:keepNext w:val="0"/>
        <w:keepLines w:val="0"/>
        <w:pageBreakBefore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default"/>
          <w:lang w:val="en-US"/>
        </w:rPr>
      </w:pPr>
      <w:r>
        <w:rPr>
          <w:rFonts w:hint="eastAsia" w:ascii="仿宋_GB2312" w:hAnsi="仿宋_GB2312" w:eastAsia="仿宋_GB2312" w:cs="仿宋_GB2312"/>
          <w:bCs/>
          <w:sz w:val="28"/>
          <w:szCs w:val="28"/>
          <w:lang w:val="en-US" w:eastAsia="zh-CN"/>
        </w:rPr>
        <w:t>截止2022年12月31日，</w:t>
      </w:r>
      <w:r>
        <w:rPr>
          <w:rFonts w:hint="eastAsia" w:ascii="仿宋_GB2312" w:hAnsi="仿宋_GB2312" w:eastAsia="仿宋_GB2312" w:cs="仿宋_GB2312"/>
          <w:bCs/>
          <w:sz w:val="28"/>
          <w:szCs w:val="28"/>
        </w:rPr>
        <w:t>市</w:t>
      </w:r>
      <w:r>
        <w:rPr>
          <w:rFonts w:hint="eastAsia" w:ascii="仿宋_GB2312" w:hAnsi="仿宋_GB2312" w:eastAsia="仿宋_GB2312" w:cs="仿宋_GB2312"/>
          <w:bCs/>
          <w:sz w:val="28"/>
          <w:szCs w:val="28"/>
          <w:lang w:val="en-US" w:eastAsia="zh-CN"/>
        </w:rPr>
        <w:t>博物馆</w:t>
      </w:r>
      <w:r>
        <w:rPr>
          <w:rFonts w:hint="eastAsia" w:ascii="仿宋_GB2312" w:hAnsi="仿宋_GB2312" w:eastAsia="仿宋_GB2312" w:cs="仿宋_GB2312"/>
          <w:bCs/>
          <w:sz w:val="28"/>
          <w:szCs w:val="28"/>
        </w:rPr>
        <w:t>编制</w:t>
      </w:r>
      <w:r>
        <w:rPr>
          <w:rFonts w:hint="eastAsia" w:ascii="仿宋_GB2312" w:hAnsi="仿宋_GB2312" w:eastAsia="仿宋_GB2312" w:cs="仿宋_GB2312"/>
          <w:bCs/>
          <w:sz w:val="28"/>
          <w:szCs w:val="28"/>
          <w:lang w:val="en-US" w:eastAsia="zh-CN"/>
        </w:rPr>
        <w:t>15人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在编在职15人，临聘人员7人。</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highlight w:val="none"/>
        </w:rPr>
        <w:t>（二）部门（单位）整体支出规模、使用方向和主要内容、涉及范围等</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1、根据</w:t>
      </w:r>
      <w:r>
        <w:rPr>
          <w:rFonts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年市本级部门预算批复</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本单位预算收入</w:t>
      </w:r>
      <w:r>
        <w:rPr>
          <w:rFonts w:hint="eastAsia" w:ascii="仿宋_GB2312" w:hAnsi="仿宋_GB2312" w:eastAsia="仿宋_GB2312" w:cs="仿宋_GB2312"/>
          <w:bCs/>
          <w:sz w:val="28"/>
          <w:szCs w:val="28"/>
          <w:highlight w:val="none"/>
          <w:lang w:val="en-US" w:eastAsia="zh-CN"/>
        </w:rPr>
        <w:t>1101.37</w:t>
      </w:r>
      <w:r>
        <w:rPr>
          <w:rFonts w:ascii="仿宋_GB2312" w:hAnsi="仿宋_GB2312" w:eastAsia="仿宋_GB2312" w:cs="仿宋_GB2312"/>
          <w:bCs/>
          <w:sz w:val="28"/>
          <w:szCs w:val="28"/>
          <w:highlight w:val="none"/>
        </w:rPr>
        <w:t>万元，其中</w:t>
      </w:r>
      <w:r>
        <w:rPr>
          <w:rFonts w:hint="eastAsia" w:ascii="仿宋_GB2312" w:hAnsi="仿宋_GB2312" w:eastAsia="仿宋_GB2312" w:cs="仿宋_GB2312"/>
          <w:bCs/>
          <w:sz w:val="28"/>
          <w:szCs w:val="28"/>
          <w:highlight w:val="none"/>
        </w:rPr>
        <w:t>公共财政拨款</w:t>
      </w:r>
      <w:r>
        <w:rPr>
          <w:rFonts w:hint="eastAsia" w:ascii="仿宋_GB2312" w:hAnsi="仿宋_GB2312" w:eastAsia="仿宋_GB2312" w:cs="仿宋_GB2312"/>
          <w:bCs/>
          <w:sz w:val="28"/>
          <w:szCs w:val="28"/>
          <w:highlight w:val="none"/>
          <w:lang w:val="en-US" w:eastAsia="zh-CN"/>
        </w:rPr>
        <w:t>1029.85</w:t>
      </w:r>
      <w:r>
        <w:rPr>
          <w:rFonts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其他收入44.52万元</w:t>
      </w:r>
      <w:r>
        <w:rPr>
          <w:rFonts w:hint="eastAsia" w:ascii="仿宋_GB2312" w:hAnsi="仿宋_GB2312" w:eastAsia="仿宋_GB2312" w:cs="仿宋_GB2312"/>
          <w:bCs/>
          <w:sz w:val="28"/>
          <w:szCs w:val="28"/>
          <w:highlight w:val="none"/>
        </w:rPr>
        <w:t>，政府性基金预算拨款0万元，国有资本经营预算拨款0万元，纳入专户管理的非税收入0万元，上级补助收入0万元，事业单位经营收入0万元</w:t>
      </w:r>
      <w:r>
        <w:rPr>
          <w:rFonts w:hint="eastAsia" w:ascii="仿宋_GB2312" w:hAnsi="仿宋_GB2312" w:eastAsia="仿宋_GB2312" w:cs="仿宋_GB2312"/>
          <w:bCs/>
          <w:sz w:val="28"/>
          <w:szCs w:val="28"/>
          <w:highlight w:val="none"/>
          <w:lang w:val="en-US" w:eastAsia="zh-CN"/>
        </w:rPr>
        <w:t>,上年度使用非财政拨款结余27万元。</w:t>
      </w:r>
    </w:p>
    <w:p>
      <w:pPr>
        <w:spacing w:line="560" w:lineRule="exact"/>
        <w:ind w:firstLine="560" w:firstLineChars="200"/>
        <w:rPr>
          <w:rFonts w:hint="default" w:ascii="Times New Roman" w:hAnsi="Times New Roman" w:eastAsia="黑体" w:cs="Times New Roman"/>
          <w:sz w:val="32"/>
          <w:szCs w:val="32"/>
          <w:highlight w:val="yellow"/>
        </w:rPr>
      </w:pPr>
      <w:r>
        <w:rPr>
          <w:rFonts w:hint="eastAsia" w:ascii="仿宋_GB2312" w:hAnsi="仿宋_GB2312" w:eastAsia="仿宋_GB2312" w:cs="仿宋_GB2312"/>
          <w:bCs/>
          <w:sz w:val="28"/>
          <w:szCs w:val="28"/>
          <w:highlight w:val="none"/>
        </w:rPr>
        <w:t>2、</w:t>
      </w:r>
      <w:r>
        <w:rPr>
          <w:rFonts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年支出</w:t>
      </w:r>
      <w:r>
        <w:rPr>
          <w:rFonts w:hint="eastAsia" w:ascii="仿宋_GB2312" w:hAnsi="仿宋_GB2312" w:eastAsia="仿宋_GB2312" w:cs="仿宋_GB2312"/>
          <w:bCs/>
          <w:sz w:val="28"/>
          <w:szCs w:val="28"/>
          <w:highlight w:val="none"/>
          <w:lang w:val="en-US" w:eastAsia="zh-CN"/>
        </w:rPr>
        <w:t>1101.37</w:t>
      </w:r>
      <w:r>
        <w:rPr>
          <w:rFonts w:hint="eastAsia" w:ascii="仿宋_GB2312" w:hAnsi="仿宋_GB2312" w:eastAsia="仿宋_GB2312" w:cs="仿宋_GB2312"/>
          <w:bCs/>
          <w:sz w:val="28"/>
          <w:szCs w:val="28"/>
          <w:highlight w:val="none"/>
        </w:rPr>
        <w:t>万元，其中，一般公共服务</w:t>
      </w:r>
      <w:r>
        <w:rPr>
          <w:rFonts w:hint="eastAsia" w:ascii="仿宋_GB2312" w:hAnsi="仿宋_GB2312" w:eastAsia="仿宋_GB2312" w:cs="仿宋_GB2312"/>
          <w:bCs/>
          <w:sz w:val="28"/>
          <w:szCs w:val="28"/>
          <w:highlight w:val="none"/>
          <w:lang w:val="en-US" w:eastAsia="zh-CN"/>
        </w:rPr>
        <w:t>支出0</w:t>
      </w:r>
      <w:r>
        <w:rPr>
          <w:rFonts w:hint="eastAsia" w:ascii="仿宋_GB2312" w:hAnsi="仿宋_GB2312" w:eastAsia="仿宋_GB2312" w:cs="仿宋_GB2312"/>
          <w:bCs/>
          <w:sz w:val="28"/>
          <w:szCs w:val="28"/>
          <w:highlight w:val="none"/>
        </w:rPr>
        <w:t>万元，</w:t>
      </w:r>
      <w:r>
        <w:rPr>
          <w:rFonts w:hint="eastAsia" w:ascii="仿宋_GB2312" w:hAnsi="仿宋_GB2312" w:eastAsia="仿宋_GB2312" w:cs="仿宋_GB2312"/>
          <w:bCs/>
          <w:sz w:val="28"/>
          <w:szCs w:val="28"/>
          <w:highlight w:val="none"/>
          <w:lang w:val="en-US" w:eastAsia="zh-CN"/>
        </w:rPr>
        <w:t>文化旅游体育与传媒支出1079.40万元，社会保障和就业支出14.90万元，卫生健康支出7.07万元，结余0万元。</w:t>
      </w:r>
    </w:p>
    <w:p>
      <w:pPr>
        <w:pStyle w:val="6"/>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eastAsia="zh-CN"/>
        </w:rPr>
        <w:t>2022</w:t>
      </w:r>
      <w:r>
        <w:rPr>
          <w:rFonts w:hint="eastAsia" w:ascii="仿宋_GB2312" w:hAnsi="仿宋_GB2312" w:eastAsia="仿宋_GB2312" w:cs="仿宋_GB2312"/>
          <w:bCs/>
          <w:sz w:val="28"/>
          <w:szCs w:val="28"/>
        </w:rPr>
        <w:t>年市本级部门预算批复</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highlight w:val="none"/>
          <w:lang w:val="en-US" w:eastAsia="zh-CN"/>
        </w:rPr>
        <w:t>基本支出370.03万元，</w:t>
      </w:r>
      <w:r>
        <w:rPr>
          <w:rFonts w:hint="eastAsia" w:ascii="仿宋_GB2312" w:hAnsi="仿宋_GB2312" w:eastAsia="仿宋_GB2312" w:cs="仿宋_GB2312"/>
          <w:bCs/>
          <w:sz w:val="28"/>
          <w:szCs w:val="28"/>
        </w:rPr>
        <w:t>基本支出是为保障单位机构正常运转、完成日常工作任务而发生的各项支出，包括用于基本工资、津贴补贴等人员经费以及办公费、印刷费、水电费、差旅费等日常公用经费。</w:t>
      </w:r>
    </w:p>
    <w:p>
      <w:pPr>
        <w:numPr>
          <w:ilvl w:val="0"/>
          <w:numId w:val="3"/>
        </w:numPr>
        <w:spacing w:line="5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项目</w:t>
      </w:r>
      <w:r>
        <w:rPr>
          <w:rFonts w:hint="eastAsia" w:ascii="仿宋_GB2312" w:hAnsi="仿宋_GB2312" w:eastAsia="仿宋_GB2312" w:cs="仿宋_GB2312"/>
          <w:bCs/>
          <w:sz w:val="28"/>
          <w:szCs w:val="28"/>
          <w:highlight w:val="none"/>
        </w:rPr>
        <w:t>支出</w:t>
      </w:r>
    </w:p>
    <w:p>
      <w:pPr>
        <w:spacing w:line="560" w:lineRule="exact"/>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202</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年项目</w:t>
      </w:r>
      <w:r>
        <w:rPr>
          <w:rFonts w:hint="eastAsia" w:ascii="仿宋_GB2312" w:hAnsi="仿宋_GB2312" w:eastAsia="仿宋_GB2312" w:cs="仿宋_GB2312"/>
          <w:bCs/>
          <w:sz w:val="28"/>
          <w:szCs w:val="28"/>
          <w:highlight w:val="none"/>
          <w:lang w:eastAsia="zh-CN"/>
        </w:rPr>
        <w:t>支出</w:t>
      </w:r>
      <w:r>
        <w:rPr>
          <w:rFonts w:hint="eastAsia" w:ascii="仿宋_GB2312" w:hAnsi="仿宋_GB2312" w:eastAsia="仿宋_GB2312" w:cs="仿宋_GB2312"/>
          <w:bCs/>
          <w:sz w:val="28"/>
          <w:szCs w:val="28"/>
          <w:highlight w:val="none"/>
          <w:lang w:val="en-US" w:eastAsia="zh-CN"/>
        </w:rPr>
        <w:t>731.34万元，其中支付免费开放180.17万元，文物考古发掘213.68万元，博物馆消防工程（二次改造）41.60万元，青少年互动中心1.99万元，博物馆馆藏文物预防性保护采购项目79.97万元，博物馆铁质文物保护修复项目34.60万元，岳阳手工技艺习俗类非遗展馆建设项目22万元，博物馆馆藏漆木器文物保护修复项目0.24万元，长江流域（湖南段）文物资源调查项目3.15万元，禁毒办经费11.93万元，岳阳市博物馆“白改黑”提质改造项目0.86万元，湖南省长江沿线（岳阳段）文物考古调查项目3.2万元，历史街区项目45.96万元，湖南省长江沿线（岳阳段）文物考古调查项目90.16万元，其他文物支出1.81万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、部门整体支出绩效情况</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一年来，我馆始终坚持以习近平新时代中国特色社会主义思想为指导，</w:t>
      </w:r>
      <w:r>
        <w:rPr>
          <w:rFonts w:hint="eastAsia" w:ascii="仿宋_GB2312" w:hAnsi="仿宋_GB2312" w:eastAsia="仿宋_GB2312" w:cs="仿宋_GB2312"/>
          <w:bCs/>
          <w:sz w:val="28"/>
          <w:szCs w:val="28"/>
        </w:rPr>
        <w:t>扎实工作的工作态度，积极协调处理好各部门关系，充分调动和发挥各方面的积极因素，在全体干部职工的共同努力下，稳步推进，更上台阶。</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一是履职尽责，党风廉政建设工作稳步推进。党支部于1月4日召开了2022年度博物馆党风廉政建设工作部署会，对全年的党风廉政建设工作进行分析讨论，明确工作思路，部署工作任务。制定了市博物馆2022年度党风廉政建设“一岗双责”工作制度和实施办法。明确一把手为“第一责任人”，各班子成员对职责范围内的党风廉政建设和反腐败工作负直接领导责任，根据职责分工，逐级分解责任认真履行“一岗双责”，主动督促、主动检查。支部书记与班子成员、班子成员与科部室主任签订《履行党风廉政建设主体责任承诺书》，支部全年共开展班子成员及党员主体责任廉政谈心谈话8次、工作提醒谈话3次，真正做到了将党风廉政建设“一岗双责”工作落实到班子、落实到部门、落实到个人。始终坚持民主集中，严格落实“三重一大”决策制度。单位重要事项决策，始终坚持班子集体讨论研究的政策，并严格执行“一把手”末位表态制度。同时严格履行“三重一大”程序申报，重大项目实施、重大资金使用等均按文旅广电局“三重一大”相关规定依法、依规、依程序逐级报批。</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 xml:space="preserve">  二是狠抓项目落实，争资争项成效显著。严格依照市纪委监委和局党组相关要求，有序开展各项目申报及实施工作。截至目前为止，已全面完成博物馆消防改造工程（二期）、馆藏文物预防性保护项目的审计结算工作，青铜器、铁器文物保护修复项目已完成国家级专家组技术性竣工验收，长江沿线文物考古调查项目实施进度超50%。正在申报的馆藏漆木质文物修复项目和博物馆安防升级改造项目已获省文物局批准通过，预计2022年3月下达专项资金。</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三是免费开放工作井然有序，研学社教活动有声有色。截至目前，博物馆全年共计免费开放313天，接待游客19.7万人次，完成讲解任务432场/次。举办“虎虎生福”壬寅虎年新春生肖文物图片展、第十二届新春灯谜会、岳阳禁毒宣传教育展、岳阳市第八届道德模范事迹图片展等临时展览6场/次，微信公众号、官方网站同步推出线上文物图片展18场/次。组织开展“雷锋家乡学雷锋·向雷锋同志学习”、博物馆暑期公益研学课、“小小考古家”考古探秘活动、时光碎片之狩猎达人等研学、社教活动33场/次。举办“5.18国际博物馆日”系列宣传活动、蒲月飘香·五彩端午—传统节日活动、“洞庭赊明月·岳博奇妙夜”中秋传统节日活动等大型文化宣传活动6场/次。联合湖南民族职业学院、湖南理工学院中文学院在文化志愿服务上深度合作，开展文化志愿者服务活动56场/次，吸收志愿者137人，志愿者服务时间281天，服务时间达1242小时。</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四是文物征集保管工作成果丰硕，保护利用再上台阶。全年接受捐赠11件，接收省考古所移交1135件，修复青铜文物329件/套，铁质文物33件/套，添置文物预防性保护囊匣1615套，文物柜架213组，配备环境检测、文物保护相关仪器、设备71台，中心文物库房形成了集文物藏品保护管理、协调、监测、分析、处理、预案等一系列风险预控机制，大大提升了我馆文物预防性保护水平。</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五是文物考古工作进展顺利，学术研究水平显著提升。全年完成临港创新创业基地、湘阴虞公港、年产500万个金属罐项目、岳望高速公路金龙互通、湘阴武警机场公路延伸线等58个建设项目的文物考古调查、勘探工作，累计调查勘探面积546万多平方米。进行三荷机场改扩建工地、华容县藕池河、胥家桥等3个考古工地发掘，清理明清时期墓葬7座，清代木棺墓21座，出土文物10余件/套。整理、编撰文物考古调查勘探报告42册，在省、市级刊物上发表学术论文和报告文学8篇。</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六是狠抓队伍建设，淬火提质业务能力水平。为全面加强博物馆队伍建设水平，着力提升博物馆的管理运营水平、专业技术力量和服务品质，我馆大力推荐、鼓励、组织干部职工，尤其是年青同志积极参加各类业务培训。全年本单位共计开展“以学促知·以知促行”提升履职能力工作礼仪专业培训、消防安全知识技能培训等业务培训4场次，组织干部职工参加全国第九届博博会、海上丝绸之路陶瓷贸易论坛会、湖南省文物保护工程业务培训、“三湘非遗风·惊艳全世界”湖南省首届非物质文化遗产博览会、2022全国博物馆讲解员高级讲习班等学术论坛、线上线下业务培训班20余场/次。</w:t>
      </w:r>
    </w:p>
    <w:p>
      <w:pPr>
        <w:spacing w:line="560" w:lineRule="exact"/>
        <w:ind w:firstLine="560" w:firstLineChars="200"/>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七是防微杜渐，严格约束言行我馆班子成员皆做到谨言慎行，时刻保持清醒的头脑，做到自尊、自主、自爱、自律、自重，加强领导干部的廉洁自律，防微杜渐，严守“诱惑关”，做到“勿以善小而不为，勿以恶小而为之”，不侥幸、不任性，始终按照一名合格党员标准严格要求自已，始终牢记党的宗旨，牢固树立全心全意为人民服务的思想，踏踏实实做事，清清白白做人，不辜负组织的信任和群众的厚爱。</w:t>
      </w:r>
    </w:p>
    <w:p>
      <w:pPr>
        <w:pStyle w:val="6"/>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0"/>
          <w:sz w:val="32"/>
          <w:szCs w:val="32"/>
          <w:lang w:val="en-US" w:eastAsia="zh-CN" w:bidi="ar-SA"/>
        </w:rPr>
        <w:t>四、</w:t>
      </w:r>
      <w:r>
        <w:rPr>
          <w:rFonts w:hint="default" w:ascii="Times New Roman" w:hAnsi="Times New Roman" w:eastAsia="黑体" w:cs="Times New Roman"/>
          <w:sz w:val="32"/>
          <w:szCs w:val="32"/>
        </w:rPr>
        <w:t>存在的问题及原因分析</w:t>
      </w:r>
    </w:p>
    <w:p>
      <w:pPr>
        <w:numPr>
          <w:ilvl w:val="0"/>
          <w:numId w:val="0"/>
        </w:numPr>
        <w:spacing w:line="560" w:lineRule="exact"/>
        <w:ind w:firstLine="560" w:firstLineChars="200"/>
        <w:rPr>
          <w:rFonts w:hint="default" w:eastAsia="宋体"/>
          <w:lang w:val="en-US" w:eastAsia="zh-CN"/>
        </w:rPr>
      </w:pPr>
      <w:r>
        <w:rPr>
          <w:rFonts w:hint="eastAsia" w:ascii="仿宋_GB2312" w:hAnsi="仿宋_GB2312" w:eastAsia="仿宋_GB2312" w:cs="仿宋_GB2312"/>
          <w:bCs/>
          <w:sz w:val="28"/>
          <w:szCs w:val="28"/>
          <w:highlight w:val="none"/>
          <w:lang w:val="en-US" w:eastAsia="zh-CN"/>
        </w:rPr>
        <w:t>回望过去的一年，我馆在局党组的关怀和同志们的大力支持下，我们虽说取得了一定的成绩，但离上级的要求还有一定的差距。主要表现为：一是理论和业务学习不够深入；二是创新意识有所欠缺。今后，我们将努力克服自身不足，认真学习，严格自律，为我市文化旅游事业持续健康发展作出更大的贡献。</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0"/>
          <w:sz w:val="32"/>
          <w:szCs w:val="32"/>
          <w:lang w:val="en-US" w:eastAsia="zh-CN" w:bidi="ar-SA"/>
        </w:rPr>
        <w:t>五、</w:t>
      </w:r>
      <w:r>
        <w:rPr>
          <w:rFonts w:hint="default" w:ascii="Times New Roman" w:hAnsi="Times New Roman" w:eastAsia="黑体" w:cs="Times New Roman"/>
          <w:sz w:val="32"/>
          <w:szCs w:val="32"/>
        </w:rPr>
        <w:t>下一步改进措施</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克服自身不足，认真学习，</w:t>
      </w:r>
      <w:r>
        <w:rPr>
          <w:rFonts w:hint="eastAsia" w:ascii="仿宋_GB2312" w:hAnsi="仿宋_GB2312" w:eastAsia="仿宋_GB2312" w:cs="仿宋_GB2312"/>
          <w:bCs/>
          <w:sz w:val="28"/>
          <w:szCs w:val="28"/>
          <w:lang w:val="en-US" w:eastAsia="zh-CN"/>
        </w:rPr>
        <w:t>提高</w:t>
      </w:r>
      <w:r>
        <w:rPr>
          <w:rFonts w:hint="eastAsia" w:ascii="仿宋_GB2312" w:hAnsi="仿宋_GB2312" w:eastAsia="仿宋_GB2312" w:cs="仿宋_GB2312"/>
          <w:bCs/>
          <w:sz w:val="28"/>
          <w:szCs w:val="28"/>
          <w:highlight w:val="none"/>
          <w:lang w:val="en-US" w:eastAsia="zh-CN"/>
        </w:rPr>
        <w:t>创新意识，</w:t>
      </w:r>
      <w:r>
        <w:rPr>
          <w:rFonts w:hint="eastAsia" w:ascii="仿宋_GB2312" w:hAnsi="仿宋_GB2312" w:eastAsia="仿宋_GB2312" w:cs="仿宋_GB2312"/>
          <w:bCs/>
          <w:sz w:val="28"/>
          <w:szCs w:val="28"/>
        </w:rPr>
        <w:t>严格自律，为我市文</w:t>
      </w:r>
      <w:bookmarkStart w:id="0" w:name="_GoBack"/>
      <w:bookmarkEnd w:id="0"/>
      <w:r>
        <w:rPr>
          <w:rFonts w:hint="eastAsia" w:ascii="仿宋_GB2312" w:hAnsi="仿宋_GB2312" w:eastAsia="仿宋_GB2312" w:cs="仿宋_GB2312"/>
          <w:bCs/>
          <w:sz w:val="28"/>
          <w:szCs w:val="28"/>
        </w:rPr>
        <w:t>化事业持续健康发展作出更大的贡献。</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kern w:val="0"/>
          <w:sz w:val="32"/>
          <w:szCs w:val="32"/>
          <w:lang w:val="en-US" w:eastAsia="zh-CN" w:bidi="ar-SA"/>
        </w:rPr>
        <w:t>六、</w:t>
      </w:r>
      <w:r>
        <w:rPr>
          <w:rFonts w:hint="default" w:ascii="Times New Roman" w:hAnsi="Times New Roman" w:eastAsia="黑体" w:cs="Times New Roman"/>
          <w:sz w:val="32"/>
          <w:szCs w:val="32"/>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bidi="ar-SA"/>
        </w:rPr>
        <w:t>2022年我馆整体支出绩效自评结果得分100分，拟定7月中下旬在本部门、单位的门户网站公开，接受社会监督。</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B32E2"/>
    <w:multiLevelType w:val="singleLevel"/>
    <w:tmpl w:val="8F0B32E2"/>
    <w:lvl w:ilvl="0" w:tentative="0">
      <w:start w:val="1"/>
      <w:numFmt w:val="chineseCounting"/>
      <w:suff w:val="nothing"/>
      <w:lvlText w:val="%1、"/>
      <w:lvlJc w:val="left"/>
      <w:rPr>
        <w:rFonts w:hint="eastAsia"/>
      </w:rPr>
    </w:lvl>
  </w:abstractNum>
  <w:abstractNum w:abstractNumId="1">
    <w:nsid w:val="03C4424B"/>
    <w:multiLevelType w:val="singleLevel"/>
    <w:tmpl w:val="03C4424B"/>
    <w:lvl w:ilvl="0" w:tentative="0">
      <w:start w:val="1"/>
      <w:numFmt w:val="decimal"/>
      <w:suff w:val="nothing"/>
      <w:lvlText w:val="%1、"/>
      <w:lvlJc w:val="left"/>
    </w:lvl>
  </w:abstractNum>
  <w:abstractNum w:abstractNumId="2">
    <w:nsid w:val="58EEF73E"/>
    <w:multiLevelType w:val="singleLevel"/>
    <w:tmpl w:val="58EEF73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TA1MWE0OGE2NmRiY2UxNzAxMjhhM2JjZjZiOGEifQ=="/>
  </w:docVars>
  <w:rsids>
    <w:rsidRoot w:val="7F2B66D5"/>
    <w:rsid w:val="4103769D"/>
    <w:rsid w:val="7F2B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2023-07-21T08:23:00Z</dcterms:created>
  <dc:creator>芬 芬  </dc:creator>
  <cp:lastModifiedBy>小草</cp:lastModifiedBy>
  <dcterms:modified xsi:type="dcterms:W3CDTF">2023-09-19T02:32:49Z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BEB83C0224BF4E67A5899597ADAACE75_11</vt:lpwstr>
  </property>
</Properties>
</file>