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w:t>
      </w:r>
      <w:r>
        <w:rPr>
          <w:rFonts w:hint="eastAsia" w:ascii="黑体" w:hAnsi="黑体" w:eastAsia="黑体" w:cs="黑体"/>
          <w:bCs/>
          <w:sz w:val="32"/>
          <w:szCs w:val="32"/>
        </w:rPr>
        <w:t>-1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w:t>
      </w:r>
      <w:r>
        <w:rPr>
          <w:rFonts w:eastAsia="方正小标宋简体"/>
          <w:bCs/>
          <w:sz w:val="46"/>
          <w:szCs w:val="46"/>
          <w:u w:val="single"/>
        </w:rPr>
        <w:t>22</w:t>
      </w:r>
      <w:r>
        <w:rPr>
          <w:rFonts w:hint="eastAsia" w:eastAsia="方正小标宋简体"/>
          <w:bCs/>
          <w:sz w:val="46"/>
          <w:szCs w:val="46"/>
        </w:rPr>
        <w:t>年度部门（单位）整体支出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301"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岳阳市君山岛文物管理所                            </w:t>
      </w:r>
    </w:p>
    <w:p>
      <w:pPr>
        <w:spacing w:before="301"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eastAsia="仿宋_GB2312"/>
          <w:spacing w:val="20"/>
          <w:sz w:val="32"/>
          <w:szCs w:val="32"/>
          <w:u w:val="single"/>
        </w:rPr>
        <w:t>501014</w:t>
      </w:r>
      <w:r>
        <w:rPr>
          <w:rFonts w:hint="eastAsia" w:eastAsia="仿宋_GB2312"/>
          <w:spacing w:val="20"/>
          <w:sz w:val="32"/>
          <w:szCs w:val="32"/>
          <w:u w:val="single"/>
        </w:rPr>
        <w:t xml:space="preserve">                     </w:t>
      </w:r>
    </w:p>
    <w:p>
      <w:pPr>
        <w:spacing w:before="301"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348" w:lineRule="auto"/>
        <w:ind w:firstLine="2188" w:firstLineChars="690"/>
        <w:rPr>
          <w:rFonts w:eastAsia="仿宋_GB2312"/>
          <w:sz w:val="32"/>
        </w:rPr>
      </w:pPr>
    </w:p>
    <w:p>
      <w:pPr>
        <w:spacing w:line="348" w:lineRule="auto"/>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 202</w:t>
      </w:r>
      <w:r>
        <w:rPr>
          <w:rFonts w:eastAsia="仿宋_GB2312"/>
          <w:sz w:val="32"/>
        </w:rPr>
        <w:t>2</w:t>
      </w:r>
      <w:r>
        <w:rPr>
          <w:rFonts w:hint="eastAsia" w:eastAsia="仿宋_GB2312"/>
          <w:sz w:val="32"/>
        </w:rPr>
        <w:t xml:space="preserve">  年</w:t>
      </w:r>
      <w:r>
        <w:rPr>
          <w:rFonts w:hint="eastAsia" w:eastAsia="仿宋_GB2312"/>
          <w:sz w:val="32"/>
          <w:lang w:val="en-US" w:eastAsia="zh-CN"/>
        </w:rPr>
        <w:t>9</w:t>
      </w:r>
      <w:r>
        <w:rPr>
          <w:rFonts w:hint="eastAsia" w:eastAsia="仿宋_GB2312"/>
          <w:sz w:val="32"/>
        </w:rPr>
        <w:t xml:space="preserve"> 月 1</w:t>
      </w:r>
      <w:r>
        <w:rPr>
          <w:rFonts w:eastAsia="仿宋_GB2312"/>
          <w:sz w:val="32"/>
        </w:rPr>
        <w:t>3</w:t>
      </w:r>
      <w:r>
        <w:rPr>
          <w:rFonts w:hint="eastAsia" w:eastAsia="仿宋_GB2312"/>
          <w:sz w:val="32"/>
        </w:rPr>
        <w:t xml:space="preserve">  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bookmarkStart w:id="0" w:name="_GoBack"/>
      <w:bookmarkEnd w:id="0"/>
    </w:p>
    <w:tbl>
      <w:tblPr>
        <w:tblStyle w:val="5"/>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13"/>
        <w:gridCol w:w="28"/>
        <w:gridCol w:w="213"/>
        <w:gridCol w:w="46"/>
        <w:gridCol w:w="1080"/>
        <w:gridCol w:w="210"/>
        <w:gridCol w:w="1145"/>
        <w:gridCol w:w="1247"/>
        <w:gridCol w:w="1312"/>
        <w:gridCol w:w="226"/>
        <w:gridCol w:w="455"/>
        <w:gridCol w:w="700"/>
        <w:gridCol w:w="380"/>
        <w:gridCol w:w="265"/>
        <w:gridCol w:w="139"/>
        <w:gridCol w:w="316"/>
        <w:gridCol w:w="4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63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28"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曾歌</w:t>
            </w:r>
          </w:p>
        </w:tc>
        <w:tc>
          <w:tcPr>
            <w:tcW w:w="1312"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94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0730</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8130216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28"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w:t>
            </w:r>
          </w:p>
        </w:tc>
        <w:tc>
          <w:tcPr>
            <w:tcW w:w="1312"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94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7980" w:type="dxa"/>
            <w:gridSpan w:val="1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按照文物保护相关法律法规，君山岛文物管理所职能职责界定如下：</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(1)安全管理职责</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君山岛文物管理所负责对君山岛二妃墓、柳毅井、君山摩崖石刻3处省级文物保护单位和其他不可移动文物的日常保护、管理、研究、展示等职责。</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(2)维修维护职责</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君山岛文物管理所负责君山岛文物保护单位的日常维修维护和项目申报、实施。</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(3)其他职责</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君山岛文物管理所负责转企离岗及退休人员的管理和服务工作。</w:t>
            </w:r>
          </w:p>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852"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7980" w:type="dxa"/>
            <w:gridSpan w:val="14"/>
            <w:vAlign w:val="center"/>
          </w:tcPr>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1.对君山岛省级文物及其他文物进行维修和维护</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2.日常对文物保护、安全检查工作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3.离岗及离休人员的管理和服务工作</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4.加强党建工作，积极创先争优，强化管理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7980" w:type="dxa"/>
            <w:gridSpan w:val="14"/>
            <w:vAlign w:val="center"/>
          </w:tcPr>
          <w:p>
            <w:pPr>
              <w:pStyle w:val="9"/>
              <w:numPr>
                <w:ilvl w:val="0"/>
                <w:numId w:val="1"/>
              </w:numPr>
              <w:autoSpaceDN w:val="0"/>
              <w:spacing w:line="320" w:lineRule="exact"/>
              <w:ind w:firstLine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加强党史教育学习，通过开展党建活动，提升党组织的号召力</w:t>
            </w:r>
          </w:p>
          <w:p>
            <w:pPr>
              <w:pStyle w:val="9"/>
              <w:numPr>
                <w:ilvl w:val="0"/>
                <w:numId w:val="1"/>
              </w:numPr>
              <w:autoSpaceDN w:val="0"/>
              <w:spacing w:line="320" w:lineRule="exact"/>
              <w:ind w:firstLine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对君山岛的部分文物进行维修、维护工作</w:t>
            </w:r>
          </w:p>
          <w:p>
            <w:pPr>
              <w:pStyle w:val="9"/>
              <w:numPr>
                <w:ilvl w:val="0"/>
                <w:numId w:val="1"/>
              </w:numPr>
              <w:autoSpaceDN w:val="0"/>
              <w:spacing w:line="320" w:lineRule="exact"/>
              <w:ind w:firstLine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开展其他待维修项目的前期准备工作</w:t>
            </w:r>
          </w:p>
          <w:p>
            <w:pPr>
              <w:numPr>
                <w:ilvl w:val="0"/>
                <w:numId w:val="1"/>
              </w:num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时刻关注岛上文物的安全监管工作</w:t>
            </w:r>
          </w:p>
          <w:p>
            <w:pPr>
              <w:pStyle w:val="9"/>
              <w:numPr>
                <w:ilvl w:val="0"/>
                <w:numId w:val="1"/>
              </w:numPr>
              <w:autoSpaceDN w:val="0"/>
              <w:spacing w:line="320" w:lineRule="exact"/>
              <w:ind w:firstLine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召开座谈会，为群众答疑解惑</w:t>
            </w:r>
          </w:p>
          <w:p>
            <w:pPr>
              <w:pStyle w:val="9"/>
              <w:numPr>
                <w:ilvl w:val="0"/>
                <w:numId w:val="1"/>
              </w:numPr>
              <w:autoSpaceDN w:val="0"/>
              <w:spacing w:line="320" w:lineRule="exact"/>
              <w:ind w:firstLineChars="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离岗及离休人员的管理和服务工作顺利开展中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63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63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6854"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4"/>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24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538"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91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7"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38"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14"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4"/>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7"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38"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14"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4"/>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2、君山岛文物管理所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65.59</w:t>
            </w: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247"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65.59</w:t>
            </w:r>
          </w:p>
        </w:tc>
        <w:tc>
          <w:tcPr>
            <w:tcW w:w="1538"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14"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4"/>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247" w:type="dxa"/>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538"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14"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63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4"/>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79"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4"/>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459"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4"/>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993"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459"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4"/>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7"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93"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459"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4"/>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7"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93"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459"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4"/>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2、君山岛文物管理所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65.59</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47.1</w:t>
            </w:r>
          </w:p>
        </w:tc>
        <w:tc>
          <w:tcPr>
            <w:tcW w:w="1247"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42.37</w:t>
            </w:r>
          </w:p>
        </w:tc>
        <w:tc>
          <w:tcPr>
            <w:tcW w:w="1993"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4.73</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18.49</w:t>
            </w:r>
          </w:p>
        </w:tc>
        <w:tc>
          <w:tcPr>
            <w:tcW w:w="720" w:type="dxa"/>
            <w:gridSpan w:val="3"/>
            <w:tcBorders>
              <w:right w:val="single" w:color="auto" w:sz="4" w:space="0"/>
            </w:tcBorders>
            <w:vAlign w:val="center"/>
          </w:tcPr>
          <w:p>
            <w:pPr>
              <w:autoSpaceDN w:val="0"/>
              <w:spacing w:line="320" w:lineRule="exact"/>
              <w:textAlignment w:val="center"/>
              <w:rPr>
                <w:rFonts w:ascii="仿宋_GB2312" w:hAnsi="仿宋_GB2312" w:eastAsia="仿宋_GB2312" w:cs="仿宋_GB2312"/>
                <w:color w:val="000000"/>
                <w:sz w:val="24"/>
              </w:rPr>
            </w:pPr>
          </w:p>
        </w:tc>
        <w:tc>
          <w:tcPr>
            <w:tcW w:w="459"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4"/>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7"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93"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459"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4"/>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854"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4"/>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247"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993"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259"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4"/>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7"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93"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59"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4"/>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7"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93"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59"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4"/>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2、君山岛文物管理所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7"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93"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59"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4"/>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7"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993"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259"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4"/>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775"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4"/>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02"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477"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77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4"/>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02"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47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7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4"/>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02"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47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7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4"/>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2、君山岛文物管理所</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9</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446</w:t>
            </w:r>
          </w:p>
        </w:tc>
        <w:tc>
          <w:tcPr>
            <w:tcW w:w="2602"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9</w:t>
            </w: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446</w:t>
            </w:r>
          </w:p>
        </w:tc>
        <w:tc>
          <w:tcPr>
            <w:tcW w:w="347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7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4"/>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602" w:type="dxa"/>
            <w:gridSpan w:val="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477"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7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63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94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252"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gridSpan w:val="2"/>
            <w:vMerge w:val="continue"/>
            <w:vAlign w:val="center"/>
          </w:tcPr>
          <w:p>
            <w:pPr>
              <w:spacing w:line="320" w:lineRule="exact"/>
              <w:rPr>
                <w:rFonts w:ascii="仿宋_GB2312" w:hAnsi="仿宋_GB2312" w:eastAsia="仿宋_GB2312" w:cs="仿宋_GB2312"/>
                <w:sz w:val="24"/>
              </w:rPr>
            </w:pPr>
          </w:p>
        </w:tc>
        <w:tc>
          <w:tcPr>
            <w:tcW w:w="3941" w:type="dxa"/>
            <w:gridSpan w:val="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1.对君山岛省级文物及其他文物进行维修和维护</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2.日常对文物保护、安全检查工作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3.离岗及离休人员的管理和服务工作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4.加强党建工作，积极创先争优，强化管理</w:t>
            </w:r>
          </w:p>
          <w:p>
            <w:pPr>
              <w:autoSpaceDN w:val="0"/>
              <w:spacing w:line="320" w:lineRule="exact"/>
              <w:jc w:val="left"/>
              <w:textAlignment w:val="center"/>
              <w:rPr>
                <w:rFonts w:hint="eastAsia" w:ascii="仿宋_GB2312" w:hAnsi="仿宋_GB2312" w:eastAsia="仿宋_GB2312" w:cs="仿宋_GB2312"/>
                <w:color w:val="000000"/>
                <w:sz w:val="24"/>
              </w:rPr>
            </w:pPr>
          </w:p>
        </w:tc>
        <w:tc>
          <w:tcPr>
            <w:tcW w:w="4252" w:type="dxa"/>
            <w:gridSpan w:val="9"/>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1.加强党史教育学习，通过开展党建活动，提升党组织的号召力</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2.对君山岛的部分文物进行维修、维护工作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3．开展其他待维修项目的前期准备工作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4.时刻关注岛上文物的安全监管工作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5.召开座谈会，为群众答疑解惑</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6．离岗及离休人员的管理和服务工作顺利开展中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13"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396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69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1559"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13" w:type="dxa"/>
            <w:vMerge w:val="continue"/>
            <w:vAlign w:val="center"/>
          </w:tcPr>
          <w:p>
            <w:pPr>
              <w:spacing w:line="320" w:lineRule="exact"/>
              <w:rPr>
                <w:rFonts w:ascii="仿宋_GB2312" w:hAnsi="仿宋_GB2312" w:eastAsia="仿宋_GB2312" w:cs="仿宋_GB2312"/>
                <w:sz w:val="24"/>
              </w:rPr>
            </w:pPr>
          </w:p>
        </w:tc>
        <w:tc>
          <w:tcPr>
            <w:tcW w:w="1577" w:type="dxa"/>
            <w:gridSpan w:val="5"/>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239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69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对文物保护和安全检查</w:t>
            </w:r>
          </w:p>
        </w:tc>
        <w:tc>
          <w:tcPr>
            <w:tcW w:w="1559" w:type="dxa"/>
            <w:gridSpan w:val="5"/>
            <w:vAlign w:val="center"/>
          </w:tcPr>
          <w:p>
            <w:pPr>
              <w:spacing w:before="100" w:beforeAutospacing="1" w:after="100" w:afterAutospacing="1" w:line="320" w:lineRule="exact"/>
              <w:jc w:val="center"/>
              <w:textAlignment w:val="center"/>
              <w:rPr>
                <w:rFonts w:ascii="仿宋_GB2312" w:hAnsi="仿宋_GB2312" w:eastAsia="仿宋_GB2312" w:cs="仿宋_GB2312"/>
                <w:b/>
                <w:color w:val="000000"/>
                <w:sz w:val="24"/>
              </w:rPr>
            </w:pPr>
            <w:r>
              <w:rPr>
                <w:rFonts w:ascii="仿宋" w:hAnsi="仿宋" w:eastAsia="仿宋"/>
                <w:b/>
                <w:bCs/>
                <w:color w:val="000000"/>
                <w:sz w:val="24"/>
              </w:rPr>
              <w:t>95</w:t>
            </w:r>
            <w:r>
              <w:rPr>
                <w:rFonts w:hint="eastAsia" w:ascii="仿宋" w:hAnsi="仿宋" w:eastAsia="仿宋"/>
                <w:b/>
                <w:bCs/>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13" w:type="dxa"/>
            <w:vMerge w:val="continue"/>
            <w:vAlign w:val="center"/>
          </w:tcPr>
          <w:p>
            <w:pPr>
              <w:spacing w:line="320" w:lineRule="exact"/>
              <w:rPr>
                <w:rFonts w:ascii="仿宋_GB2312" w:hAnsi="仿宋_GB2312" w:eastAsia="仿宋_GB2312" w:cs="仿宋_GB2312"/>
                <w:sz w:val="24"/>
              </w:rPr>
            </w:pPr>
          </w:p>
        </w:tc>
        <w:tc>
          <w:tcPr>
            <w:tcW w:w="1577" w:type="dxa"/>
            <w:gridSpan w:val="5"/>
            <w:vMerge w:val="continue"/>
            <w:vAlign w:val="center"/>
          </w:tcPr>
          <w:p>
            <w:pPr>
              <w:autoSpaceDN w:val="0"/>
              <w:spacing w:line="320" w:lineRule="exact"/>
              <w:rPr>
                <w:rFonts w:ascii="仿宋_GB2312" w:hAnsi="仿宋_GB2312" w:eastAsia="仿宋_GB2312" w:cs="仿宋_GB2312"/>
                <w:sz w:val="24"/>
              </w:rPr>
            </w:pPr>
          </w:p>
        </w:tc>
        <w:tc>
          <w:tcPr>
            <w:tcW w:w="239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 w:hAnsi="仿宋" w:eastAsia="仿宋" w:cs="仿宋_GB2312"/>
                <w:color w:val="000000"/>
                <w:sz w:val="24"/>
              </w:rPr>
              <w:t>数量指标</w:t>
            </w:r>
          </w:p>
        </w:tc>
        <w:tc>
          <w:tcPr>
            <w:tcW w:w="269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君山岛的文物进行维修、维护</w:t>
            </w:r>
          </w:p>
        </w:tc>
        <w:tc>
          <w:tcPr>
            <w:tcW w:w="1559" w:type="dxa"/>
            <w:gridSpan w:val="5"/>
            <w:vAlign w:val="center"/>
          </w:tcPr>
          <w:p>
            <w:pPr>
              <w:spacing w:before="100" w:beforeAutospacing="1" w:after="100" w:afterAutospacing="1" w:line="320" w:lineRule="exact"/>
              <w:jc w:val="center"/>
              <w:textAlignment w:val="center"/>
              <w:rPr>
                <w:rFonts w:ascii="仿宋_GB2312" w:hAnsi="仿宋_GB2312" w:eastAsia="仿宋_GB2312" w:cs="仿宋_GB2312"/>
                <w:b/>
                <w:color w:val="000000"/>
                <w:sz w:val="24"/>
              </w:rPr>
            </w:pPr>
            <w:r>
              <w:rPr>
                <w:rFonts w:ascii="仿宋" w:hAnsi="仿宋" w:eastAsia="仿宋"/>
                <w:b/>
                <w:bCs/>
                <w:color w:val="000000"/>
                <w:sz w:val="24"/>
              </w:rPr>
              <w:t>3</w:t>
            </w:r>
            <w:r>
              <w:rPr>
                <w:rFonts w:hint="eastAsia" w:ascii="仿宋" w:hAnsi="仿宋" w:eastAsia="仿宋"/>
                <w:b/>
                <w:bCs/>
                <w:color w:val="000000"/>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13" w:type="dxa"/>
            <w:vMerge w:val="continue"/>
            <w:vAlign w:val="center"/>
          </w:tcPr>
          <w:p>
            <w:pPr>
              <w:spacing w:line="320" w:lineRule="exact"/>
              <w:rPr>
                <w:rFonts w:ascii="仿宋_GB2312" w:hAnsi="仿宋_GB2312" w:eastAsia="仿宋_GB2312" w:cs="仿宋_GB2312"/>
                <w:sz w:val="24"/>
              </w:rPr>
            </w:pPr>
          </w:p>
        </w:tc>
        <w:tc>
          <w:tcPr>
            <w:tcW w:w="1577" w:type="dxa"/>
            <w:gridSpan w:val="5"/>
            <w:vMerge w:val="continue"/>
            <w:vAlign w:val="center"/>
          </w:tcPr>
          <w:p>
            <w:pPr>
              <w:autoSpaceDN w:val="0"/>
              <w:spacing w:line="320" w:lineRule="exact"/>
              <w:rPr>
                <w:rFonts w:ascii="仿宋_GB2312" w:hAnsi="仿宋_GB2312" w:eastAsia="仿宋_GB2312" w:cs="仿宋_GB2312"/>
                <w:sz w:val="24"/>
              </w:rPr>
            </w:pPr>
          </w:p>
        </w:tc>
        <w:tc>
          <w:tcPr>
            <w:tcW w:w="239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 w:hAnsi="仿宋" w:eastAsia="仿宋" w:cs="仿宋_GB2312"/>
                <w:color w:val="000000"/>
                <w:sz w:val="24"/>
              </w:rPr>
              <w:t>时效指标</w:t>
            </w:r>
          </w:p>
        </w:tc>
        <w:tc>
          <w:tcPr>
            <w:tcW w:w="269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各项工作完成及时率</w:t>
            </w:r>
          </w:p>
        </w:tc>
        <w:tc>
          <w:tcPr>
            <w:tcW w:w="1559" w:type="dxa"/>
            <w:gridSpan w:val="5"/>
            <w:vAlign w:val="center"/>
          </w:tcPr>
          <w:p>
            <w:pPr>
              <w:spacing w:before="100" w:beforeAutospacing="1" w:after="100" w:afterAutospacing="1" w:line="320" w:lineRule="exact"/>
              <w:jc w:val="center"/>
              <w:textAlignment w:val="center"/>
              <w:rPr>
                <w:rFonts w:ascii="仿宋_GB2312" w:hAnsi="仿宋_GB2312" w:eastAsia="仿宋_GB2312" w:cs="仿宋_GB2312"/>
                <w:b/>
                <w:color w:val="000000"/>
                <w:sz w:val="24"/>
              </w:rPr>
            </w:pPr>
            <w:r>
              <w:rPr>
                <w:rFonts w:hint="eastAsia" w:ascii="仿宋" w:hAnsi="仿宋" w:eastAsia="仿宋"/>
                <w:b/>
                <w:bCs/>
                <w:color w:val="000000"/>
                <w:sz w:val="24"/>
              </w:rPr>
              <w:t>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13" w:type="dxa"/>
            <w:vMerge w:val="continue"/>
            <w:vAlign w:val="center"/>
          </w:tcPr>
          <w:p>
            <w:pPr>
              <w:spacing w:line="320" w:lineRule="exact"/>
              <w:rPr>
                <w:rFonts w:ascii="仿宋_GB2312" w:hAnsi="仿宋_GB2312" w:eastAsia="仿宋_GB2312" w:cs="仿宋_GB2312"/>
                <w:sz w:val="24"/>
              </w:rPr>
            </w:pPr>
          </w:p>
        </w:tc>
        <w:tc>
          <w:tcPr>
            <w:tcW w:w="1577" w:type="dxa"/>
            <w:gridSpan w:val="5"/>
            <w:vMerge w:val="continue"/>
            <w:vAlign w:val="center"/>
          </w:tcPr>
          <w:p>
            <w:pPr>
              <w:autoSpaceDN w:val="0"/>
              <w:spacing w:line="320" w:lineRule="exact"/>
              <w:rPr>
                <w:rFonts w:ascii="仿宋_GB2312" w:hAnsi="仿宋_GB2312" w:eastAsia="仿宋_GB2312" w:cs="仿宋_GB2312"/>
                <w:sz w:val="24"/>
              </w:rPr>
            </w:pPr>
          </w:p>
        </w:tc>
        <w:tc>
          <w:tcPr>
            <w:tcW w:w="2392"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 w:hAnsi="仿宋" w:eastAsia="仿宋" w:cs="仿宋_GB2312"/>
                <w:color w:val="000000"/>
                <w:sz w:val="24"/>
              </w:rPr>
              <w:t>成本指标</w:t>
            </w:r>
          </w:p>
        </w:tc>
        <w:tc>
          <w:tcPr>
            <w:tcW w:w="269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预算成本控制情况</w:t>
            </w:r>
          </w:p>
        </w:tc>
        <w:tc>
          <w:tcPr>
            <w:tcW w:w="1559" w:type="dxa"/>
            <w:gridSpan w:val="5"/>
            <w:vAlign w:val="center"/>
          </w:tcPr>
          <w:p>
            <w:pPr>
              <w:spacing w:before="100" w:beforeAutospacing="1" w:after="100" w:afterAutospacing="1" w:line="320" w:lineRule="exact"/>
              <w:jc w:val="center"/>
              <w:textAlignment w:val="center"/>
              <w:rPr>
                <w:rFonts w:ascii="仿宋_GB2312" w:hAnsi="仿宋_GB2312" w:eastAsia="仿宋_GB2312" w:cs="仿宋_GB2312"/>
                <w:b/>
                <w:color w:val="000000"/>
                <w:sz w:val="24"/>
              </w:rPr>
            </w:pPr>
            <w:r>
              <w:rPr>
                <w:rFonts w:hint="eastAsia" w:ascii="仿宋" w:hAnsi="仿宋" w:eastAsia="仿宋"/>
                <w:b/>
                <w:bCs/>
                <w:color w:val="000000"/>
                <w:sz w:val="24"/>
              </w:rPr>
              <w:t>未超预算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13" w:type="dxa"/>
            <w:vMerge w:val="continue"/>
            <w:vAlign w:val="center"/>
          </w:tcPr>
          <w:p>
            <w:pPr>
              <w:spacing w:line="320" w:lineRule="exact"/>
              <w:rPr>
                <w:rFonts w:ascii="仿宋_GB2312" w:hAnsi="仿宋_GB2312" w:eastAsia="仿宋_GB2312" w:cs="仿宋_GB2312"/>
                <w:sz w:val="24"/>
              </w:rPr>
            </w:pPr>
          </w:p>
        </w:tc>
        <w:tc>
          <w:tcPr>
            <w:tcW w:w="1577" w:type="dxa"/>
            <w:gridSpan w:val="5"/>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2392" w:type="dxa"/>
            <w:gridSpan w:val="2"/>
            <w:vAlign w:val="center"/>
          </w:tcPr>
          <w:p>
            <w:pPr>
              <w:autoSpaceDN w:val="0"/>
              <w:spacing w:line="320" w:lineRule="exact"/>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经济效益指标</w:t>
            </w:r>
          </w:p>
        </w:tc>
        <w:tc>
          <w:tcPr>
            <w:tcW w:w="2693" w:type="dxa"/>
            <w:gridSpan w:val="4"/>
            <w:vAlign w:val="center"/>
          </w:tcPr>
          <w:p>
            <w:pPr>
              <w:autoSpaceDN w:val="0"/>
              <w:spacing w:line="320" w:lineRule="exact"/>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保护文物是促进发展、壮大旅游经济的基础性工作</w:t>
            </w:r>
          </w:p>
        </w:tc>
        <w:tc>
          <w:tcPr>
            <w:tcW w:w="1559"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13" w:type="dxa"/>
            <w:vMerge w:val="continue"/>
            <w:vAlign w:val="center"/>
          </w:tcPr>
          <w:p>
            <w:pPr>
              <w:spacing w:line="320" w:lineRule="exact"/>
              <w:rPr>
                <w:rFonts w:ascii="仿宋_GB2312" w:hAnsi="仿宋_GB2312" w:eastAsia="仿宋_GB2312" w:cs="仿宋_GB2312"/>
                <w:sz w:val="24"/>
              </w:rPr>
            </w:pPr>
          </w:p>
        </w:tc>
        <w:tc>
          <w:tcPr>
            <w:tcW w:w="1577" w:type="dxa"/>
            <w:gridSpan w:val="5"/>
            <w:vMerge w:val="continue"/>
            <w:vAlign w:val="center"/>
          </w:tcPr>
          <w:p>
            <w:pPr>
              <w:autoSpaceDN w:val="0"/>
              <w:spacing w:line="320" w:lineRule="exact"/>
              <w:rPr>
                <w:rFonts w:ascii="仿宋_GB2312" w:hAnsi="仿宋_GB2312" w:eastAsia="仿宋_GB2312" w:cs="仿宋_GB2312"/>
                <w:sz w:val="24"/>
              </w:rPr>
            </w:pPr>
          </w:p>
        </w:tc>
        <w:tc>
          <w:tcPr>
            <w:tcW w:w="2392" w:type="dxa"/>
            <w:gridSpan w:val="2"/>
            <w:vAlign w:val="center"/>
          </w:tcPr>
          <w:p>
            <w:pPr>
              <w:autoSpaceDN w:val="0"/>
              <w:spacing w:line="320" w:lineRule="exact"/>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社会效益指标</w:t>
            </w:r>
          </w:p>
        </w:tc>
        <w:tc>
          <w:tcPr>
            <w:tcW w:w="2693" w:type="dxa"/>
            <w:gridSpan w:val="4"/>
            <w:vAlign w:val="center"/>
          </w:tcPr>
          <w:p>
            <w:pPr>
              <w:autoSpaceDN w:val="0"/>
              <w:spacing w:line="320" w:lineRule="exact"/>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展示文物价值和历史价值。</w:t>
            </w:r>
          </w:p>
        </w:tc>
        <w:tc>
          <w:tcPr>
            <w:tcW w:w="1559"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 w:hAnsi="仿宋" w:eastAsia="仿宋"/>
                <w:b/>
                <w:bCs/>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13" w:type="dxa"/>
            <w:vMerge w:val="continue"/>
            <w:vAlign w:val="center"/>
          </w:tcPr>
          <w:p>
            <w:pPr>
              <w:spacing w:line="320" w:lineRule="exact"/>
              <w:rPr>
                <w:rFonts w:ascii="仿宋_GB2312" w:hAnsi="仿宋_GB2312" w:eastAsia="仿宋_GB2312" w:cs="仿宋_GB2312"/>
                <w:sz w:val="24"/>
              </w:rPr>
            </w:pPr>
          </w:p>
        </w:tc>
        <w:tc>
          <w:tcPr>
            <w:tcW w:w="1577" w:type="dxa"/>
            <w:gridSpan w:val="5"/>
            <w:vMerge w:val="continue"/>
            <w:vAlign w:val="center"/>
          </w:tcPr>
          <w:p>
            <w:pPr>
              <w:autoSpaceDN w:val="0"/>
              <w:spacing w:line="320" w:lineRule="exact"/>
              <w:rPr>
                <w:rFonts w:ascii="仿宋_GB2312" w:hAnsi="仿宋_GB2312" w:eastAsia="仿宋_GB2312" w:cs="仿宋_GB2312"/>
                <w:sz w:val="24"/>
              </w:rPr>
            </w:pPr>
          </w:p>
        </w:tc>
        <w:tc>
          <w:tcPr>
            <w:tcW w:w="2392" w:type="dxa"/>
            <w:gridSpan w:val="2"/>
            <w:vAlign w:val="center"/>
          </w:tcPr>
          <w:p>
            <w:pPr>
              <w:autoSpaceDN w:val="0"/>
              <w:spacing w:line="320" w:lineRule="exact"/>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生态效益指标</w:t>
            </w:r>
          </w:p>
        </w:tc>
        <w:tc>
          <w:tcPr>
            <w:tcW w:w="2693" w:type="dxa"/>
            <w:gridSpan w:val="4"/>
            <w:vAlign w:val="center"/>
          </w:tcPr>
          <w:p>
            <w:pPr>
              <w:autoSpaceDN w:val="0"/>
              <w:spacing w:line="320" w:lineRule="exact"/>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对生态环境无影响</w:t>
            </w:r>
          </w:p>
        </w:tc>
        <w:tc>
          <w:tcPr>
            <w:tcW w:w="1559" w:type="dxa"/>
            <w:gridSpan w:val="5"/>
            <w:vAlign w:val="center"/>
          </w:tcPr>
          <w:p>
            <w:pPr>
              <w:widowControl/>
              <w:jc w:val="center"/>
              <w:rPr>
                <w:rFonts w:hint="eastAsia" w:ascii="仿宋" w:hAnsi="仿宋" w:eastAsia="仿宋"/>
                <w:b/>
                <w:bCs/>
                <w:color w:val="000000"/>
                <w:sz w:val="24"/>
              </w:rPr>
            </w:pPr>
            <w:r>
              <w:rPr>
                <w:rFonts w:hint="eastAsia" w:ascii="仿宋" w:hAnsi="仿宋" w:eastAsia="仿宋"/>
                <w:b/>
                <w:bCs/>
                <w:color w:val="000000"/>
                <w:sz w:val="24"/>
              </w:rPr>
              <w:t>对生态环境无影响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13" w:type="dxa"/>
            <w:vMerge w:val="continue"/>
            <w:vAlign w:val="center"/>
          </w:tcPr>
          <w:p>
            <w:pPr>
              <w:spacing w:line="320" w:lineRule="exact"/>
              <w:rPr>
                <w:rFonts w:ascii="仿宋_GB2312" w:hAnsi="仿宋_GB2312" w:eastAsia="仿宋_GB2312" w:cs="仿宋_GB2312"/>
                <w:sz w:val="24"/>
              </w:rPr>
            </w:pPr>
          </w:p>
        </w:tc>
        <w:tc>
          <w:tcPr>
            <w:tcW w:w="1577" w:type="dxa"/>
            <w:gridSpan w:val="5"/>
            <w:vMerge w:val="continue"/>
            <w:vAlign w:val="center"/>
          </w:tcPr>
          <w:p>
            <w:pPr>
              <w:autoSpaceDN w:val="0"/>
              <w:spacing w:line="320" w:lineRule="exact"/>
              <w:rPr>
                <w:rFonts w:ascii="仿宋_GB2312" w:hAnsi="仿宋_GB2312" w:eastAsia="仿宋_GB2312" w:cs="仿宋_GB2312"/>
                <w:sz w:val="24"/>
              </w:rPr>
            </w:pPr>
          </w:p>
        </w:tc>
        <w:tc>
          <w:tcPr>
            <w:tcW w:w="2392" w:type="dxa"/>
            <w:gridSpan w:val="2"/>
            <w:vAlign w:val="center"/>
          </w:tcPr>
          <w:p>
            <w:pPr>
              <w:autoSpaceDN w:val="0"/>
              <w:spacing w:line="320" w:lineRule="exact"/>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可持续影响指标</w:t>
            </w:r>
          </w:p>
        </w:tc>
        <w:tc>
          <w:tcPr>
            <w:tcW w:w="2693" w:type="dxa"/>
            <w:gridSpan w:val="4"/>
            <w:vAlign w:val="center"/>
          </w:tcPr>
          <w:p>
            <w:pPr>
              <w:autoSpaceDN w:val="0"/>
              <w:spacing w:line="320" w:lineRule="exact"/>
              <w:jc w:val="center"/>
              <w:textAlignment w:val="center"/>
              <w:rPr>
                <w:rFonts w:hint="eastAsia" w:ascii="仿宋" w:hAnsi="仿宋" w:eastAsia="仿宋" w:cs="仿宋_GB2312"/>
                <w:color w:val="000000"/>
                <w:sz w:val="24"/>
              </w:rPr>
            </w:pPr>
            <w:r>
              <w:rPr>
                <w:rFonts w:hint="eastAsia" w:ascii="仿宋" w:hAnsi="仿宋" w:eastAsia="仿宋" w:cs="仿宋_GB2312"/>
                <w:color w:val="000000"/>
                <w:sz w:val="24"/>
              </w:rPr>
              <w:t>提高人民群众文化活动及旅游基础设施，提升基本公共文化服务水平，提高文化遗产全民保护意识</w:t>
            </w:r>
          </w:p>
        </w:tc>
        <w:tc>
          <w:tcPr>
            <w:tcW w:w="1559" w:type="dxa"/>
            <w:gridSpan w:val="5"/>
            <w:vAlign w:val="center"/>
          </w:tcPr>
          <w:p>
            <w:pPr>
              <w:widowControl/>
              <w:jc w:val="center"/>
              <w:rPr>
                <w:rFonts w:ascii="仿宋" w:hAnsi="仿宋" w:eastAsia="仿宋"/>
                <w:b/>
                <w:bCs/>
                <w:color w:val="000000"/>
                <w:sz w:val="24"/>
              </w:rPr>
            </w:pPr>
            <w:r>
              <w:rPr>
                <w:rFonts w:hint="eastAsia" w:ascii="仿宋" w:hAnsi="仿宋" w:eastAsia="仿宋"/>
                <w:b/>
                <w:bCs/>
                <w:color w:val="000000"/>
                <w:sz w:val="24"/>
              </w:rPr>
              <w:t>长期</w:t>
            </w:r>
          </w:p>
          <w:p>
            <w:pPr>
              <w:spacing w:before="100" w:beforeAutospacing="1" w:after="100" w:afterAutospacing="1" w:line="320" w:lineRule="exact"/>
              <w:jc w:val="center"/>
              <w:textAlignment w:val="center"/>
              <w:rPr>
                <w:rFonts w:hint="eastAsia" w:ascii="仿宋" w:hAnsi="仿宋" w:eastAsia="仿宋"/>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13" w:type="dxa"/>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577" w:type="dxa"/>
            <w:gridSpan w:val="5"/>
            <w:vAlign w:val="center"/>
          </w:tcPr>
          <w:p>
            <w:pPr>
              <w:widowControl/>
              <w:jc w:val="center"/>
              <w:rPr>
                <w:rFonts w:hint="eastAsia" w:ascii="仿宋" w:hAnsi="仿宋" w:eastAsia="仿宋" w:cs="仿宋_GB2312"/>
                <w:color w:val="000000"/>
                <w:sz w:val="24"/>
              </w:rPr>
            </w:pPr>
            <w:r>
              <w:rPr>
                <w:rFonts w:hint="eastAsia" w:ascii="仿宋" w:hAnsi="仿宋" w:eastAsia="仿宋" w:cs="仿宋_GB2312"/>
                <w:color w:val="000000"/>
                <w:sz w:val="24"/>
              </w:rPr>
              <w:t>满意度指标</w:t>
            </w:r>
          </w:p>
        </w:tc>
        <w:tc>
          <w:tcPr>
            <w:tcW w:w="2392" w:type="dxa"/>
            <w:gridSpan w:val="2"/>
            <w:vAlign w:val="center"/>
          </w:tcPr>
          <w:p>
            <w:pPr>
              <w:widowControl/>
              <w:jc w:val="center"/>
              <w:rPr>
                <w:rFonts w:hint="eastAsia" w:ascii="仿宋" w:hAnsi="仿宋" w:eastAsia="仿宋" w:cs="仿宋_GB2312"/>
                <w:color w:val="000000"/>
                <w:sz w:val="24"/>
              </w:rPr>
            </w:pPr>
            <w:r>
              <w:rPr>
                <w:rFonts w:hint="eastAsia" w:ascii="仿宋" w:hAnsi="仿宋" w:eastAsia="仿宋" w:cs="仿宋_GB2312"/>
                <w:color w:val="000000"/>
                <w:sz w:val="24"/>
              </w:rPr>
              <w:t>服务对象满意度指标</w:t>
            </w:r>
          </w:p>
        </w:tc>
        <w:tc>
          <w:tcPr>
            <w:tcW w:w="2693" w:type="dxa"/>
            <w:gridSpan w:val="4"/>
            <w:vAlign w:val="center"/>
          </w:tcPr>
          <w:p>
            <w:pPr>
              <w:widowControl/>
              <w:jc w:val="center"/>
              <w:rPr>
                <w:rFonts w:hint="eastAsia" w:ascii="仿宋" w:hAnsi="仿宋" w:eastAsia="仿宋" w:cs="仿宋_GB2312"/>
                <w:color w:val="000000"/>
                <w:sz w:val="24"/>
              </w:rPr>
            </w:pPr>
            <w:r>
              <w:rPr>
                <w:rFonts w:hint="eastAsia" w:ascii="仿宋" w:hAnsi="仿宋" w:eastAsia="仿宋" w:cs="仿宋_GB2312"/>
                <w:color w:val="000000"/>
                <w:sz w:val="24"/>
              </w:rPr>
              <w:t>离岗及离休人员的管理和服务工作</w:t>
            </w:r>
          </w:p>
        </w:tc>
        <w:tc>
          <w:tcPr>
            <w:tcW w:w="1559" w:type="dxa"/>
            <w:gridSpan w:val="5"/>
            <w:vAlign w:val="center"/>
          </w:tcPr>
          <w:p>
            <w:pPr>
              <w:widowControl/>
              <w:jc w:val="center"/>
              <w:rPr>
                <w:rFonts w:ascii="仿宋" w:hAnsi="仿宋" w:eastAsia="仿宋"/>
                <w:b/>
                <w:bCs/>
                <w:color w:val="000000"/>
                <w:sz w:val="24"/>
              </w:rPr>
            </w:pPr>
            <w:r>
              <w:rPr>
                <w:rFonts w:hint="eastAsia" w:ascii="仿宋" w:hAnsi="仿宋" w:eastAsia="仿宋"/>
                <w:b/>
                <w:bCs/>
                <w:color w:val="000000"/>
                <w:sz w:val="24"/>
              </w:rPr>
              <w:t>95%以上</w:t>
            </w:r>
          </w:p>
          <w:p>
            <w:pPr>
              <w:autoSpaceDN w:val="0"/>
              <w:spacing w:line="320" w:lineRule="exact"/>
              <w:jc w:val="center"/>
              <w:textAlignment w:val="center"/>
              <w:rPr>
                <w:rFonts w:hint="eastAsia" w:ascii="仿宋" w:hAnsi="仿宋" w:eastAsia="仿宋"/>
                <w:b/>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644"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 w:hAnsi="仿宋" w:eastAsia="仿宋" w:cs="仿宋_GB2312"/>
                <w:color w:val="000000"/>
                <w:sz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644" w:type="dxa"/>
            <w:gridSpan w:val="11"/>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 w:hAnsi="仿宋" w:eastAsia="仿宋"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634"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728"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312"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94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FF0000"/>
                <w:sz w:val="24"/>
              </w:rPr>
            </w:pPr>
            <w:r>
              <w:rPr>
                <w:rFonts w:hint="eastAsia" w:ascii="仿宋_GB2312" w:hAnsi="仿宋_GB2312" w:eastAsia="仿宋_GB2312" w:cs="仿宋_GB2312"/>
                <w:color w:val="FF0000"/>
                <w:sz w:val="24"/>
              </w:rPr>
              <w:t>朱百齐</w:t>
            </w:r>
          </w:p>
        </w:tc>
        <w:tc>
          <w:tcPr>
            <w:tcW w:w="3728" w:type="dxa"/>
            <w:gridSpan w:val="5"/>
            <w:vAlign w:val="center"/>
          </w:tcPr>
          <w:p>
            <w:pPr>
              <w:autoSpaceDN w:val="0"/>
              <w:spacing w:line="320" w:lineRule="exact"/>
              <w:jc w:val="center"/>
              <w:textAlignment w:val="center"/>
              <w:rPr>
                <w:rFonts w:ascii="仿宋_GB2312" w:hAnsi="仿宋_GB2312" w:eastAsia="仿宋_GB2312" w:cs="仿宋_GB2312"/>
                <w:color w:val="FF0000"/>
                <w:sz w:val="24"/>
              </w:rPr>
            </w:pPr>
            <w:r>
              <w:rPr>
                <w:rFonts w:hint="eastAsia" w:ascii="仿宋_GB2312" w:hAnsi="仿宋_GB2312" w:eastAsia="仿宋_GB2312" w:cs="仿宋_GB2312"/>
                <w:color w:val="FF0000"/>
                <w:sz w:val="24"/>
              </w:rPr>
              <w:t>所长</w:t>
            </w:r>
          </w:p>
        </w:tc>
        <w:tc>
          <w:tcPr>
            <w:tcW w:w="1312"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君山岛文物管理所</w:t>
            </w:r>
          </w:p>
        </w:tc>
        <w:tc>
          <w:tcPr>
            <w:tcW w:w="294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曾庆如</w:t>
            </w:r>
          </w:p>
        </w:tc>
        <w:tc>
          <w:tcPr>
            <w:tcW w:w="3728"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财务主管</w:t>
            </w:r>
          </w:p>
        </w:tc>
        <w:tc>
          <w:tcPr>
            <w:tcW w:w="1312"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君山岛文物管理所</w:t>
            </w:r>
          </w:p>
        </w:tc>
        <w:tc>
          <w:tcPr>
            <w:tcW w:w="294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728"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12"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4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728"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12"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40"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634"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634"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634"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财政部门归口业务股室负责人（签章）：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仿宋" w:hAnsi="仿宋" w:eastAsia="仿宋" w:cs="宋体"/>
                <w:kern w:val="0"/>
                <w:sz w:val="24"/>
              </w:rPr>
            </w:pPr>
            <w:r>
              <w:rPr>
                <w:rFonts w:hint="eastAsia" w:ascii="仿宋" w:hAnsi="仿宋" w:eastAsia="仿宋" w:cs="宋体"/>
                <w:kern w:val="0"/>
                <w:sz w:val="24"/>
              </w:rPr>
              <w:t>五、评价报告综述（文字部分）</w:t>
            </w:r>
          </w:p>
          <w:p>
            <w:pPr>
              <w:spacing w:line="440" w:lineRule="exact"/>
              <w:ind w:firstLine="480" w:firstLineChars="200"/>
              <w:rPr>
                <w:rFonts w:ascii="仿宋" w:hAnsi="仿宋" w:eastAsia="仿宋" w:cs="宋体"/>
                <w:kern w:val="0"/>
                <w:sz w:val="24"/>
              </w:rPr>
            </w:pPr>
          </w:p>
          <w:p>
            <w:pPr>
              <w:widowControl/>
              <w:spacing w:line="480" w:lineRule="auto"/>
              <w:rPr>
                <w:rFonts w:ascii="仿宋" w:hAnsi="仿宋" w:eastAsia="仿宋" w:cs="宋体"/>
                <w:kern w:val="0"/>
                <w:sz w:val="24"/>
              </w:rPr>
            </w:pPr>
            <w:r>
              <w:rPr>
                <w:rFonts w:ascii="仿宋" w:hAnsi="仿宋" w:eastAsia="仿宋" w:cs="宋体"/>
                <w:kern w:val="0"/>
                <w:sz w:val="24"/>
              </w:rPr>
              <w:t>一、单位概况</w:t>
            </w:r>
          </w:p>
          <w:p>
            <w:pPr>
              <w:widowControl/>
              <w:spacing w:line="480" w:lineRule="auto"/>
              <w:rPr>
                <w:rFonts w:ascii="仿宋" w:hAnsi="仿宋" w:eastAsia="仿宋" w:cs="宋体"/>
                <w:kern w:val="0"/>
                <w:sz w:val="24"/>
              </w:rPr>
            </w:pPr>
            <w:r>
              <w:rPr>
                <w:rFonts w:ascii="仿宋" w:hAnsi="仿宋" w:eastAsia="仿宋" w:cs="宋体"/>
                <w:kern w:val="0"/>
                <w:sz w:val="24"/>
              </w:rPr>
              <w:t>（一）单位基本情况</w:t>
            </w:r>
          </w:p>
          <w:p>
            <w:pPr>
              <w:ind w:firstLine="480" w:firstLineChars="200"/>
              <w:rPr>
                <w:rFonts w:ascii="仿宋" w:hAnsi="仿宋" w:eastAsia="仿宋" w:cs="宋体"/>
                <w:kern w:val="0"/>
                <w:sz w:val="24"/>
              </w:rPr>
            </w:pPr>
            <w:r>
              <w:rPr>
                <w:rFonts w:hint="eastAsia" w:ascii="仿宋" w:hAnsi="仿宋" w:eastAsia="仿宋" w:cs="宋体"/>
                <w:kern w:val="0"/>
                <w:sz w:val="24"/>
              </w:rPr>
              <w:t>君山岛文物管理所是岳阳市文化旅游广电局下属的正科级公益一类事业单位（依据岳编办发[2020]104号《关于设立市岳阳楼文物保护中心和市君山岛文物管理所的通知》），核定全额拨款事业编制5名（文物保护人员编制2名、离退休人员管理服务人员3名），其中所长1名（已指派）、副所长1名（暂时空缺）。主要职责是：承担君山岛景区文物保护的事务性、技术性工作；受文旅广电局委托，承担相关文物保护、管理、研究、展示等职责，以及单位转企改制时离岗及离休人员的管理和服务工作。</w:t>
            </w:r>
          </w:p>
          <w:p>
            <w:pPr>
              <w:widowControl/>
              <w:spacing w:line="480" w:lineRule="auto"/>
              <w:rPr>
                <w:rFonts w:ascii="仿宋" w:hAnsi="仿宋" w:eastAsia="仿宋" w:cs="宋体"/>
                <w:kern w:val="0"/>
                <w:sz w:val="24"/>
              </w:rPr>
            </w:pPr>
            <w:r>
              <w:rPr>
                <w:rFonts w:ascii="仿宋" w:hAnsi="仿宋" w:eastAsia="仿宋" w:cs="宋体"/>
                <w:kern w:val="0"/>
                <w:sz w:val="24"/>
              </w:rPr>
              <w:t>（二）部门（单位）整体支出规模、使用方向和主要内容、涉及范围</w:t>
            </w:r>
          </w:p>
          <w:p>
            <w:pPr>
              <w:widowControl/>
              <w:spacing w:line="480" w:lineRule="auto"/>
              <w:ind w:firstLine="720" w:firstLineChars="300"/>
              <w:rPr>
                <w:rFonts w:ascii="仿宋" w:hAnsi="仿宋" w:eastAsia="仿宋" w:cs="宋体"/>
                <w:kern w:val="0"/>
                <w:sz w:val="24"/>
              </w:rPr>
            </w:pPr>
            <w:r>
              <w:rPr>
                <w:rFonts w:ascii="仿宋" w:hAnsi="仿宋" w:eastAsia="仿宋" w:cs="宋体"/>
                <w:kern w:val="0"/>
                <w:sz w:val="24"/>
              </w:rPr>
              <w:t>20</w:t>
            </w:r>
            <w:r>
              <w:rPr>
                <w:rFonts w:hint="eastAsia" w:ascii="仿宋" w:hAnsi="仿宋" w:eastAsia="仿宋" w:cs="宋体"/>
                <w:kern w:val="0"/>
                <w:sz w:val="24"/>
              </w:rPr>
              <w:t>2</w:t>
            </w:r>
            <w:r>
              <w:rPr>
                <w:rFonts w:ascii="仿宋" w:hAnsi="仿宋" w:eastAsia="仿宋" w:cs="宋体"/>
                <w:kern w:val="0"/>
                <w:sz w:val="24"/>
              </w:rPr>
              <w:t>2年单位整体支出规模为</w:t>
            </w:r>
            <w:r>
              <w:rPr>
                <w:rFonts w:hint="eastAsia" w:ascii="仿宋_GB2312" w:hAnsi="仿宋_GB2312" w:eastAsia="仿宋_GB2312" w:cs="仿宋_GB2312"/>
                <w:color w:val="000000"/>
                <w:sz w:val="24"/>
                <w:lang w:val="en-US" w:eastAsia="zh-CN"/>
              </w:rPr>
              <w:t>65.59</w:t>
            </w:r>
            <w:r>
              <w:rPr>
                <w:rFonts w:ascii="仿宋" w:hAnsi="仿宋" w:eastAsia="仿宋" w:cs="宋体"/>
                <w:kern w:val="0"/>
                <w:sz w:val="24"/>
              </w:rPr>
              <w:t>万元，资金主要用于维护本单位正常运行及人员经费。</w:t>
            </w:r>
          </w:p>
          <w:p>
            <w:pPr>
              <w:widowControl/>
              <w:spacing w:line="480" w:lineRule="auto"/>
              <w:rPr>
                <w:rFonts w:ascii="仿宋" w:hAnsi="仿宋" w:eastAsia="仿宋" w:cs="宋体"/>
                <w:kern w:val="0"/>
                <w:sz w:val="24"/>
              </w:rPr>
            </w:pPr>
            <w:r>
              <w:rPr>
                <w:rFonts w:ascii="仿宋" w:hAnsi="仿宋" w:eastAsia="仿宋" w:cs="宋体"/>
                <w:kern w:val="0"/>
                <w:sz w:val="24"/>
              </w:rPr>
              <w:t>二、单位整体支出管理及使用情况</w:t>
            </w:r>
          </w:p>
          <w:p>
            <w:pPr>
              <w:widowControl/>
              <w:spacing w:line="480" w:lineRule="auto"/>
              <w:ind w:firstLine="480" w:firstLineChars="200"/>
              <w:rPr>
                <w:rFonts w:ascii="仿宋" w:hAnsi="仿宋" w:eastAsia="仿宋" w:cs="宋体"/>
                <w:kern w:val="0"/>
                <w:sz w:val="24"/>
              </w:rPr>
            </w:pPr>
            <w:r>
              <w:rPr>
                <w:rFonts w:ascii="仿宋" w:hAnsi="仿宋" w:eastAsia="仿宋" w:cs="宋体"/>
                <w:kern w:val="0"/>
                <w:sz w:val="24"/>
              </w:rPr>
              <w:t>20</w:t>
            </w:r>
            <w:r>
              <w:rPr>
                <w:rFonts w:hint="eastAsia" w:ascii="仿宋" w:hAnsi="仿宋" w:eastAsia="仿宋" w:cs="宋体"/>
                <w:kern w:val="0"/>
                <w:sz w:val="24"/>
              </w:rPr>
              <w:t>2</w:t>
            </w:r>
            <w:r>
              <w:rPr>
                <w:rFonts w:ascii="仿宋" w:hAnsi="仿宋" w:eastAsia="仿宋" w:cs="宋体"/>
                <w:kern w:val="0"/>
                <w:sz w:val="24"/>
              </w:rPr>
              <w:t>2年，我</w:t>
            </w:r>
            <w:r>
              <w:rPr>
                <w:rFonts w:hint="eastAsia" w:ascii="仿宋" w:hAnsi="仿宋" w:eastAsia="仿宋" w:cs="宋体"/>
                <w:kern w:val="0"/>
                <w:sz w:val="24"/>
              </w:rPr>
              <w:t>所</w:t>
            </w:r>
            <w:r>
              <w:rPr>
                <w:rFonts w:ascii="仿宋" w:hAnsi="仿宋" w:eastAsia="仿宋" w:cs="宋体"/>
                <w:kern w:val="0"/>
                <w:sz w:val="24"/>
              </w:rPr>
              <w:t>公共财政预算支出共计</w:t>
            </w:r>
            <w:r>
              <w:rPr>
                <w:rFonts w:hint="eastAsia" w:ascii="仿宋_GB2312" w:hAnsi="仿宋_GB2312" w:eastAsia="仿宋_GB2312" w:cs="仿宋_GB2312"/>
                <w:color w:val="000000"/>
                <w:sz w:val="24"/>
                <w:lang w:val="en-US" w:eastAsia="zh-CN"/>
              </w:rPr>
              <w:t>65.59</w:t>
            </w:r>
            <w:r>
              <w:rPr>
                <w:rFonts w:ascii="仿宋" w:hAnsi="仿宋" w:eastAsia="仿宋" w:cs="宋体"/>
                <w:kern w:val="0"/>
                <w:sz w:val="24"/>
              </w:rPr>
              <w:t>万元</w:t>
            </w:r>
            <w:r>
              <w:rPr>
                <w:rFonts w:hint="eastAsia" w:ascii="仿宋" w:hAnsi="仿宋" w:eastAsia="仿宋" w:cs="宋体"/>
                <w:kern w:val="0"/>
                <w:sz w:val="24"/>
              </w:rPr>
              <w:t>（</w:t>
            </w:r>
            <w:r>
              <w:rPr>
                <w:rFonts w:ascii="仿宋" w:hAnsi="仿宋" w:eastAsia="仿宋" w:cs="宋体"/>
                <w:kern w:val="0"/>
                <w:sz w:val="24"/>
              </w:rPr>
              <w:t>基本支出</w:t>
            </w:r>
            <w:r>
              <w:rPr>
                <w:rFonts w:hint="eastAsia" w:ascii="仿宋" w:hAnsi="仿宋" w:eastAsia="仿宋" w:cs="宋体"/>
                <w:kern w:val="0"/>
                <w:sz w:val="24"/>
                <w:lang w:val="en-US" w:eastAsia="zh-CN"/>
              </w:rPr>
              <w:t>47.1</w:t>
            </w:r>
            <w:r>
              <w:rPr>
                <w:rFonts w:hint="eastAsia" w:ascii="仿宋" w:hAnsi="仿宋" w:eastAsia="仿宋" w:cs="宋体"/>
                <w:kern w:val="0"/>
                <w:sz w:val="24"/>
              </w:rPr>
              <w:t>元，项目支出1</w:t>
            </w:r>
            <w:r>
              <w:rPr>
                <w:rFonts w:hint="eastAsia" w:ascii="仿宋" w:hAnsi="仿宋" w:eastAsia="仿宋" w:cs="宋体"/>
                <w:kern w:val="0"/>
                <w:sz w:val="24"/>
                <w:lang w:val="en-US" w:eastAsia="zh-CN"/>
              </w:rPr>
              <w:t>8.49</w:t>
            </w:r>
            <w:r>
              <w:rPr>
                <w:rFonts w:hint="eastAsia" w:ascii="仿宋" w:hAnsi="仿宋" w:eastAsia="仿宋" w:cs="宋体"/>
                <w:kern w:val="0"/>
                <w:sz w:val="24"/>
              </w:rPr>
              <w:t>万元）。</w:t>
            </w:r>
          </w:p>
          <w:p>
            <w:pPr>
              <w:widowControl/>
              <w:spacing w:line="480" w:lineRule="auto"/>
              <w:rPr>
                <w:rFonts w:ascii="仿宋" w:hAnsi="仿宋" w:eastAsia="仿宋" w:cs="宋体"/>
                <w:kern w:val="0"/>
                <w:sz w:val="24"/>
              </w:rPr>
            </w:pPr>
            <w:r>
              <w:rPr>
                <w:rFonts w:ascii="仿宋" w:hAnsi="仿宋" w:eastAsia="仿宋" w:cs="宋体"/>
                <w:kern w:val="0"/>
                <w:sz w:val="24"/>
              </w:rPr>
              <w:t>（一）基本支出</w:t>
            </w:r>
          </w:p>
          <w:p>
            <w:pPr>
              <w:widowControl/>
              <w:spacing w:line="480" w:lineRule="auto"/>
              <w:ind w:firstLine="840" w:firstLineChars="350"/>
              <w:rPr>
                <w:rFonts w:ascii="仿宋" w:hAnsi="仿宋" w:eastAsia="仿宋" w:cs="宋体"/>
                <w:kern w:val="0"/>
                <w:sz w:val="24"/>
              </w:rPr>
            </w:pPr>
            <w:r>
              <w:rPr>
                <w:rFonts w:ascii="仿宋" w:hAnsi="仿宋" w:eastAsia="仿宋" w:cs="宋体"/>
                <w:kern w:val="0"/>
                <w:sz w:val="24"/>
              </w:rPr>
              <w:t>基本支出</w:t>
            </w:r>
            <w:r>
              <w:rPr>
                <w:rFonts w:hint="eastAsia" w:ascii="仿宋_GB2312" w:hAnsi="仿宋_GB2312" w:eastAsia="仿宋_GB2312" w:cs="仿宋_GB2312"/>
                <w:color w:val="000000"/>
                <w:sz w:val="24"/>
                <w:lang w:val="en-US" w:eastAsia="zh-CN"/>
              </w:rPr>
              <w:t>47.1</w:t>
            </w:r>
            <w:r>
              <w:rPr>
                <w:rFonts w:ascii="仿宋" w:hAnsi="仿宋" w:eastAsia="仿宋" w:cs="宋体"/>
                <w:kern w:val="0"/>
                <w:sz w:val="24"/>
              </w:rPr>
              <w:t>万元，主要包括工资福利支出</w:t>
            </w:r>
            <w:r>
              <w:rPr>
                <w:rFonts w:hint="eastAsia" w:ascii="仿宋" w:hAnsi="仿宋" w:eastAsia="仿宋" w:cs="宋体"/>
                <w:kern w:val="0"/>
                <w:sz w:val="24"/>
                <w:lang w:val="en-US" w:eastAsia="zh-CN"/>
              </w:rPr>
              <w:t>42.37</w:t>
            </w:r>
            <w:r>
              <w:rPr>
                <w:rFonts w:ascii="仿宋" w:hAnsi="仿宋" w:eastAsia="仿宋" w:cs="宋体"/>
                <w:kern w:val="0"/>
                <w:sz w:val="24"/>
              </w:rPr>
              <w:t>万元，商品和服务支出</w:t>
            </w:r>
            <w:r>
              <w:rPr>
                <w:rFonts w:hint="eastAsia" w:ascii="仿宋" w:hAnsi="仿宋" w:eastAsia="仿宋" w:cs="宋体"/>
                <w:kern w:val="0"/>
                <w:sz w:val="24"/>
                <w:lang w:val="en-US" w:eastAsia="zh-CN"/>
              </w:rPr>
              <w:t>4.73</w:t>
            </w:r>
            <w:r>
              <w:rPr>
                <w:rFonts w:ascii="仿宋" w:hAnsi="仿宋" w:eastAsia="仿宋" w:cs="宋体"/>
                <w:kern w:val="0"/>
                <w:sz w:val="24"/>
              </w:rPr>
              <w:t>万元。</w:t>
            </w:r>
          </w:p>
          <w:p>
            <w:pPr>
              <w:widowControl/>
              <w:spacing w:line="480" w:lineRule="auto"/>
              <w:rPr>
                <w:rFonts w:ascii="仿宋" w:hAnsi="仿宋" w:eastAsia="仿宋" w:cs="宋体"/>
                <w:kern w:val="0"/>
                <w:sz w:val="24"/>
              </w:rPr>
            </w:pPr>
            <w:r>
              <w:rPr>
                <w:rFonts w:ascii="仿宋" w:hAnsi="仿宋" w:eastAsia="仿宋" w:cs="宋体"/>
                <w:kern w:val="0"/>
                <w:sz w:val="24"/>
              </w:rPr>
              <w:t>（</w:t>
            </w:r>
            <w:r>
              <w:rPr>
                <w:rFonts w:hint="eastAsia" w:ascii="仿宋" w:hAnsi="仿宋" w:eastAsia="仿宋" w:cs="宋体"/>
                <w:kern w:val="0"/>
                <w:sz w:val="24"/>
              </w:rPr>
              <w:t>二</w:t>
            </w:r>
            <w:r>
              <w:rPr>
                <w:rFonts w:ascii="仿宋" w:hAnsi="仿宋" w:eastAsia="仿宋" w:cs="宋体"/>
                <w:kern w:val="0"/>
                <w:sz w:val="24"/>
              </w:rPr>
              <w:t>）</w:t>
            </w:r>
            <w:r>
              <w:rPr>
                <w:rFonts w:hint="eastAsia" w:ascii="仿宋" w:hAnsi="仿宋" w:eastAsia="仿宋" w:cs="宋体"/>
                <w:kern w:val="0"/>
                <w:sz w:val="24"/>
              </w:rPr>
              <w:t>项目</w:t>
            </w:r>
            <w:r>
              <w:rPr>
                <w:rFonts w:ascii="仿宋" w:hAnsi="仿宋" w:eastAsia="仿宋" w:cs="宋体"/>
                <w:kern w:val="0"/>
                <w:sz w:val="24"/>
              </w:rPr>
              <w:t>支出</w:t>
            </w:r>
          </w:p>
          <w:p>
            <w:pPr>
              <w:widowControl/>
              <w:spacing w:line="480" w:lineRule="auto"/>
              <w:ind w:firstLine="840" w:firstLineChars="350"/>
              <w:rPr>
                <w:rFonts w:hint="eastAsia" w:ascii="仿宋" w:hAnsi="仿宋" w:eastAsia="仿宋" w:cs="宋体"/>
                <w:kern w:val="0"/>
                <w:sz w:val="24"/>
              </w:rPr>
            </w:pPr>
            <w:r>
              <w:rPr>
                <w:rFonts w:hint="eastAsia" w:ascii="仿宋" w:hAnsi="仿宋" w:eastAsia="仿宋" w:cs="宋体"/>
                <w:kern w:val="0"/>
                <w:sz w:val="24"/>
              </w:rPr>
              <w:t>项目</w:t>
            </w:r>
            <w:r>
              <w:rPr>
                <w:rFonts w:ascii="仿宋" w:hAnsi="仿宋" w:eastAsia="仿宋" w:cs="宋体"/>
                <w:kern w:val="0"/>
                <w:sz w:val="24"/>
              </w:rPr>
              <w:t>支出</w:t>
            </w:r>
            <w:r>
              <w:rPr>
                <w:rFonts w:hint="eastAsia" w:ascii="仿宋" w:hAnsi="仿宋" w:eastAsia="仿宋" w:cs="宋体"/>
                <w:kern w:val="0"/>
                <w:sz w:val="24"/>
                <w:lang w:val="en-US" w:eastAsia="zh-CN"/>
              </w:rPr>
              <w:t>18.49</w:t>
            </w:r>
            <w:r>
              <w:rPr>
                <w:rFonts w:ascii="仿宋" w:hAnsi="仿宋" w:eastAsia="仿宋" w:cs="宋体"/>
                <w:kern w:val="0"/>
                <w:sz w:val="24"/>
              </w:rPr>
              <w:t>万元，主要包括工资福利支出</w:t>
            </w:r>
            <w:r>
              <w:rPr>
                <w:rFonts w:hint="eastAsia" w:ascii="仿宋" w:hAnsi="仿宋" w:eastAsia="仿宋" w:cs="宋体"/>
                <w:kern w:val="0"/>
                <w:sz w:val="24"/>
                <w:lang w:val="en-US" w:eastAsia="zh-CN"/>
              </w:rPr>
              <w:t>15.9</w:t>
            </w:r>
            <w:r>
              <w:rPr>
                <w:rFonts w:ascii="仿宋" w:hAnsi="仿宋" w:eastAsia="仿宋" w:cs="宋体"/>
                <w:kern w:val="0"/>
                <w:sz w:val="24"/>
              </w:rPr>
              <w:t>万元，</w:t>
            </w:r>
            <w:r>
              <w:rPr>
                <w:rFonts w:hint="eastAsia" w:ascii="仿宋" w:hAnsi="仿宋" w:eastAsia="仿宋" w:cs="宋体"/>
                <w:kern w:val="0"/>
                <w:sz w:val="24"/>
              </w:rPr>
              <w:t>对个人和家庭的补助</w:t>
            </w:r>
            <w:r>
              <w:rPr>
                <w:rFonts w:hint="eastAsia" w:ascii="仿宋" w:hAnsi="仿宋" w:eastAsia="仿宋" w:cs="宋体"/>
                <w:kern w:val="0"/>
                <w:sz w:val="24"/>
                <w:lang w:val="en-US" w:eastAsia="zh-CN"/>
              </w:rPr>
              <w:t>2.59</w:t>
            </w:r>
            <w:r>
              <w:rPr>
                <w:rFonts w:ascii="仿宋" w:hAnsi="仿宋" w:eastAsia="仿宋" w:cs="宋体"/>
                <w:kern w:val="0"/>
                <w:sz w:val="24"/>
              </w:rPr>
              <w:t>万元。</w:t>
            </w:r>
          </w:p>
          <w:p>
            <w:pPr>
              <w:widowControl/>
              <w:spacing w:line="480" w:lineRule="auto"/>
              <w:rPr>
                <w:rFonts w:ascii="仿宋" w:hAnsi="仿宋" w:eastAsia="仿宋" w:cs="宋体"/>
                <w:kern w:val="0"/>
                <w:sz w:val="24"/>
              </w:rPr>
            </w:pPr>
            <w:r>
              <w:rPr>
                <w:rFonts w:hint="eastAsia" w:ascii="仿宋" w:hAnsi="仿宋" w:eastAsia="仿宋" w:cs="宋体"/>
                <w:kern w:val="0"/>
                <w:sz w:val="24"/>
              </w:rPr>
              <w:t>三</w:t>
            </w:r>
            <w:r>
              <w:rPr>
                <w:rFonts w:ascii="仿宋" w:hAnsi="仿宋" w:eastAsia="仿宋" w:cs="宋体"/>
                <w:kern w:val="0"/>
                <w:sz w:val="24"/>
              </w:rPr>
              <w:t>、单位整体支出绩效情况</w:t>
            </w:r>
          </w:p>
          <w:p>
            <w:pPr>
              <w:widowControl/>
              <w:spacing w:line="480" w:lineRule="auto"/>
              <w:ind w:firstLine="480" w:firstLineChars="200"/>
              <w:rPr>
                <w:rFonts w:ascii="仿宋" w:hAnsi="仿宋" w:eastAsia="仿宋" w:cs="宋体"/>
                <w:kern w:val="0"/>
                <w:sz w:val="24"/>
              </w:rPr>
            </w:pPr>
            <w:r>
              <w:rPr>
                <w:rFonts w:hint="eastAsia" w:ascii="仿宋" w:hAnsi="仿宋" w:eastAsia="仿宋" w:cs="宋体"/>
                <w:kern w:val="0"/>
                <w:sz w:val="24"/>
              </w:rPr>
              <w:t>202</w:t>
            </w:r>
            <w:r>
              <w:rPr>
                <w:rFonts w:ascii="仿宋" w:hAnsi="仿宋" w:eastAsia="仿宋" w:cs="宋体"/>
                <w:kern w:val="0"/>
                <w:sz w:val="24"/>
              </w:rPr>
              <w:t>2</w:t>
            </w:r>
            <w:r>
              <w:rPr>
                <w:rFonts w:hint="eastAsia" w:ascii="仿宋" w:hAnsi="仿宋" w:eastAsia="仿宋" w:cs="宋体"/>
                <w:kern w:val="0"/>
                <w:sz w:val="24"/>
              </w:rPr>
              <w:t>年，根据我所年初工作规划和重点工作，围绕上级部门府的工作部署，积极履行职责，强化管理，圆满完成了年度工作目标，同时加强预算收支的管理，建立健全内部管理制度，严格内部管理流程，部门整体支出管理得到了提升。根据《部门整体支出绩效评价指标》评分，得分99分（详见附表1），财政支出绩效为“优”。部门整体支出绩效情况如下：</w:t>
            </w:r>
          </w:p>
          <w:p>
            <w:pPr>
              <w:widowControl/>
              <w:spacing w:before="100" w:beforeAutospacing="1" w:after="100" w:afterAutospacing="1" w:line="500" w:lineRule="exact"/>
              <w:ind w:firstLine="480" w:firstLineChars="200"/>
              <w:jc w:val="left"/>
              <w:rPr>
                <w:rFonts w:ascii="仿宋" w:hAnsi="仿宋" w:eastAsia="仿宋" w:cs="宋体"/>
                <w:kern w:val="0"/>
                <w:sz w:val="24"/>
              </w:rPr>
            </w:pPr>
            <w:r>
              <w:rPr>
                <w:rFonts w:hint="eastAsia" w:ascii="仿宋" w:hAnsi="仿宋" w:eastAsia="仿宋" w:cs="宋体"/>
                <w:kern w:val="0"/>
                <w:sz w:val="24"/>
              </w:rPr>
              <w:t>（一）“三公”经费情况分析</w:t>
            </w:r>
          </w:p>
          <w:p>
            <w:pPr>
              <w:widowControl/>
              <w:spacing w:before="100" w:beforeAutospacing="1" w:after="100" w:afterAutospacing="1" w:line="500" w:lineRule="exact"/>
              <w:ind w:firstLine="480" w:firstLineChars="200"/>
              <w:jc w:val="left"/>
              <w:rPr>
                <w:rFonts w:ascii="仿宋" w:hAnsi="仿宋" w:eastAsia="仿宋" w:cs="宋体"/>
                <w:kern w:val="0"/>
                <w:sz w:val="24"/>
              </w:rPr>
            </w:pPr>
            <w:r>
              <w:rPr>
                <w:rFonts w:hint="eastAsia" w:ascii="仿宋" w:hAnsi="仿宋" w:eastAsia="仿宋" w:cs="宋体"/>
                <w:kern w:val="0"/>
                <w:sz w:val="24"/>
              </w:rPr>
              <w:t>无“三公”经费支出。</w:t>
            </w:r>
          </w:p>
          <w:p>
            <w:pPr>
              <w:widowControl/>
              <w:spacing w:before="100" w:beforeAutospacing="1" w:after="100" w:afterAutospacing="1" w:line="500" w:lineRule="exact"/>
              <w:ind w:firstLine="480" w:firstLineChars="200"/>
              <w:jc w:val="left"/>
              <w:rPr>
                <w:rFonts w:ascii="仿宋" w:hAnsi="仿宋" w:eastAsia="仿宋" w:cs="宋体"/>
                <w:kern w:val="0"/>
                <w:sz w:val="24"/>
              </w:rPr>
            </w:pPr>
            <w:r>
              <w:rPr>
                <w:rFonts w:hint="eastAsia" w:ascii="仿宋" w:hAnsi="仿宋" w:eastAsia="仿宋" w:cs="宋体"/>
                <w:kern w:val="0"/>
                <w:sz w:val="24"/>
              </w:rPr>
              <w:t>（二）公务卡刷卡情况分析</w:t>
            </w:r>
          </w:p>
          <w:p>
            <w:pPr>
              <w:widowControl/>
              <w:spacing w:before="100" w:beforeAutospacing="1" w:after="100" w:afterAutospacing="1" w:line="500" w:lineRule="exact"/>
              <w:ind w:firstLine="480" w:firstLineChars="200"/>
              <w:jc w:val="left"/>
              <w:rPr>
                <w:rFonts w:ascii="仿宋" w:hAnsi="仿宋" w:eastAsia="仿宋" w:cs="宋体"/>
                <w:kern w:val="0"/>
                <w:sz w:val="24"/>
              </w:rPr>
            </w:pPr>
            <w:r>
              <w:rPr>
                <w:rFonts w:hint="eastAsia" w:ascii="仿宋" w:hAnsi="仿宋" w:eastAsia="仿宋" w:cs="宋体"/>
                <w:kern w:val="0"/>
                <w:sz w:val="24"/>
              </w:rPr>
              <w:t>无公务卡刷卡情况。</w:t>
            </w:r>
          </w:p>
          <w:p>
            <w:pPr>
              <w:widowControl/>
              <w:spacing w:before="100" w:beforeAutospacing="1" w:after="100" w:afterAutospacing="1" w:line="500" w:lineRule="exact"/>
              <w:ind w:firstLine="480" w:firstLineChars="200"/>
              <w:jc w:val="left"/>
              <w:rPr>
                <w:rFonts w:ascii="仿宋" w:hAnsi="仿宋" w:eastAsia="仿宋" w:cs="宋体"/>
                <w:kern w:val="0"/>
                <w:sz w:val="24"/>
              </w:rPr>
            </w:pPr>
            <w:r>
              <w:rPr>
                <w:rFonts w:hint="eastAsia" w:ascii="仿宋" w:hAnsi="仿宋" w:eastAsia="仿宋" w:cs="宋体"/>
                <w:kern w:val="0"/>
                <w:sz w:val="24"/>
              </w:rPr>
              <w:t>（三）最大效益使用固定资产</w:t>
            </w:r>
          </w:p>
          <w:p>
            <w:pPr>
              <w:widowControl/>
              <w:spacing w:before="100" w:beforeAutospacing="1" w:after="100" w:afterAutospacing="1" w:line="500" w:lineRule="exact"/>
              <w:ind w:firstLine="480" w:firstLineChars="200"/>
              <w:jc w:val="left"/>
              <w:rPr>
                <w:rFonts w:ascii="仿宋" w:hAnsi="仿宋" w:eastAsia="仿宋" w:cs="宋体"/>
                <w:kern w:val="0"/>
                <w:sz w:val="24"/>
              </w:rPr>
            </w:pPr>
            <w:r>
              <w:rPr>
                <w:rFonts w:hint="eastAsia" w:ascii="仿宋" w:hAnsi="仿宋" w:eastAsia="仿宋" w:cs="宋体"/>
                <w:kern w:val="0"/>
                <w:sz w:val="24"/>
              </w:rPr>
              <w:t>截止202</w:t>
            </w:r>
            <w:r>
              <w:rPr>
                <w:rFonts w:ascii="仿宋" w:hAnsi="仿宋" w:eastAsia="仿宋" w:cs="宋体"/>
                <w:kern w:val="0"/>
                <w:sz w:val="24"/>
              </w:rPr>
              <w:t>2</w:t>
            </w:r>
            <w:r>
              <w:rPr>
                <w:rFonts w:hint="eastAsia" w:ascii="仿宋" w:hAnsi="仿宋" w:eastAsia="仿宋" w:cs="宋体"/>
                <w:kern w:val="0"/>
                <w:sz w:val="24"/>
              </w:rPr>
              <w:t>年12月31日固定资产</w:t>
            </w:r>
            <w:r>
              <w:rPr>
                <w:rFonts w:ascii="仿宋" w:hAnsi="仿宋" w:eastAsia="仿宋" w:cs="宋体"/>
                <w:kern w:val="0"/>
                <w:sz w:val="24"/>
              </w:rPr>
              <w:t>15</w:t>
            </w:r>
            <w:r>
              <w:rPr>
                <w:rFonts w:hint="eastAsia" w:ascii="仿宋" w:hAnsi="仿宋" w:eastAsia="仿宋" w:cs="宋体"/>
                <w:kern w:val="0"/>
                <w:sz w:val="24"/>
              </w:rPr>
              <w:t>.</w:t>
            </w:r>
            <w:r>
              <w:rPr>
                <w:rFonts w:ascii="仿宋" w:hAnsi="仿宋" w:eastAsia="仿宋" w:cs="宋体"/>
                <w:kern w:val="0"/>
                <w:sz w:val="24"/>
              </w:rPr>
              <w:t>53</w:t>
            </w:r>
            <w:r>
              <w:rPr>
                <w:rFonts w:hint="eastAsia" w:ascii="仿宋" w:hAnsi="仿宋" w:eastAsia="仿宋" w:cs="宋体"/>
                <w:kern w:val="0"/>
                <w:sz w:val="24"/>
              </w:rPr>
              <w:t>万元，按照厉行节约，物尽其用的原则，资产管理采取统一建账，统一核算管理，对每一件固定资产使用明确保管职责，由办公室统一调整，合理流动，发挥最大的效益。资产的购置按照规定的程序报机关事务管理局批准购置，达到政府采购标准的报政府采购管理办公室进行政府采购，资产的处置报废，按照财政规定的审批程序报机关事务管理局审批后再处置，保证资产的安全高效，防止资产流失。</w:t>
            </w:r>
          </w:p>
          <w:p>
            <w:pPr>
              <w:widowControl/>
              <w:spacing w:before="100" w:beforeAutospacing="1" w:after="100" w:afterAutospacing="1" w:line="500" w:lineRule="exact"/>
              <w:ind w:firstLine="480" w:firstLineChars="200"/>
              <w:jc w:val="left"/>
              <w:rPr>
                <w:rFonts w:ascii="仿宋" w:hAnsi="仿宋" w:eastAsia="仿宋" w:cs="宋体"/>
                <w:kern w:val="0"/>
                <w:sz w:val="24"/>
              </w:rPr>
            </w:pPr>
          </w:p>
          <w:p>
            <w:pPr>
              <w:widowControl/>
              <w:spacing w:line="480" w:lineRule="auto"/>
              <w:rPr>
                <w:rFonts w:ascii="仿宋" w:hAnsi="仿宋" w:eastAsia="仿宋" w:cs="宋体"/>
                <w:kern w:val="0"/>
                <w:sz w:val="24"/>
              </w:rPr>
            </w:pPr>
            <w:r>
              <w:rPr>
                <w:rFonts w:hint="eastAsia" w:ascii="仿宋" w:hAnsi="仿宋" w:eastAsia="仿宋" w:cs="宋体"/>
                <w:kern w:val="0"/>
                <w:sz w:val="24"/>
              </w:rPr>
              <w:t>四</w:t>
            </w:r>
            <w:r>
              <w:rPr>
                <w:rFonts w:ascii="仿宋" w:hAnsi="仿宋" w:eastAsia="仿宋" w:cs="宋体"/>
                <w:kern w:val="0"/>
                <w:sz w:val="24"/>
              </w:rPr>
              <w:t>、存在的主要问题</w:t>
            </w:r>
          </w:p>
          <w:p>
            <w:pPr>
              <w:widowControl/>
              <w:spacing w:line="480" w:lineRule="auto"/>
              <w:ind w:firstLine="960" w:firstLineChars="400"/>
              <w:rPr>
                <w:rFonts w:ascii="仿宋" w:hAnsi="仿宋" w:eastAsia="仿宋" w:cs="宋体"/>
                <w:kern w:val="0"/>
                <w:sz w:val="24"/>
              </w:rPr>
            </w:pPr>
            <w:r>
              <w:rPr>
                <w:rFonts w:hint="eastAsia" w:ascii="仿宋" w:hAnsi="仿宋" w:eastAsia="仿宋" w:cs="宋体"/>
                <w:kern w:val="0"/>
                <w:sz w:val="24"/>
              </w:rPr>
              <w:t>无问题</w:t>
            </w:r>
          </w:p>
          <w:p>
            <w:pPr>
              <w:widowControl/>
              <w:spacing w:line="480" w:lineRule="auto"/>
              <w:rPr>
                <w:rFonts w:ascii="仿宋" w:hAnsi="仿宋" w:eastAsia="仿宋" w:cs="宋体"/>
                <w:kern w:val="0"/>
                <w:sz w:val="24"/>
              </w:rPr>
            </w:pPr>
            <w:r>
              <w:rPr>
                <w:rFonts w:hint="eastAsia" w:ascii="仿宋" w:hAnsi="仿宋" w:eastAsia="仿宋" w:cs="宋体"/>
                <w:kern w:val="0"/>
                <w:sz w:val="24"/>
              </w:rPr>
              <w:t>五</w:t>
            </w:r>
            <w:r>
              <w:rPr>
                <w:rFonts w:ascii="仿宋" w:hAnsi="仿宋" w:eastAsia="仿宋" w:cs="宋体"/>
                <w:kern w:val="0"/>
                <w:sz w:val="24"/>
              </w:rPr>
              <w:t>、改进措施和有关建议</w:t>
            </w:r>
          </w:p>
          <w:p>
            <w:pPr>
              <w:widowControl/>
              <w:spacing w:line="480" w:lineRule="auto"/>
              <w:ind w:firstLine="840" w:firstLineChars="350"/>
              <w:rPr>
                <w:rFonts w:ascii="仿宋" w:hAnsi="仿宋" w:eastAsia="仿宋" w:cs="宋体"/>
                <w:kern w:val="0"/>
                <w:sz w:val="24"/>
              </w:rPr>
            </w:pPr>
            <w:r>
              <w:rPr>
                <w:rFonts w:ascii="仿宋" w:hAnsi="仿宋" w:eastAsia="仿宋" w:cs="宋体"/>
                <w:kern w:val="0"/>
                <w:sz w:val="24"/>
              </w:rPr>
              <w:t>在预算执行中，严格按照预算科目支出，避免预算科目间的预算资金调剂，确需调剂的，按规定程序报经批准。</w:t>
            </w:r>
          </w:p>
          <w:p>
            <w:pPr>
              <w:rPr>
                <w:rFonts w:ascii="仿宋" w:hAnsi="仿宋" w:eastAsia="仿宋" w:cs="宋体"/>
                <w:kern w:val="0"/>
                <w:sz w:val="24"/>
              </w:rPr>
            </w:pPr>
          </w:p>
        </w:tc>
      </w:tr>
    </w:tbl>
    <w:p>
      <w:pPr>
        <w:spacing w:line="348" w:lineRule="auto"/>
      </w:pPr>
      <w:r>
        <w:rPr>
          <w:rFonts w:eastAsia="楷体_GB2312"/>
          <w:bCs/>
          <w:sz w:val="28"/>
          <w:szCs w:val="28"/>
        </w:rPr>
        <w:br w:type="page"/>
      </w:r>
      <w:r>
        <w:t xml:space="preserve"> </w:t>
      </w:r>
    </w:p>
    <w:p>
      <w:pPr>
        <w:rPr>
          <w:rFonts w:ascii="黑体" w:hAnsi="黑体" w:eastAsia="黑体"/>
          <w:sz w:val="32"/>
          <w:szCs w:val="32"/>
        </w:rPr>
      </w:pPr>
      <w:r>
        <w:rPr>
          <w:rFonts w:hint="eastAsia" w:ascii="黑体" w:hAnsi="黑体" w:eastAsia="黑体"/>
          <w:sz w:val="32"/>
          <w:szCs w:val="32"/>
        </w:rPr>
        <w:t>附件4-1</w:t>
      </w:r>
    </w:p>
    <w:p>
      <w:pPr>
        <w:spacing w:before="312" w:beforeLines="100" w:after="312" w:afterLines="100"/>
        <w:jc w:val="center"/>
        <w:rPr>
          <w:rFonts w:ascii="方正小标宋简体" w:eastAsia="方正小标宋简体"/>
          <w:sz w:val="36"/>
          <w:szCs w:val="36"/>
        </w:rPr>
      </w:pPr>
      <w:r>
        <w:rPr>
          <w:rFonts w:hint="eastAsia" w:ascii="方正小标宋简体" w:eastAsia="方正小标宋简体"/>
          <w:sz w:val="36"/>
          <w:szCs w:val="36"/>
        </w:rPr>
        <w:t>部门整体支出绩效评价评分表（参考样表）</w:t>
      </w:r>
    </w:p>
    <w:tbl>
      <w:tblPr>
        <w:tblStyle w:val="5"/>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无</w:t>
            </w:r>
            <w:r>
              <w:rPr>
                <w:rFonts w:hint="eastAsia" w:ascii="仿宋_GB2312" w:hAnsi="宋体" w:eastAsia="仿宋_GB2312" w:cs="宋体"/>
                <w:kern w:val="0"/>
                <w:sz w:val="18"/>
                <w:szCs w:val="18"/>
              </w:rPr>
              <w:t>“三公经费”</w:t>
            </w: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无公务卡刷卡</w:t>
            </w: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5"/>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99</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line="200" w:lineRule="exact"/>
        <w:ind w:right="560"/>
        <w:contextualSpacing/>
        <w:rPr>
          <w:rFonts w:eastAsia="仿宋_GB2312"/>
          <w:sz w:val="28"/>
        </w:rPr>
      </w:pPr>
      <w:r>
        <w:rPr>
          <w:rFonts w:eastAsia="仿宋_GB2312"/>
          <w:sz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109855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25pt;margin-top:8.65pt;height:0pt;width:441pt;z-index:251660288;mso-width-relative:page;mso-height-relative:page;" filled="f" stroked="t" coordsize="21600,21600" o:gfxdata="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gS&#10;btUAAAAIAQAADwAAAAAAAAABACAAAAAiAAAAZHJzL2Rvd25yZXYueG1sUEsBAhQAFAAAAAgAh07i&#10;QBPC7bDsAQAA2AMAAA4AAAAAAAAAAQAgAAAAJAEAAGRycy9lMm9Eb2MueG1sUEsFBgAAAAAGAAYA&#10;WQEAAIIFAAAAAA==&#10;">
                <v:fill on="f" focussize="0,0"/>
                <v:stroke color="#000000" joinstyle="round"/>
                <v:imagedata o:title=""/>
                <o:lock v:ext="edit" aspectratio="f"/>
              </v:line>
            </w:pict>
          </mc:Fallback>
        </mc:AlternateContent>
      </w: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448" w:wrap="around" w:vAnchor="text" w:hAnchor="margin" w:xAlign="outside" w:y="7"/>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3"/>
                            <w:rPr>
                              <w:rStyle w:val="7"/>
                            </w:rPr>
                          </w:pPr>
                          <w:r>
                            <w:rPr>
                              <w:rStyle w:val="7"/>
                              <w:rFonts w:hint="eastAsia"/>
                            </w:rPr>
                            <w:t xml:space="preserve">— </w:t>
                          </w:r>
                          <w:r>
                            <w:fldChar w:fldCharType="begin"/>
                          </w:r>
                          <w:r>
                            <w:rPr>
                              <w:rStyle w:val="7"/>
                            </w:rPr>
                            <w:instrText xml:space="preserve">PAGE  </w:instrText>
                          </w:r>
                          <w:r>
                            <w:fldChar w:fldCharType="separate"/>
                          </w:r>
                          <w:r>
                            <w:rPr>
                              <w:rStyle w:val="7"/>
                            </w:rPr>
                            <w:t>1</w:t>
                          </w:r>
                          <w:r>
                            <w:fldChar w:fldCharType="end"/>
                          </w:r>
                          <w:r>
                            <w:rPr>
                              <w:rStyle w:val="7"/>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3q3ztIAAAADAQAADwAAAAAAAAABACAAAAAiAAAAZHJzL2Rvd25yZXYueG1sUEsBAhQA&#10;FAAAAAgAh07iQLQsNuoxAgAAUwQAAA4AAAAAAAAAAQAgAAAAIQEAAGRycy9lMm9Eb2MueG1sUEsF&#10;BgAAAAAGAAYAWQEAAMQFAAAAAA==&#10;">
              <v:fill on="f" focussize="0,0"/>
              <v:stroke on="f" weight="0.5pt"/>
              <v:imagedata o:title=""/>
              <o:lock v:ext="edit" aspectratio="f"/>
              <v:textbox inset="0mm,0mm,0mm,0mm" style="mso-fit-shape-to-text:t;">
                <w:txbxContent>
                  <w:p>
                    <w:pPr>
                      <w:pStyle w:val="3"/>
                      <w:rPr>
                        <w:rStyle w:val="7"/>
                      </w:rPr>
                    </w:pPr>
                    <w:r>
                      <w:rPr>
                        <w:rStyle w:val="7"/>
                        <w:rFonts w:hint="eastAsia"/>
                      </w:rPr>
                      <w:t xml:space="preserve">— </w:t>
                    </w:r>
                    <w:r>
                      <w:fldChar w:fldCharType="begin"/>
                    </w:r>
                    <w:r>
                      <w:rPr>
                        <w:rStyle w:val="7"/>
                      </w:rPr>
                      <w:instrText xml:space="preserve">PAGE  </w:instrText>
                    </w:r>
                    <w:r>
                      <w:fldChar w:fldCharType="separate"/>
                    </w:r>
                    <w:r>
                      <w:rPr>
                        <w:rStyle w:val="7"/>
                      </w:rPr>
                      <w:t>1</w:t>
                    </w:r>
                    <w:r>
                      <w:fldChar w:fldCharType="end"/>
                    </w:r>
                    <w:r>
                      <w:rPr>
                        <w:rStyle w:val="7"/>
                        <w:rFonts w:hint="eastAsia"/>
                      </w:rPr>
                      <w:t xml:space="preserve"> —</w:t>
                    </w:r>
                  </w:p>
                </w:txbxContent>
              </v:textbox>
            </v:shape>
          </w:pict>
        </mc:Fallback>
      </mc:AlternateConten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34035" cy="1974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4035" cy="197485"/>
                      </a:xfrm>
                      <a:prstGeom prst="rect">
                        <a:avLst/>
                      </a:prstGeom>
                      <a:noFill/>
                      <a:ln w="6350">
                        <a:noFill/>
                      </a:ln>
                    </wps:spPr>
                    <wps:txbx>
                      <w:txbxContent>
                        <w:p>
                          <w:pPr>
                            <w:pStyle w:val="3"/>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12</w:t>
                          </w:r>
                          <w:r>
                            <w:rPr>
                              <w:sz w:val="24"/>
                              <w:szCs w:val="24"/>
                            </w:rPr>
                            <w:fldChar w:fldCharType="end"/>
                          </w:r>
                          <w:r>
                            <w:rPr>
                              <w:rStyle w:val="7"/>
                              <w:rFonts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5.55pt;width:42.05pt;mso-position-horizontal:center;mso-position-horizontal-relative:margin;mso-wrap-style:none;z-index:251660288;mso-width-relative:page;mso-height-relative:page;" filled="f" stroked="f" coordsize="21600,21600" o:gfxdata="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0b6PU0QAAAAMBAAAPAAAAAAAAAAEAIAAAACIAAABkcnMvZG93bnJldi54bWxQSwECFAAU&#10;AAAACACHTuJAPhWWrDECAABTBAAADgAAAAAAAAABACAAAAAgAQAAZHJzL2Uyb0RvYy54bWxQSwUG&#10;AAAAAAYABgBZAQAAwwUAAAAA&#10;">
              <v:fill on="f" focussize="0,0"/>
              <v:stroke on="f" weight="0.5pt"/>
              <v:imagedata o:title=""/>
              <o:lock v:ext="edit" aspectratio="f"/>
              <v:textbox inset="0mm,0mm,0mm,0mm" style="mso-fit-shape-to-text:t;">
                <w:txbxContent>
                  <w:p>
                    <w:pPr>
                      <w:pStyle w:val="3"/>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12</w:t>
                    </w:r>
                    <w:r>
                      <w:rPr>
                        <w:sz w:val="24"/>
                        <w:szCs w:val="24"/>
                      </w:rPr>
                      <w:fldChar w:fldCharType="end"/>
                    </w:r>
                    <w:r>
                      <w:rPr>
                        <w:rStyle w:val="7"/>
                        <w:rFonts w:hint="eastAsia"/>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84312"/>
    <w:multiLevelType w:val="multilevel"/>
    <w:tmpl w:val="0CE8431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3MWY5NjE5NTUwYWI2NDUyNzZiNWQ0NWI3MmFlZjAifQ=="/>
  </w:docVars>
  <w:rsids>
    <w:rsidRoot w:val="055A6F26"/>
    <w:rsid w:val="000F2FA8"/>
    <w:rsid w:val="001056EA"/>
    <w:rsid w:val="00111CF1"/>
    <w:rsid w:val="001B5614"/>
    <w:rsid w:val="001D7F36"/>
    <w:rsid w:val="001E5996"/>
    <w:rsid w:val="00254C46"/>
    <w:rsid w:val="00282E99"/>
    <w:rsid w:val="002F6433"/>
    <w:rsid w:val="00375F92"/>
    <w:rsid w:val="00432477"/>
    <w:rsid w:val="00457A2E"/>
    <w:rsid w:val="00482182"/>
    <w:rsid w:val="004D1CEF"/>
    <w:rsid w:val="00516C92"/>
    <w:rsid w:val="005325E8"/>
    <w:rsid w:val="005B4B57"/>
    <w:rsid w:val="005E4BB6"/>
    <w:rsid w:val="00626B3F"/>
    <w:rsid w:val="006330D6"/>
    <w:rsid w:val="006445C4"/>
    <w:rsid w:val="00665B8F"/>
    <w:rsid w:val="00726F39"/>
    <w:rsid w:val="007B55B3"/>
    <w:rsid w:val="007D70B4"/>
    <w:rsid w:val="0081670B"/>
    <w:rsid w:val="00877D24"/>
    <w:rsid w:val="00913F6F"/>
    <w:rsid w:val="0094564B"/>
    <w:rsid w:val="00A311C6"/>
    <w:rsid w:val="00A459E5"/>
    <w:rsid w:val="00A76D61"/>
    <w:rsid w:val="00BC745A"/>
    <w:rsid w:val="00C765BA"/>
    <w:rsid w:val="00CF3FB6"/>
    <w:rsid w:val="00D005FC"/>
    <w:rsid w:val="00D261CE"/>
    <w:rsid w:val="00D337D7"/>
    <w:rsid w:val="00DC499D"/>
    <w:rsid w:val="00E34F78"/>
    <w:rsid w:val="00E4229D"/>
    <w:rsid w:val="00EB0683"/>
    <w:rsid w:val="00ED73E3"/>
    <w:rsid w:val="00EE7FDE"/>
    <w:rsid w:val="00EF76A4"/>
    <w:rsid w:val="00F232D7"/>
    <w:rsid w:val="00F27EF8"/>
    <w:rsid w:val="00F97D26"/>
    <w:rsid w:val="00FB17A5"/>
    <w:rsid w:val="021F7ACC"/>
    <w:rsid w:val="05000B50"/>
    <w:rsid w:val="055A6F26"/>
    <w:rsid w:val="09950D4D"/>
    <w:rsid w:val="0A507703"/>
    <w:rsid w:val="0DB17DCE"/>
    <w:rsid w:val="0F3C19DC"/>
    <w:rsid w:val="10B227A0"/>
    <w:rsid w:val="134907CC"/>
    <w:rsid w:val="140D5FCB"/>
    <w:rsid w:val="178B0DF9"/>
    <w:rsid w:val="186F38D5"/>
    <w:rsid w:val="1A6F2DB8"/>
    <w:rsid w:val="1E0B52D7"/>
    <w:rsid w:val="1E4E1466"/>
    <w:rsid w:val="1ECE3EBD"/>
    <w:rsid w:val="1F290E1C"/>
    <w:rsid w:val="20482FD4"/>
    <w:rsid w:val="23752929"/>
    <w:rsid w:val="23931307"/>
    <w:rsid w:val="28FC074F"/>
    <w:rsid w:val="2A66629F"/>
    <w:rsid w:val="2B185F17"/>
    <w:rsid w:val="2C1535F6"/>
    <w:rsid w:val="2D69692C"/>
    <w:rsid w:val="2EE67DDF"/>
    <w:rsid w:val="2F0D22F6"/>
    <w:rsid w:val="2F6C19A9"/>
    <w:rsid w:val="31C64031"/>
    <w:rsid w:val="37035463"/>
    <w:rsid w:val="387A506E"/>
    <w:rsid w:val="391D6E5E"/>
    <w:rsid w:val="39C4528F"/>
    <w:rsid w:val="3A3A1314"/>
    <w:rsid w:val="3B7E060B"/>
    <w:rsid w:val="3BBB1F39"/>
    <w:rsid w:val="3C091E95"/>
    <w:rsid w:val="3C0C5663"/>
    <w:rsid w:val="3D962E2F"/>
    <w:rsid w:val="3F114B68"/>
    <w:rsid w:val="41095FEC"/>
    <w:rsid w:val="42082596"/>
    <w:rsid w:val="426B5C52"/>
    <w:rsid w:val="43B63DEC"/>
    <w:rsid w:val="4414053C"/>
    <w:rsid w:val="44766D22"/>
    <w:rsid w:val="45414B88"/>
    <w:rsid w:val="46602C0D"/>
    <w:rsid w:val="4AA9566D"/>
    <w:rsid w:val="4BA9288D"/>
    <w:rsid w:val="4C4E2AC3"/>
    <w:rsid w:val="4FC33CBA"/>
    <w:rsid w:val="50476111"/>
    <w:rsid w:val="533F7FE8"/>
    <w:rsid w:val="56233027"/>
    <w:rsid w:val="59DF3449"/>
    <w:rsid w:val="5A2E543A"/>
    <w:rsid w:val="5B5F7B86"/>
    <w:rsid w:val="5CAC64A4"/>
    <w:rsid w:val="5E010849"/>
    <w:rsid w:val="60EA4316"/>
    <w:rsid w:val="64532612"/>
    <w:rsid w:val="645360A1"/>
    <w:rsid w:val="65236B49"/>
    <w:rsid w:val="65AA43C0"/>
    <w:rsid w:val="66161E47"/>
    <w:rsid w:val="68116BFE"/>
    <w:rsid w:val="68CE326F"/>
    <w:rsid w:val="692B794F"/>
    <w:rsid w:val="6B2A6AB7"/>
    <w:rsid w:val="6D535020"/>
    <w:rsid w:val="6DD75D47"/>
    <w:rsid w:val="70320DB2"/>
    <w:rsid w:val="703379A9"/>
    <w:rsid w:val="70811C26"/>
    <w:rsid w:val="70B962BB"/>
    <w:rsid w:val="71E279DE"/>
    <w:rsid w:val="7389345D"/>
    <w:rsid w:val="76BD5E40"/>
    <w:rsid w:val="789B6814"/>
    <w:rsid w:val="78B97743"/>
    <w:rsid w:val="78CF2A94"/>
    <w:rsid w:val="78EE0E45"/>
    <w:rsid w:val="796A69FF"/>
    <w:rsid w:val="7E627FB6"/>
    <w:rsid w:val="7F42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qFormat/>
    <w:uiPriority w:val="0"/>
  </w:style>
  <w:style w:type="character" w:customStyle="1" w:styleId="8">
    <w:name w:val="标题 3 Char Char"/>
    <w:qFormat/>
    <w:uiPriority w:val="0"/>
    <w:rPr>
      <w:rFonts w:eastAsia="楷体_GB2312"/>
      <w:b/>
      <w:kern w:val="2"/>
      <w:sz w:val="32"/>
      <w:szCs w:val="24"/>
      <w:lang w:val="en-US" w:eastAsia="zh-CN" w:bidi="ar-SA"/>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2AB95-C62A-4E9A-B6CC-191C888774DB}">
  <ds:schemaRefs/>
</ds:datastoreItem>
</file>

<file path=docProps/app.xml><?xml version="1.0" encoding="utf-8"?>
<Properties xmlns="http://schemas.openxmlformats.org/officeDocument/2006/extended-properties" xmlns:vt="http://schemas.openxmlformats.org/officeDocument/2006/docPropsVTypes">
  <Template>0</Template>
  <Pages>9</Pages>
  <Words>829</Words>
  <Characters>4726</Characters>
  <Lines>39</Lines>
  <Paragraphs>11</Paragraphs>
  <TotalTime>75</TotalTime>
  <ScaleCrop>false</ScaleCrop>
  <LinksUpToDate>false</LinksUpToDate>
  <CharactersWithSpaces>5544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2022-09-17T14:56:00Z</dcterms:created>
  <dc:creator>Administrator</dc:creator>
  <cp:lastModifiedBy>PENG</cp:lastModifiedBy>
  <cp:lastPrinted>2020-06-16T08:24:00Z</cp:lastPrinted>
  <dcterms:modified xsi:type="dcterms:W3CDTF">2023-10-30T15:57:51Z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594CC143BBCD4ACB8E46FCDE5C33195C</vt:lpwstr>
  </property>
</Properties>
</file>