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8F696">
      <w:pPr>
        <w:pStyle w:val="12"/>
        <w:jc w:val="center"/>
        <w:rPr>
          <w:sz w:val="56"/>
          <w:szCs w:val="56"/>
        </w:rPr>
      </w:pPr>
    </w:p>
    <w:p w14:paraId="358825E6">
      <w:pPr>
        <w:pStyle w:val="12"/>
        <w:jc w:val="center"/>
        <w:rPr>
          <w:sz w:val="56"/>
          <w:szCs w:val="56"/>
        </w:rPr>
      </w:pPr>
    </w:p>
    <w:p w14:paraId="7BBF3A47">
      <w:pPr>
        <w:pStyle w:val="12"/>
        <w:jc w:val="center"/>
        <w:rPr>
          <w:sz w:val="84"/>
          <w:szCs w:val="84"/>
        </w:rPr>
      </w:pPr>
    </w:p>
    <w:p w14:paraId="6BCA8356">
      <w:pPr>
        <w:pStyle w:val="12"/>
        <w:jc w:val="center"/>
        <w:rPr>
          <w:sz w:val="84"/>
          <w:szCs w:val="84"/>
        </w:rPr>
      </w:pPr>
    </w:p>
    <w:p w14:paraId="35BE748D">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69AD56B">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岳阳市美术馆</w:t>
      </w:r>
      <w:r>
        <w:rPr>
          <w:rFonts w:hint="eastAsia" w:ascii="方正小标宋_GBK" w:hAnsi="方正小标宋_GBK" w:eastAsia="方正小标宋_GBK" w:cs="方正小标宋_GBK"/>
          <w:sz w:val="84"/>
          <w:szCs w:val="84"/>
        </w:rPr>
        <w:t>部门决算</w:t>
      </w:r>
    </w:p>
    <w:p w14:paraId="4A95336E">
      <w:pPr>
        <w:pStyle w:val="12"/>
        <w:jc w:val="center"/>
        <w:rPr>
          <w:rFonts w:hint="eastAsia" w:ascii="方正小标宋_GBK" w:hAnsi="方正小标宋_GBK" w:eastAsia="方正小标宋_GBK" w:cs="方正小标宋_GBK"/>
          <w:sz w:val="56"/>
          <w:szCs w:val="56"/>
        </w:rPr>
      </w:pPr>
    </w:p>
    <w:p w14:paraId="370E6B3F">
      <w:pPr>
        <w:pStyle w:val="12"/>
        <w:jc w:val="center"/>
        <w:rPr>
          <w:sz w:val="56"/>
          <w:szCs w:val="56"/>
        </w:rPr>
      </w:pPr>
    </w:p>
    <w:p w14:paraId="3A37CB4B">
      <w:pPr>
        <w:pStyle w:val="12"/>
        <w:jc w:val="center"/>
        <w:rPr>
          <w:sz w:val="56"/>
          <w:szCs w:val="56"/>
        </w:rPr>
      </w:pPr>
    </w:p>
    <w:p w14:paraId="308EF43E">
      <w:pPr>
        <w:pStyle w:val="12"/>
        <w:jc w:val="center"/>
        <w:rPr>
          <w:sz w:val="56"/>
          <w:szCs w:val="56"/>
        </w:rPr>
      </w:pPr>
    </w:p>
    <w:p w14:paraId="27A69B43">
      <w:pPr>
        <w:pStyle w:val="12"/>
        <w:jc w:val="center"/>
        <w:rPr>
          <w:sz w:val="32"/>
          <w:szCs w:val="32"/>
        </w:rPr>
      </w:pPr>
    </w:p>
    <w:p w14:paraId="4B7BA43C">
      <w:pPr>
        <w:pStyle w:val="12"/>
        <w:jc w:val="center"/>
        <w:rPr>
          <w:sz w:val="32"/>
          <w:szCs w:val="32"/>
        </w:rPr>
      </w:pPr>
    </w:p>
    <w:p w14:paraId="49F15346">
      <w:pPr>
        <w:pStyle w:val="12"/>
        <w:jc w:val="center"/>
        <w:rPr>
          <w:sz w:val="32"/>
          <w:szCs w:val="32"/>
        </w:rPr>
      </w:pPr>
    </w:p>
    <w:p w14:paraId="26439689">
      <w:pPr>
        <w:pStyle w:val="12"/>
        <w:jc w:val="center"/>
        <w:rPr>
          <w:sz w:val="32"/>
          <w:szCs w:val="32"/>
        </w:rPr>
      </w:pPr>
    </w:p>
    <w:p w14:paraId="24262806">
      <w:pPr>
        <w:pStyle w:val="12"/>
        <w:jc w:val="center"/>
        <w:rPr>
          <w:sz w:val="32"/>
          <w:szCs w:val="32"/>
        </w:rPr>
      </w:pPr>
    </w:p>
    <w:p w14:paraId="0BE0D518">
      <w:pPr>
        <w:pStyle w:val="12"/>
        <w:spacing w:line="540" w:lineRule="exact"/>
        <w:jc w:val="center"/>
        <w:rPr>
          <w:sz w:val="56"/>
          <w:szCs w:val="56"/>
        </w:rPr>
      </w:pPr>
    </w:p>
    <w:p w14:paraId="4650EBDB">
      <w:pPr>
        <w:pStyle w:val="12"/>
        <w:spacing w:line="500" w:lineRule="exact"/>
        <w:jc w:val="both"/>
        <w:rPr>
          <w:b/>
          <w:sz w:val="36"/>
          <w:szCs w:val="28"/>
        </w:rPr>
      </w:pPr>
    </w:p>
    <w:p w14:paraId="5482B833">
      <w:pPr>
        <w:pStyle w:val="12"/>
        <w:spacing w:line="500" w:lineRule="exact"/>
        <w:jc w:val="center"/>
        <w:rPr>
          <w:b/>
          <w:sz w:val="36"/>
          <w:szCs w:val="28"/>
        </w:rPr>
      </w:pPr>
      <w:r>
        <w:rPr>
          <w:rFonts w:hint="eastAsia"/>
          <w:b/>
          <w:sz w:val="36"/>
          <w:szCs w:val="28"/>
        </w:rPr>
        <w:t>目录</w:t>
      </w:r>
    </w:p>
    <w:p w14:paraId="144EAE52">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XX</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3DCDF26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BEFC3A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CCD692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654A189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6F4DF6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A0A8446">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01EDC6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194ABE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336C47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800B22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520C9A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4B02FEC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01E71E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7C126BB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3E8E58E7">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2234F7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E5868E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F3D7F2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0FD733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245D582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7EFA976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35AD4443">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566F660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58EB40F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5605F61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6883FB5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702A590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94CE7BF">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AB88743">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26CD7D5">
      <w:pPr>
        <w:pStyle w:val="12"/>
        <w:jc w:val="center"/>
        <w:rPr>
          <w:rFonts w:hint="eastAsia" w:ascii="方正小标宋_GBK" w:hAnsi="方正小标宋_GBK" w:eastAsia="方正小标宋_GBK" w:cs="方正小标宋_GBK"/>
          <w:sz w:val="84"/>
          <w:szCs w:val="84"/>
        </w:rPr>
      </w:pPr>
    </w:p>
    <w:p w14:paraId="4ABCBA11">
      <w:pPr>
        <w:pStyle w:val="12"/>
        <w:jc w:val="center"/>
        <w:rPr>
          <w:rFonts w:hint="eastAsia" w:ascii="方正小标宋_GBK" w:hAnsi="方正小标宋_GBK" w:eastAsia="方正小标宋_GBK" w:cs="方正小标宋_GBK"/>
          <w:sz w:val="84"/>
          <w:szCs w:val="84"/>
        </w:rPr>
      </w:pPr>
    </w:p>
    <w:p w14:paraId="1A9F4E63">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3B8AC9F">
      <w:pPr>
        <w:pStyle w:val="12"/>
        <w:jc w:val="center"/>
        <w:rPr>
          <w:rFonts w:hint="eastAsia" w:ascii="方正小标宋_GBK" w:hAnsi="方正小标宋_GBK" w:eastAsia="方正小标宋_GBK" w:cs="方正小标宋_GBK"/>
          <w:sz w:val="84"/>
          <w:szCs w:val="84"/>
        </w:rPr>
      </w:pPr>
    </w:p>
    <w:p w14:paraId="5D581649">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岳阳市美术馆</w:t>
      </w:r>
      <w:r>
        <w:rPr>
          <w:rFonts w:hint="eastAsia" w:ascii="方正小标宋_GBK" w:hAnsi="方正小标宋_GBK" w:eastAsia="方正小标宋_GBK" w:cs="方正小标宋_GBK"/>
          <w:sz w:val="84"/>
          <w:szCs w:val="84"/>
        </w:rPr>
        <w:t>概况</w:t>
      </w:r>
    </w:p>
    <w:p w14:paraId="13D63244">
      <w:pPr>
        <w:pStyle w:val="2"/>
        <w:rPr>
          <w:rFonts w:hint="eastAsia" w:ascii="方正小标宋_GBK" w:hAnsi="方正小标宋_GBK" w:eastAsia="方正小标宋_GBK" w:cs="方正小标宋_GBK"/>
          <w:sz w:val="84"/>
          <w:szCs w:val="84"/>
        </w:rPr>
      </w:pPr>
    </w:p>
    <w:p w14:paraId="310FC3E6">
      <w:pPr>
        <w:pStyle w:val="3"/>
        <w:rPr>
          <w:rFonts w:hint="eastAsia" w:ascii="方正小标宋_GBK" w:hAnsi="方正小标宋_GBK" w:eastAsia="方正小标宋_GBK" w:cs="方正小标宋_GBK"/>
          <w:sz w:val="84"/>
          <w:szCs w:val="84"/>
        </w:rPr>
      </w:pPr>
    </w:p>
    <w:p w14:paraId="1A065C3E">
      <w:pPr>
        <w:rPr>
          <w:rFonts w:hint="eastAsia" w:ascii="方正小标宋_GBK" w:hAnsi="方正小标宋_GBK" w:eastAsia="方正小标宋_GBK" w:cs="方正小标宋_GBK"/>
          <w:sz w:val="84"/>
          <w:szCs w:val="84"/>
        </w:rPr>
      </w:pPr>
    </w:p>
    <w:p w14:paraId="5F1CFB03">
      <w:pPr>
        <w:pStyle w:val="2"/>
        <w:rPr>
          <w:rFonts w:hint="eastAsia" w:ascii="方正小标宋_GBK" w:hAnsi="方正小标宋_GBK" w:eastAsia="方正小标宋_GBK" w:cs="方正小标宋_GBK"/>
          <w:sz w:val="84"/>
          <w:szCs w:val="84"/>
        </w:rPr>
      </w:pPr>
    </w:p>
    <w:p w14:paraId="04070D67">
      <w:pPr>
        <w:pStyle w:val="3"/>
        <w:rPr>
          <w:rFonts w:hint="eastAsia" w:ascii="方正小标宋_GBK" w:hAnsi="方正小标宋_GBK" w:eastAsia="方正小标宋_GBK" w:cs="方正小标宋_GBK"/>
          <w:sz w:val="84"/>
          <w:szCs w:val="84"/>
        </w:rPr>
      </w:pPr>
    </w:p>
    <w:p w14:paraId="0DA3A689">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386C0A6B">
      <w:pPr>
        <w:ind w:firstLine="800" w:firstLineChars="250"/>
        <w:jc w:val="left"/>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val="en-US" w:eastAsia="zh-CN"/>
        </w:rPr>
        <w:t>创作研究艺术、促进艺术繁荣。</w:t>
      </w:r>
    </w:p>
    <w:p w14:paraId="55D0BCFD">
      <w:pPr>
        <w:ind w:firstLine="800" w:firstLineChars="250"/>
        <w:jc w:val="left"/>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val="en-US" w:eastAsia="zh-CN"/>
        </w:rPr>
        <w:t>开展书法、美术、摄影创作，展览、教育以及艺术品收藏研究。</w:t>
      </w:r>
    </w:p>
    <w:p w14:paraId="57D99F60">
      <w:pPr>
        <w:keepNext/>
        <w:keepLines/>
        <w:shd w:val="clear" w:color="auto" w:fill="FFFFFF"/>
        <w:spacing w:beforeLines="0" w:afterLines="0"/>
        <w:ind w:firstLine="640"/>
        <w:jc w:val="left"/>
        <w:rPr>
          <w:rFonts w:hint="eastAsia" w:ascii="Times New Roman" w:hAnsi="Times New Roman" w:eastAsia="仿宋_GB2312" w:cs="仿宋_GB2312"/>
          <w:sz w:val="32"/>
          <w:szCs w:val="32"/>
        </w:rPr>
      </w:pPr>
    </w:p>
    <w:p w14:paraId="22F07F28">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EF8F9F7">
      <w:pPr>
        <w:widowControl/>
        <w:spacing w:line="600" w:lineRule="exact"/>
        <w:rPr>
          <w:rFonts w:hint="eastAsia"/>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岳阳市美术馆</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val="en-US" w:eastAsia="zh-CN"/>
        </w:rPr>
        <w:t>办公室、展览策划部、学士研究部、典藏部、宣传推广部、公共教育部、信息技术部7个部室。馆内1-3层为展厅，并设置公共教育室、会议室、体验室、临摹室、图书资料室、休闲区等多种配套服务设施，为公众提供不同形式的文化及美育服务。</w:t>
      </w:r>
    </w:p>
    <w:p w14:paraId="26156450">
      <w:pPr>
        <w:widowControl/>
        <w:spacing w:line="600" w:lineRule="exact"/>
        <w:rPr>
          <w:rFonts w:ascii="仿宋_GB2312" w:eastAsia="仿宋_GB2312" w:hAnsiTheme="minorEastAsia"/>
          <w:sz w:val="28"/>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本</w:t>
      </w:r>
      <w:r>
        <w:rPr>
          <w:rFonts w:hint="eastAsia" w:ascii="Times New Roman" w:hAnsi="Times New Roman" w:eastAsia="仿宋_GB2312" w:cs="仿宋_GB2312"/>
          <w:bCs/>
          <w:kern w:val="0"/>
          <w:sz w:val="32"/>
          <w:szCs w:val="32"/>
        </w:rPr>
        <w:t>单位</w:t>
      </w:r>
      <w:r>
        <w:rPr>
          <w:rFonts w:hint="eastAsia" w:ascii="Times New Roman" w:hAnsi="Times New Roman" w:eastAsia="仿宋_GB2312" w:cs="仿宋_GB2312"/>
          <w:bCs/>
          <w:kern w:val="0"/>
          <w:sz w:val="32"/>
          <w:szCs w:val="32"/>
          <w:lang w:val="en-US" w:eastAsia="zh-CN"/>
        </w:rPr>
        <w:t>无独立核算的下属单位，</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w:t>
      </w:r>
      <w:r>
        <w:rPr>
          <w:rFonts w:hint="eastAsia" w:ascii="Times New Roman" w:hAnsi="Times New Roman" w:eastAsia="仿宋_GB2312" w:cs="仿宋_GB2312"/>
          <w:bCs/>
          <w:kern w:val="0"/>
          <w:sz w:val="32"/>
          <w:szCs w:val="32"/>
          <w:lang w:val="en-US" w:eastAsia="zh-CN"/>
        </w:rPr>
        <w:t>度</w:t>
      </w:r>
      <w:r>
        <w:rPr>
          <w:rFonts w:hint="eastAsia" w:ascii="Times New Roman" w:hAnsi="Times New Roman" w:eastAsia="仿宋_GB2312" w:cs="仿宋_GB2312"/>
          <w:bCs/>
          <w:kern w:val="0"/>
          <w:sz w:val="32"/>
          <w:szCs w:val="32"/>
        </w:rPr>
        <w:t>部门决算汇总公开单位</w:t>
      </w:r>
      <w:r>
        <w:rPr>
          <w:rFonts w:hint="eastAsia" w:ascii="Times New Roman" w:hAnsi="Times New Roman" w:eastAsia="仿宋_GB2312" w:cs="仿宋_GB2312"/>
          <w:bCs/>
          <w:kern w:val="0"/>
          <w:sz w:val="32"/>
          <w:szCs w:val="32"/>
          <w:lang w:val="en-US" w:eastAsia="zh-CN"/>
        </w:rPr>
        <w:t>仅包括岳阳市美术馆。</w:t>
      </w:r>
    </w:p>
    <w:p w14:paraId="16AEA1F0"/>
    <w:p w14:paraId="2FD38945">
      <w:pPr>
        <w:pStyle w:val="2"/>
      </w:pPr>
    </w:p>
    <w:p w14:paraId="2872F68E">
      <w:pPr>
        <w:pStyle w:val="3"/>
      </w:pPr>
    </w:p>
    <w:p w14:paraId="4BF243BD"/>
    <w:p w14:paraId="32981DD0">
      <w:pPr>
        <w:pStyle w:val="2"/>
      </w:pPr>
    </w:p>
    <w:p w14:paraId="22C6B7DE">
      <w:pPr>
        <w:pStyle w:val="3"/>
      </w:pPr>
    </w:p>
    <w:p w14:paraId="7E68C3CA"/>
    <w:p w14:paraId="550863CD">
      <w:pPr>
        <w:pStyle w:val="2"/>
      </w:pPr>
    </w:p>
    <w:p w14:paraId="2C1429E1">
      <w:pPr>
        <w:pStyle w:val="3"/>
      </w:pPr>
    </w:p>
    <w:p w14:paraId="42045039"/>
    <w:p w14:paraId="7439E2B6">
      <w:pPr>
        <w:pStyle w:val="2"/>
      </w:pPr>
    </w:p>
    <w:p w14:paraId="204A228F">
      <w:pPr>
        <w:pStyle w:val="3"/>
      </w:pPr>
    </w:p>
    <w:p w14:paraId="465A39F0"/>
    <w:p w14:paraId="3BBAB830">
      <w:pPr>
        <w:pStyle w:val="2"/>
      </w:pPr>
    </w:p>
    <w:p w14:paraId="5E24D545">
      <w:pPr>
        <w:pStyle w:val="3"/>
      </w:pPr>
    </w:p>
    <w:p w14:paraId="1BC141E7"/>
    <w:p w14:paraId="7596E8F3">
      <w:pPr>
        <w:pStyle w:val="2"/>
      </w:pPr>
    </w:p>
    <w:p w14:paraId="420B2285">
      <w:pPr>
        <w:pStyle w:val="3"/>
      </w:pPr>
    </w:p>
    <w:p w14:paraId="2040E686"/>
    <w:p w14:paraId="7AC7AB92">
      <w:pPr>
        <w:pStyle w:val="2"/>
      </w:pPr>
    </w:p>
    <w:p w14:paraId="2F8E8CE8">
      <w:pPr>
        <w:pStyle w:val="3"/>
      </w:pPr>
    </w:p>
    <w:p w14:paraId="691E0478"/>
    <w:p w14:paraId="1CD533FD">
      <w:pPr>
        <w:pStyle w:val="2"/>
      </w:pPr>
    </w:p>
    <w:p w14:paraId="7B4C9386">
      <w:pPr>
        <w:pStyle w:val="3"/>
      </w:pPr>
    </w:p>
    <w:p w14:paraId="2184F04E"/>
    <w:p w14:paraId="66F26AEF">
      <w:pPr>
        <w:pStyle w:val="12"/>
        <w:jc w:val="center"/>
        <w:rPr>
          <w:rFonts w:hint="eastAsia" w:ascii="方正小标宋_GBK" w:hAnsi="方正小标宋_GBK" w:eastAsia="方正小标宋_GBK" w:cs="方正小标宋_GBK"/>
          <w:sz w:val="84"/>
          <w:szCs w:val="84"/>
        </w:rPr>
      </w:pPr>
    </w:p>
    <w:p w14:paraId="73FF4777">
      <w:pPr>
        <w:pStyle w:val="12"/>
        <w:jc w:val="center"/>
        <w:rPr>
          <w:rFonts w:hint="eastAsia" w:ascii="方正小标宋_GBK" w:hAnsi="方正小标宋_GBK" w:eastAsia="方正小标宋_GBK" w:cs="方正小标宋_GBK"/>
          <w:sz w:val="84"/>
          <w:szCs w:val="84"/>
        </w:rPr>
      </w:pPr>
    </w:p>
    <w:p w14:paraId="54A57FBA">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7DA71CA">
      <w:pPr>
        <w:pStyle w:val="12"/>
        <w:jc w:val="center"/>
        <w:rPr>
          <w:rFonts w:hint="eastAsia" w:ascii="方正小标宋_GBK" w:hAnsi="方正小标宋_GBK" w:eastAsia="方正小标宋_GBK" w:cs="方正小标宋_GBK"/>
          <w:sz w:val="84"/>
          <w:szCs w:val="84"/>
        </w:rPr>
      </w:pPr>
    </w:p>
    <w:p w14:paraId="52157716">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8D1FFAF">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7A0D27CA">
      <w:pPr>
        <w:pStyle w:val="12"/>
        <w:jc w:val="center"/>
        <w:rPr>
          <w:rFonts w:hint="eastAsia" w:ascii="仿宋_GB2312" w:hAnsi="仿宋_GB2312" w:eastAsia="仿宋_GB2312" w:cs="仿宋_GB2312"/>
          <w:b w:val="0"/>
          <w:bCs w:val="0"/>
          <w:sz w:val="72"/>
          <w:szCs w:val="72"/>
          <w:lang w:eastAsia="zh-CN"/>
        </w:rPr>
      </w:pPr>
    </w:p>
    <w:p w14:paraId="0425128C">
      <w:pPr>
        <w:pStyle w:val="12"/>
        <w:jc w:val="center"/>
        <w:rPr>
          <w:rFonts w:hint="eastAsia" w:ascii="仿宋_GB2312" w:hAnsi="仿宋_GB2312" w:eastAsia="仿宋_GB2312" w:cs="仿宋_GB2312"/>
          <w:b w:val="0"/>
          <w:bCs w:val="0"/>
          <w:sz w:val="72"/>
          <w:szCs w:val="72"/>
          <w:lang w:eastAsia="zh-CN"/>
        </w:rPr>
      </w:pPr>
    </w:p>
    <w:p w14:paraId="31629A4D">
      <w:pPr>
        <w:pStyle w:val="12"/>
        <w:jc w:val="center"/>
        <w:rPr>
          <w:rFonts w:hint="eastAsia" w:ascii="仿宋_GB2312" w:hAnsi="仿宋_GB2312" w:eastAsia="仿宋_GB2312" w:cs="仿宋_GB2312"/>
          <w:b w:val="0"/>
          <w:bCs w:val="0"/>
          <w:sz w:val="72"/>
          <w:szCs w:val="72"/>
          <w:lang w:eastAsia="zh-CN"/>
        </w:rPr>
      </w:pPr>
    </w:p>
    <w:p w14:paraId="0B409088">
      <w:pPr>
        <w:pStyle w:val="12"/>
        <w:jc w:val="center"/>
        <w:rPr>
          <w:rFonts w:hint="eastAsia" w:ascii="仿宋_GB2312" w:hAnsi="仿宋_GB2312" w:eastAsia="仿宋_GB2312" w:cs="仿宋_GB2312"/>
          <w:b w:val="0"/>
          <w:bCs w:val="0"/>
          <w:sz w:val="72"/>
          <w:szCs w:val="72"/>
          <w:lang w:eastAsia="zh-CN"/>
        </w:rPr>
      </w:pPr>
    </w:p>
    <w:p w14:paraId="628BF6D7">
      <w:pPr>
        <w:pStyle w:val="12"/>
        <w:jc w:val="center"/>
        <w:rPr>
          <w:rFonts w:hint="eastAsia" w:ascii="仿宋_GB2312" w:hAnsi="仿宋_GB2312" w:eastAsia="仿宋_GB2312" w:cs="仿宋_GB2312"/>
          <w:b w:val="0"/>
          <w:bCs w:val="0"/>
          <w:sz w:val="72"/>
          <w:szCs w:val="72"/>
          <w:lang w:eastAsia="zh-CN"/>
        </w:rPr>
      </w:pPr>
    </w:p>
    <w:p w14:paraId="1145A921">
      <w:pPr>
        <w:pStyle w:val="12"/>
        <w:jc w:val="center"/>
        <w:rPr>
          <w:rFonts w:hint="eastAsia" w:ascii="仿宋_GB2312" w:hAnsi="仿宋_GB2312" w:eastAsia="仿宋_GB2312" w:cs="仿宋_GB2312"/>
          <w:b w:val="0"/>
          <w:bCs w:val="0"/>
          <w:sz w:val="72"/>
          <w:szCs w:val="72"/>
          <w:lang w:eastAsia="zh-CN"/>
        </w:rPr>
      </w:pPr>
    </w:p>
    <w:p w14:paraId="26B0B28A">
      <w:pPr>
        <w:pStyle w:val="12"/>
        <w:jc w:val="center"/>
        <w:rPr>
          <w:rFonts w:hint="eastAsia" w:ascii="仿宋_GB2312" w:hAnsi="仿宋_GB2312" w:eastAsia="仿宋_GB2312" w:cs="仿宋_GB2312"/>
          <w:b w:val="0"/>
          <w:bCs w:val="0"/>
          <w:sz w:val="72"/>
          <w:szCs w:val="72"/>
          <w:lang w:eastAsia="zh-CN"/>
        </w:rPr>
      </w:pPr>
    </w:p>
    <w:p w14:paraId="21788F48">
      <w:pPr>
        <w:pStyle w:val="12"/>
        <w:jc w:val="center"/>
        <w:rPr>
          <w:rFonts w:hint="eastAsia" w:ascii="方正小标宋_GBK" w:hAnsi="方正小标宋_GBK" w:eastAsia="方正小标宋_GBK" w:cs="方正小标宋_GBK"/>
          <w:sz w:val="72"/>
          <w:szCs w:val="72"/>
        </w:rPr>
      </w:pPr>
    </w:p>
    <w:p w14:paraId="311A9F41">
      <w:pPr>
        <w:pStyle w:val="12"/>
        <w:jc w:val="center"/>
        <w:rPr>
          <w:rFonts w:hint="eastAsia" w:ascii="方正小标宋_GBK" w:hAnsi="方正小标宋_GBK" w:eastAsia="方正小标宋_GBK" w:cs="方正小标宋_GBK"/>
          <w:sz w:val="72"/>
          <w:szCs w:val="72"/>
        </w:rPr>
      </w:pPr>
    </w:p>
    <w:p w14:paraId="180232A0">
      <w:pPr>
        <w:pStyle w:val="12"/>
        <w:jc w:val="both"/>
        <w:rPr>
          <w:rFonts w:hint="eastAsia" w:ascii="方正小标宋_GBK" w:hAnsi="方正小标宋_GBK" w:eastAsia="方正小标宋_GBK" w:cs="方正小标宋_GBK"/>
          <w:sz w:val="72"/>
          <w:szCs w:val="72"/>
        </w:rPr>
      </w:pPr>
    </w:p>
    <w:p w14:paraId="6417694D">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7D052C0">
      <w:pPr>
        <w:pStyle w:val="12"/>
        <w:jc w:val="center"/>
        <w:rPr>
          <w:rFonts w:hint="eastAsia" w:ascii="方正小标宋_GBK" w:hAnsi="方正小标宋_GBK" w:eastAsia="方正小标宋_GBK" w:cs="方正小标宋_GBK"/>
          <w:sz w:val="70"/>
          <w:szCs w:val="70"/>
        </w:rPr>
      </w:pPr>
    </w:p>
    <w:p w14:paraId="12E269F5">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534B23BA">
      <w:pPr>
        <w:pStyle w:val="12"/>
        <w:jc w:val="center"/>
        <w:rPr>
          <w:rFonts w:hint="eastAsia" w:ascii="方正小标宋_GBK" w:hAnsi="方正小标宋_GBK" w:eastAsia="方正小标宋_GBK" w:cs="方正小标宋_GBK"/>
          <w:sz w:val="70"/>
          <w:szCs w:val="70"/>
        </w:rPr>
      </w:pPr>
    </w:p>
    <w:p w14:paraId="24659D52">
      <w:pPr>
        <w:pStyle w:val="12"/>
        <w:jc w:val="center"/>
        <w:rPr>
          <w:rFonts w:hint="eastAsia" w:ascii="方正小标宋_GBK" w:hAnsi="方正小标宋_GBK" w:eastAsia="方正小标宋_GBK" w:cs="方正小标宋_GBK"/>
          <w:sz w:val="70"/>
          <w:szCs w:val="70"/>
        </w:rPr>
      </w:pPr>
    </w:p>
    <w:p w14:paraId="577F0EA1">
      <w:pPr>
        <w:pStyle w:val="12"/>
        <w:jc w:val="center"/>
        <w:rPr>
          <w:rFonts w:hint="eastAsia" w:ascii="方正小标宋_GBK" w:hAnsi="方正小标宋_GBK" w:eastAsia="方正小标宋_GBK" w:cs="方正小标宋_GBK"/>
          <w:sz w:val="70"/>
          <w:szCs w:val="70"/>
        </w:rPr>
      </w:pPr>
    </w:p>
    <w:p w14:paraId="6CF68927">
      <w:pPr>
        <w:pStyle w:val="12"/>
        <w:jc w:val="center"/>
        <w:rPr>
          <w:rFonts w:hint="eastAsia" w:ascii="方正小标宋_GBK" w:hAnsi="方正小标宋_GBK" w:eastAsia="方正小标宋_GBK" w:cs="方正小标宋_GBK"/>
          <w:sz w:val="70"/>
          <w:szCs w:val="70"/>
        </w:rPr>
      </w:pPr>
    </w:p>
    <w:p w14:paraId="652BD481">
      <w:pPr>
        <w:pStyle w:val="12"/>
        <w:jc w:val="center"/>
        <w:rPr>
          <w:rFonts w:hint="eastAsia" w:ascii="方正小标宋_GBK" w:hAnsi="方正小标宋_GBK" w:eastAsia="方正小标宋_GBK" w:cs="方正小标宋_GBK"/>
          <w:sz w:val="70"/>
          <w:szCs w:val="70"/>
        </w:rPr>
      </w:pPr>
    </w:p>
    <w:p w14:paraId="6F075CE1">
      <w:pPr>
        <w:pStyle w:val="12"/>
        <w:jc w:val="center"/>
        <w:rPr>
          <w:rFonts w:hint="eastAsia" w:ascii="方正小标宋_GBK" w:hAnsi="方正小标宋_GBK" w:eastAsia="方正小标宋_GBK" w:cs="方正小标宋_GBK"/>
          <w:sz w:val="70"/>
          <w:szCs w:val="70"/>
        </w:rPr>
      </w:pPr>
    </w:p>
    <w:p w14:paraId="63DD78E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7045077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E3344D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335.01</w:t>
      </w:r>
      <w:r>
        <w:rPr>
          <w:rFonts w:hint="eastAsia" w:ascii="仿宋_GB2312" w:hAnsi="仿宋_GB2312" w:eastAsia="仿宋_GB2312" w:cs="仿宋_GB2312"/>
          <w:sz w:val="32"/>
          <w:szCs w:val="32"/>
        </w:rPr>
        <w:t>万元。与上年</w:t>
      </w:r>
      <w:r>
        <w:rPr>
          <w:rFonts w:hint="eastAsia" w:ascii="仿宋_GB2312" w:hAnsi="仿宋_GB2312" w:eastAsia="仿宋_GB2312" w:cs="仿宋_GB2312"/>
          <w:sz w:val="32"/>
          <w:szCs w:val="32"/>
          <w:lang w:val="en-US" w:eastAsia="zh-CN"/>
        </w:rPr>
        <w:t>243.83万元</w:t>
      </w:r>
      <w:r>
        <w:rPr>
          <w:rFonts w:hint="eastAsia" w:ascii="仿宋_GB2312" w:hAnsi="仿宋_GB2312" w:eastAsia="仿宋_GB2312" w:cs="仿宋_GB2312"/>
          <w:sz w:val="32"/>
          <w:szCs w:val="32"/>
        </w:rPr>
        <w:t>相比，增加</w:t>
      </w:r>
      <w:r>
        <w:rPr>
          <w:rFonts w:hint="eastAsia" w:ascii="仿宋_GB2312" w:hAnsi="仿宋_GB2312" w:eastAsia="仿宋_GB2312" w:cs="仿宋_GB2312"/>
          <w:sz w:val="32"/>
          <w:szCs w:val="32"/>
          <w:lang w:val="en-US" w:eastAsia="zh-CN"/>
        </w:rPr>
        <w:t>91.18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37.39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人员经费的增加。</w:t>
      </w:r>
    </w:p>
    <w:p w14:paraId="2652B81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7D45DF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335.01</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334.15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99.74</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0.86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3F169EF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187E90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335.01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182.26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54.4</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152.74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45.6</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11B1A66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361E062">
      <w:pPr>
        <w:pStyle w:val="12"/>
        <w:keepNext w:val="0"/>
        <w:keepLines w:val="0"/>
        <w:pageBreakBefore w:val="0"/>
        <w:widowControl w:val="0"/>
        <w:kinsoku/>
        <w:wordWrap/>
        <w:overflowPunct/>
        <w:topLinePunct w:val="0"/>
        <w:bidi w:val="0"/>
        <w:snapToGrid/>
        <w:spacing w:line="600" w:lineRule="exac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334.15</w:t>
      </w:r>
      <w:r>
        <w:rPr>
          <w:rFonts w:hint="eastAsia" w:ascii="仿宋_GB2312" w:hAnsi="仿宋_GB2312" w:eastAsia="仿宋_GB2312" w:cs="仿宋_GB2312"/>
          <w:sz w:val="32"/>
          <w:szCs w:val="32"/>
        </w:rPr>
        <w:t>万元，与上年</w:t>
      </w:r>
      <w:r>
        <w:rPr>
          <w:rFonts w:hint="eastAsia" w:ascii="仿宋_GB2312" w:hAnsi="仿宋_GB2312" w:eastAsia="仿宋_GB2312" w:cs="仿宋_GB2312"/>
          <w:sz w:val="32"/>
          <w:szCs w:val="32"/>
          <w:lang w:val="en-US" w:eastAsia="zh-CN"/>
        </w:rPr>
        <w:t>199.32万元</w:t>
      </w:r>
      <w:r>
        <w:rPr>
          <w:rFonts w:hint="eastAsia" w:ascii="仿宋_GB2312" w:hAnsi="仿宋_GB2312" w:eastAsia="仿宋_GB2312" w:cs="仿宋_GB2312"/>
          <w:sz w:val="32"/>
          <w:szCs w:val="32"/>
        </w:rPr>
        <w:t>相比，增加</w:t>
      </w:r>
      <w:r>
        <w:rPr>
          <w:rFonts w:hint="eastAsia" w:ascii="仿宋_GB2312" w:hAnsi="仿宋_GB2312" w:eastAsia="仿宋_GB2312" w:cs="仿宋_GB2312"/>
          <w:sz w:val="32"/>
          <w:szCs w:val="32"/>
          <w:lang w:val="en-US" w:eastAsia="zh-CN"/>
        </w:rPr>
        <w:t>134.83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67.64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人员经费增加。</w:t>
      </w:r>
    </w:p>
    <w:p w14:paraId="145D63D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F6286A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79386A4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334.15</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99.74</w:t>
      </w:r>
      <w:r>
        <w:rPr>
          <w:rFonts w:hint="eastAsia" w:ascii="仿宋_GB2312" w:hAnsi="仿宋_GB2312" w:eastAsia="仿宋_GB2312" w:cs="仿宋_GB2312"/>
          <w:sz w:val="32"/>
          <w:szCs w:val="32"/>
        </w:rPr>
        <w:t>%，与上年</w:t>
      </w:r>
      <w:r>
        <w:rPr>
          <w:rFonts w:hint="eastAsia" w:ascii="仿宋_GB2312" w:hAnsi="仿宋_GB2312" w:eastAsia="仿宋_GB2312" w:cs="仿宋_GB2312"/>
          <w:sz w:val="32"/>
          <w:szCs w:val="32"/>
          <w:lang w:val="en-US" w:eastAsia="zh-CN"/>
        </w:rPr>
        <w:t>199.32万元</w:t>
      </w:r>
      <w:r>
        <w:rPr>
          <w:rFonts w:hint="eastAsia" w:ascii="仿宋_GB2312" w:hAnsi="仿宋_GB2312" w:eastAsia="仿宋_GB2312" w:cs="仿宋_GB2312"/>
          <w:sz w:val="32"/>
          <w:szCs w:val="32"/>
        </w:rPr>
        <w:t>相比，财政拨款支出增加</w:t>
      </w:r>
      <w:r>
        <w:rPr>
          <w:rFonts w:hint="eastAsia" w:ascii="仿宋_GB2312" w:hAnsi="仿宋_GB2312" w:eastAsia="仿宋_GB2312" w:cs="仿宋_GB2312"/>
          <w:sz w:val="32"/>
          <w:szCs w:val="32"/>
          <w:lang w:val="en-US" w:eastAsia="zh-CN"/>
        </w:rPr>
        <w:t>134.83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67.64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人员经费的增加。</w:t>
      </w:r>
    </w:p>
    <w:p w14:paraId="3E8ACC1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（二）一般公共预算财政拨款支出决算结构情况</w:t>
      </w:r>
    </w:p>
    <w:p w14:paraId="3D42F66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年度财政拨款支出</w:t>
      </w:r>
      <w:r>
        <w:rPr>
          <w:rFonts w:hint="eastAsia" w:ascii="仿宋_GB2312" w:hAnsi="仿宋_GB2312" w:eastAsia="仿宋_GB2312" w:cs="仿宋_GB2312"/>
          <w:sz w:val="32"/>
          <w:szCs w:val="32"/>
          <w:highlight w:val="none"/>
          <w:lang w:val="en-US" w:eastAsia="zh-CN"/>
        </w:rPr>
        <w:t>334.15</w:t>
      </w:r>
      <w:r>
        <w:rPr>
          <w:rFonts w:hint="eastAsia" w:ascii="仿宋_GB2312" w:hAnsi="仿宋_GB2312" w:eastAsia="仿宋_GB2312" w:cs="仿宋_GB2312"/>
          <w:sz w:val="32"/>
          <w:szCs w:val="32"/>
          <w:highlight w:val="none"/>
        </w:rPr>
        <w:t>万元，主要用于以下方面：</w:t>
      </w:r>
      <w:r>
        <w:rPr>
          <w:rFonts w:hint="eastAsia" w:ascii="仿宋_GB2312" w:hAnsi="仿宋_GB2312" w:eastAsia="仿宋_GB2312" w:cs="仿宋_GB2312"/>
          <w:sz w:val="32"/>
          <w:szCs w:val="32"/>
          <w:highlight w:val="none"/>
          <w:lang w:val="en-US" w:eastAsia="zh-CN"/>
        </w:rPr>
        <w:t>文化旅游体育与传媒支出（类）300.95万元，占90.06%，社会保障和就业支出（类）12.83万元，占3.84%，卫生健康支出（类）9.78万元，占2.93%，住房保障支出（类）10.58万元，占3.17%。</w:t>
      </w:r>
    </w:p>
    <w:p w14:paraId="7F5ADEEA">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349DB9C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167.73</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334.15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199.22</w:t>
      </w:r>
      <w:r>
        <w:rPr>
          <w:rFonts w:hint="eastAsia" w:ascii="仿宋_GB2312" w:hAnsi="仿宋_GB2312" w:eastAsia="仿宋_GB2312" w:cs="仿宋_GB2312"/>
          <w:sz w:val="32"/>
          <w:szCs w:val="32"/>
        </w:rPr>
        <w:t>%，其中：</w:t>
      </w:r>
    </w:p>
    <w:p w14:paraId="403538D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文化旅游体育与传媒支出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文化和旅游</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文化展示及纪念机构</w:t>
      </w:r>
      <w:r>
        <w:rPr>
          <w:rFonts w:hint="eastAsia" w:ascii="仿宋_GB2312" w:hAnsi="仿宋_GB2312" w:eastAsia="仿宋_GB2312" w:cs="仿宋_GB2312"/>
          <w:sz w:val="32"/>
          <w:szCs w:val="32"/>
        </w:rPr>
        <w:t>（项）。</w:t>
      </w:r>
    </w:p>
    <w:p w14:paraId="4FD6045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132.87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148.21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111.55</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人员经费的增加。</w:t>
      </w:r>
    </w:p>
    <w:p w14:paraId="2B584408">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文化旅游体育与传媒支出（类）文化和旅游（款）其他文化和旅游（项 ）</w:t>
      </w:r>
    </w:p>
    <w:p w14:paraId="65CA51FB">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年初预算为0万元，支出决算为152.74万元，决算数大于预算数的原因是：人员经费的增加。</w:t>
      </w:r>
    </w:p>
    <w:p w14:paraId="6D1C7D1F">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社会保障和就业支出（类）行政事业单位养老支出（款）机关事业单位基本养老保险缴费支出（项）</w:t>
      </w:r>
    </w:p>
    <w:p w14:paraId="65FDA588">
      <w:pPr>
        <w:pStyle w:val="12"/>
        <w:keepNext w:val="0"/>
        <w:keepLines w:val="0"/>
        <w:pageBreakBefore w:val="0"/>
        <w:widowControl w:val="0"/>
        <w:numPr>
          <w:ilvl w:val="0"/>
          <w:numId w:val="0"/>
        </w:numPr>
        <w:kinsoku/>
        <w:wordWrap/>
        <w:overflowPunct/>
        <w:topLinePunct w:val="0"/>
        <w:bidi w:val="0"/>
        <w:snapToGrid/>
        <w:spacing w:line="600" w:lineRule="exact"/>
        <w:ind w:left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年初预算为12.46万元，支出决算为12.46，完成预算数的100%，决算数等于预算数的主要原因是：无人员异动。</w:t>
      </w:r>
    </w:p>
    <w:p w14:paraId="5287462E">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社会保障和就业支出（类）其他社会保障和就业支出（款）其他社会保障和就业支出（项）</w:t>
      </w:r>
    </w:p>
    <w:p w14:paraId="4B9293C6">
      <w:pPr>
        <w:pStyle w:val="12"/>
        <w:keepNext w:val="0"/>
        <w:keepLines w:val="0"/>
        <w:pageBreakBefore w:val="0"/>
        <w:widowControl w:val="0"/>
        <w:numPr>
          <w:ilvl w:val="0"/>
          <w:numId w:val="0"/>
        </w:numPr>
        <w:kinsoku/>
        <w:wordWrap/>
        <w:overflowPunct/>
        <w:topLinePunct w:val="0"/>
        <w:bidi w:val="0"/>
        <w:snapToGrid/>
        <w:spacing w:line="600" w:lineRule="exact"/>
        <w:ind w:left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年初预算为0.37万元，支出决算为0.37万元，完成预算数的100%，决算数等于预算数的主要原因是：无人员异动。</w:t>
      </w:r>
    </w:p>
    <w:p w14:paraId="7966A916">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卫生健康支出（类）行政事业单位医疗（款）事业单位医疗（项）</w:t>
      </w:r>
    </w:p>
    <w:p w14:paraId="248E728B">
      <w:pPr>
        <w:pStyle w:val="12"/>
        <w:keepNext w:val="0"/>
        <w:keepLines w:val="0"/>
        <w:pageBreakBefore w:val="0"/>
        <w:widowControl w:val="0"/>
        <w:numPr>
          <w:ilvl w:val="0"/>
          <w:numId w:val="0"/>
        </w:numPr>
        <w:kinsoku/>
        <w:wordWrap/>
        <w:overflowPunct/>
        <w:topLinePunct w:val="0"/>
        <w:bidi w:val="0"/>
        <w:snapToGrid/>
        <w:spacing w:line="600" w:lineRule="exact"/>
        <w:ind w:leftChars="25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年初预算为9.78万元，支出决算数为9.78，完成年初预算数的100%，决算数等于预算数。决算数等于预算数的主要原因是：无人员异动。</w:t>
      </w:r>
    </w:p>
    <w:p w14:paraId="3E802145">
      <w:pPr>
        <w:pStyle w:val="12"/>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仿宋_GB2312" w:hAnsi="仿宋_GB2312" w:eastAsia="仿宋_GB2312" w:cs="仿宋_GB2312"/>
          <w:color w:val="auto"/>
          <w:sz w:val="32"/>
          <w:szCs w:val="32"/>
          <w:lang w:val="en-US" w:eastAsia="zh-CN"/>
        </w:rPr>
      </w:pPr>
    </w:p>
    <w:p w14:paraId="0F87F9B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住房保障支出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住房改革支出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住房公积金</w:t>
      </w:r>
      <w:r>
        <w:rPr>
          <w:rFonts w:hint="eastAsia" w:ascii="仿宋_GB2312" w:hAnsi="仿宋_GB2312" w:eastAsia="仿宋_GB2312" w:cs="仿宋_GB2312"/>
          <w:sz w:val="32"/>
          <w:szCs w:val="32"/>
        </w:rPr>
        <w:t>（项）。</w:t>
      </w:r>
    </w:p>
    <w:p w14:paraId="613BD58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12.25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10.58万</w:t>
      </w:r>
      <w:r>
        <w:rPr>
          <w:rFonts w:hint="eastAsia" w:ascii="仿宋_GB2312" w:hAnsi="仿宋_GB2312" w:eastAsia="仿宋_GB2312" w:cs="仿宋_GB2312"/>
          <w:sz w:val="32"/>
          <w:szCs w:val="32"/>
        </w:rPr>
        <w:t>元，完成年初预算的</w:t>
      </w:r>
      <w:r>
        <w:rPr>
          <w:rFonts w:hint="eastAsia" w:ascii="仿宋_GB2312" w:hAnsi="仿宋_GB2312" w:eastAsia="仿宋_GB2312" w:cs="仿宋_GB2312"/>
          <w:sz w:val="32"/>
          <w:szCs w:val="32"/>
          <w:lang w:val="en-US" w:eastAsia="zh-CN"/>
        </w:rPr>
        <w:t>86.37</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基数没有调上去。</w:t>
      </w:r>
    </w:p>
    <w:p w14:paraId="31382400">
      <w:pPr>
        <w:widowControl w:val="0"/>
        <w:autoSpaceDE w:val="0"/>
        <w:autoSpaceDN w:val="0"/>
        <w:adjustRightInd w:val="0"/>
        <w:ind w:firstLine="800" w:firstLineChars="250"/>
        <w:rPr>
          <w:rFonts w:hint="eastAsia" w:ascii="仿宋_GB2312" w:hAnsi="仿宋_GB2312" w:eastAsia="仿宋_GB2312" w:cs="仿宋_GB2312"/>
          <w:sz w:val="32"/>
          <w:szCs w:val="32"/>
        </w:rPr>
      </w:pPr>
    </w:p>
    <w:p w14:paraId="20784BD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6E72EF6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181.41</w:t>
      </w:r>
      <w:r>
        <w:rPr>
          <w:rFonts w:hint="eastAsia" w:ascii="仿宋_GB2312" w:hAnsi="仿宋_GB2312" w:eastAsia="仿宋_GB2312" w:cs="仿宋_GB2312"/>
          <w:sz w:val="32"/>
          <w:szCs w:val="32"/>
        </w:rPr>
        <w:t>万元，其中：</w:t>
      </w:r>
    </w:p>
    <w:p w14:paraId="0D4AA09A">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b/>
          <w:bCs/>
          <w:sz w:val="32"/>
          <w:szCs w:val="32"/>
          <w:lang w:val="en-US" w:eastAsia="zh-CN"/>
        </w:rPr>
        <w:t>166.26</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91.65</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绩效工资、机关事业单位基本养老保险缴费、职工基本医疗保险缴费、其他社会保障缴费、医疗费、其他工资福利支出、退休费、抚恤金、奖励金、其他对个人和家庭的补助</w:t>
      </w:r>
      <w:r>
        <w:rPr>
          <w:rFonts w:hint="eastAsia" w:ascii="仿宋_GB2312" w:hAnsi="仿宋_GB2312" w:eastAsia="仿宋_GB2312" w:cs="仿宋_GB2312"/>
          <w:sz w:val="32"/>
          <w:szCs w:val="32"/>
          <w:lang w:eastAsia="zh-CN"/>
        </w:rPr>
        <w:t>。</w:t>
      </w:r>
    </w:p>
    <w:p w14:paraId="2B8DF89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b/>
          <w:bCs/>
          <w:sz w:val="32"/>
          <w:szCs w:val="32"/>
          <w:lang w:val="en-US" w:eastAsia="zh-CN"/>
        </w:rPr>
        <w:t>15.15</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8.35</w:t>
      </w:r>
      <w:r>
        <w:rPr>
          <w:rFonts w:hint="eastAsia" w:ascii="仿宋_GB2312" w:hAnsi="仿宋_GB2312" w:eastAsia="仿宋_GB2312" w:cs="仿宋_GB2312"/>
          <w:sz w:val="32"/>
          <w:szCs w:val="32"/>
        </w:rPr>
        <w:t>%，主要包括办公费、印刷费、咨询费、手续费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邮电费、差旅费、维修（护）费、培训费、公务接待费、劳务费、委托业务费、工会经费、其他交通费用、其他商品和服务支出、办公设备购置</w:t>
      </w:r>
      <w:r>
        <w:rPr>
          <w:rFonts w:hint="eastAsia" w:ascii="仿宋_GB2312" w:hAnsi="仿宋_GB2312" w:eastAsia="仿宋_GB2312" w:cs="仿宋_GB2312"/>
          <w:sz w:val="32"/>
          <w:szCs w:val="32"/>
        </w:rPr>
        <w:t>。</w:t>
      </w:r>
    </w:p>
    <w:p w14:paraId="7DD7D82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10D5A796">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万元。具体情况如下：</w:t>
      </w:r>
    </w:p>
    <w:p w14:paraId="75F74E8F">
      <w:pPr>
        <w:pStyle w:val="12"/>
        <w:keepNext w:val="0"/>
        <w:keepLines w:val="0"/>
        <w:pageBreakBefore w:val="0"/>
        <w:widowControl w:val="0"/>
        <w:kinsoku/>
        <w:wordWrap/>
        <w:overflowPunct/>
        <w:topLinePunct w:val="0"/>
        <w:bidi w:val="0"/>
        <w:snapToGrid/>
        <w:spacing w:line="600" w:lineRule="exact"/>
        <w:textAlignment w:val="auto"/>
        <w:rPr>
          <w:rFonts w:hint="default" w:ascii="黑体" w:hAnsi="黑体" w:eastAsia="黑体" w:cs="黑体"/>
          <w:b w:val="0"/>
          <w:bCs/>
          <w:color w:val="000000"/>
          <w:kern w:val="0"/>
          <w:sz w:val="32"/>
          <w:szCs w:val="32"/>
          <w:highlight w:val="none"/>
          <w:lang w:val="en-US" w:eastAsia="zh-CN" w:bidi="ar-SA"/>
        </w:rPr>
      </w:pPr>
      <w:r>
        <w:rPr>
          <w:rFonts w:hint="eastAsia" w:ascii="仿宋_GB2312" w:hAnsi="仿宋_GB2312" w:eastAsia="仿宋_GB2312" w:cs="仿宋_GB2312"/>
          <w:sz w:val="32"/>
          <w:szCs w:val="32"/>
          <w:lang w:val="en-US" w:eastAsia="zh-CN"/>
        </w:rPr>
        <w:t xml:space="preserve">    2023年度本单位无政府性基本预算收支。</w:t>
      </w:r>
    </w:p>
    <w:p w14:paraId="4EEF2BE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2AED84EE">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2023年度国有资本经营预算财政拨款收入0万元；年初结转和结余0万；支出0万元；其中：基本支出0万元，项目支出0万元，年末结转和结余0万元。具体情况如下：</w:t>
      </w:r>
    </w:p>
    <w:p w14:paraId="632FE1CF">
      <w:pPr>
        <w:widowControl w:val="0"/>
        <w:autoSpaceDE w:val="0"/>
        <w:autoSpaceDN w:val="0"/>
        <w:adjustRightInd w:val="0"/>
        <w:ind w:firstLine="640" w:firstLineChars="200"/>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2023年度本单位无国有资本经营预算财政拨款支出。</w:t>
      </w:r>
    </w:p>
    <w:p w14:paraId="4BDB4EF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2525C29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B107B7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决算数等于预算数。</w:t>
      </w:r>
      <w:r>
        <w:rPr>
          <w:rFonts w:hint="eastAsia" w:ascii="仿宋_GB2312" w:hAnsi="仿宋_GB2312" w:eastAsia="仿宋_GB2312" w:cs="仿宋_GB2312"/>
          <w:sz w:val="32"/>
          <w:szCs w:val="32"/>
        </w:rPr>
        <w:t>其中：</w:t>
      </w:r>
    </w:p>
    <w:p w14:paraId="364E5D0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决算数等于预算数，主要原因是我单位严格按预算执行决算；与上年一致，无增减变化，主要原因是未安排因公出国（境）活动</w:t>
      </w:r>
      <w:r>
        <w:rPr>
          <w:rFonts w:hint="eastAsia" w:ascii="仿宋_GB2312" w:hAnsi="仿宋_GB2312" w:eastAsia="仿宋_GB2312" w:cs="仿宋_GB2312"/>
          <w:sz w:val="32"/>
          <w:szCs w:val="32"/>
        </w:rPr>
        <w:t>。</w:t>
      </w:r>
    </w:p>
    <w:p w14:paraId="30A6A41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决算数等于预算数，主要原因是严格执行中央八项规定，与上年一致，无增减变动，主要原因是按有关政策厉行节约，严控公务接待支出</w:t>
      </w:r>
      <w:r>
        <w:rPr>
          <w:rFonts w:hint="eastAsia" w:ascii="仿宋_GB2312" w:hAnsi="仿宋_GB2312" w:eastAsia="仿宋_GB2312" w:cs="仿宋_GB2312"/>
          <w:sz w:val="32"/>
          <w:szCs w:val="32"/>
        </w:rPr>
        <w:t>。</w:t>
      </w:r>
    </w:p>
    <w:p w14:paraId="214F46A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决算数等于预算数，主要原因是我单位严格按预算执行决算；与上年一致，无增减变化，主要原因是两年均未购置公务用车。</w:t>
      </w:r>
    </w:p>
    <w:p w14:paraId="391CF19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决算数等于预算数，主要原因是我单位严格按预算执行决算；与上年一致，无增减变动，主要原因是两年均无公务用车需要运行维护</w:t>
      </w:r>
      <w:r>
        <w:rPr>
          <w:rFonts w:hint="eastAsia" w:ascii="仿宋_GB2312" w:hAnsi="仿宋_GB2312" w:eastAsia="仿宋_GB2312" w:cs="仿宋_GB2312"/>
          <w:sz w:val="32"/>
          <w:szCs w:val="32"/>
        </w:rPr>
        <w:t>。</w:t>
      </w:r>
    </w:p>
    <w:p w14:paraId="2001592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A0ABFF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万元，公务用车购置费及运行维护费支出决算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14:paraId="6FC45821">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b/>
          <w:bCs/>
          <w:i/>
          <w:color w:val="auto"/>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单位2023年度无因公出国（境）费支出。</w:t>
      </w:r>
    </w:p>
    <w:p w14:paraId="29F58F4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单位2023年度无公务接待费支出。</w:t>
      </w:r>
    </w:p>
    <w:p w14:paraId="3757BA15">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当年没有购置公务用车。公务用车运行维护费0万元，截止2023年12月31日，我单位</w:t>
      </w:r>
      <w:r>
        <w:rPr>
          <w:rFonts w:hint="eastAsia" w:ascii="仿宋_GB2312" w:hAnsi="仿宋_GB2312" w:eastAsia="仿宋_GB2312" w:cs="仿宋_GB2312"/>
          <w:sz w:val="32"/>
          <w:szCs w:val="32"/>
        </w:rPr>
        <w:t>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14:paraId="5232BF84">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630" w:leftChars="0"/>
        <w:textAlignment w:val="auto"/>
        <w:rPr>
          <w:rFonts w:hint="eastAsia" w:ascii="黑体" w:hAnsi="黑体" w:eastAsia="黑体" w:cs="黑体"/>
          <w:b w:val="0"/>
          <w:bCs/>
          <w:sz w:val="32"/>
          <w:szCs w:val="32"/>
        </w:rPr>
      </w:pPr>
    </w:p>
    <w:p w14:paraId="19FFA17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7F2D80D1">
      <w:pPr>
        <w:pStyle w:val="12"/>
        <w:ind w:firstLine="640" w:firstLineChars="200"/>
        <w:rPr>
          <w:rFonts w:ascii="Times New Roman" w:hAnsi="Times New Roman" w:eastAsia="仿宋_GB2312"/>
          <w:sz w:val="32"/>
          <w:szCs w:val="32"/>
        </w:rPr>
      </w:pPr>
      <w:bookmarkStart w:id="0" w:name="_GoBack"/>
      <w:bookmarkEnd w:id="0"/>
      <w:r>
        <w:rPr>
          <w:rFonts w:hint="eastAsia" w:ascii="仿宋_GB2312" w:hAnsi="仿宋_GB2312" w:eastAsia="仿宋_GB2312" w:cs="仿宋_GB2312"/>
          <w:sz w:val="32"/>
          <w:szCs w:val="32"/>
          <w:lang w:val="en-US" w:eastAsia="zh-CN"/>
        </w:rPr>
        <w:t>本级和所属单位均为事业单位，按照机关运行经费的口径，本年度机关运行经费为0。</w:t>
      </w:r>
    </w:p>
    <w:p w14:paraId="77015F2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4427ED98">
      <w:pPr>
        <w:pStyle w:val="12"/>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sz w:val="32"/>
          <w:szCs w:val="32"/>
          <w:lang w:val="en-US" w:eastAsia="zh-CN"/>
        </w:rPr>
        <w:t>本单位无会议费的预算和支出决算数；本单位无培训费的预算和支出决算数；本单位无举办节庆、晚会、论坛、赛事等活动的预算和支出决算数。</w:t>
      </w:r>
    </w:p>
    <w:p w14:paraId="12A3A71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FF0000"/>
          <w:sz w:val="32"/>
          <w:szCs w:val="32"/>
          <w:lang w:val="en-US" w:eastAsia="zh-CN"/>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1C24380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auto"/>
          <w:sz w:val="32"/>
          <w:szCs w:val="32"/>
          <w:lang w:val="en-US" w:eastAsia="zh-CN"/>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 xml:space="preserve"> 万元、政府采购工程支出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万元、政府采购服务支出</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万元。授予中小企业合同金额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0，故无法计算</w:t>
      </w:r>
      <w:r>
        <w:rPr>
          <w:rFonts w:hint="eastAsia" w:ascii="Times New Roman" w:hAnsi="Times New Roman" w:eastAsia="仿宋_GB2312"/>
          <w:color w:val="auto"/>
          <w:sz w:val="32"/>
          <w:szCs w:val="32"/>
        </w:rPr>
        <w:t>占政府采购支出总额的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，其中：授予小微企业合同金额</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（由于预算数为</w:t>
      </w:r>
      <w:r>
        <w:rPr>
          <w:rFonts w:hint="eastAsia" w:ascii="Times New Roman" w:hAnsi="Times New Roman" w:eastAsia="仿宋_GB2312"/>
          <w:color w:val="auto"/>
          <w:sz w:val="32"/>
          <w:szCs w:val="32"/>
          <w:lang w:val="en-US" w:eastAsia="zh-CN"/>
        </w:rPr>
        <w:t>0，故无法计算</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eastAsia="zh-CN"/>
        </w:rPr>
        <w:t>比重，由于各项预算数为</w:t>
      </w:r>
      <w:r>
        <w:rPr>
          <w:rFonts w:hint="eastAsia" w:ascii="Times New Roman" w:hAnsi="Times New Roman" w:eastAsia="仿宋_GB2312"/>
          <w:color w:val="auto"/>
          <w:sz w:val="32"/>
          <w:szCs w:val="32"/>
          <w:lang w:val="en-US" w:eastAsia="zh-CN"/>
        </w:rPr>
        <w:t>0，故无法计算各项占比</w:t>
      </w:r>
      <w:r>
        <w:rPr>
          <w:rFonts w:hint="eastAsia" w:ascii="Times New Roman" w:hAnsi="Times New Roman" w:eastAsia="仿宋_GB2312"/>
          <w:color w:val="auto"/>
          <w:sz w:val="32"/>
          <w:szCs w:val="32"/>
        </w:rPr>
        <w:t>。</w:t>
      </w:r>
    </w:p>
    <w:p w14:paraId="17DA51B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1A413D4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090F0CA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384690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E7DA9B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1B0B633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334.15万元，政府性基金预算支出0万元，国有资本经营预算支出0万元。从评价情况来看，整体支出绩效评价中，2023年整体支出334.15万元，其中：基本支出181.41万元，项目支出152.74万元，本单位整体支出绩效自评综合评分98分，评价结果等次为良。</w:t>
      </w:r>
    </w:p>
    <w:p w14:paraId="371A129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组织对一般公共预算项目支出全面开展绩效自评，项目3个，共涉及资金152.74万元，占一般公共预算项目支出总额的100%。组织对政府性基金预算项目支出开展绩效自评，项目0个，共涉及资金0 万元，占政府性基金预算项目支出总额的0%。组织对国有资本经营预算项目支出开展绩效自评，项目0个，共涉及资金0万元，占国有资本经营预算项目支出总额的0%。从评价情况来看，项目绩效自评得分98分，评价结果等次为良。</w:t>
      </w:r>
    </w:p>
    <w:p w14:paraId="618A550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15A27B9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olor w:val="FF0000"/>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根据年初设定的绩效目标，绩效自评得分为98 分。全年预算数为355.01 万元，执行数为355.01 万元，完成预算的100%。绩效目标完成情况：一是发现的主要问题及原因：回望过去的一年，我馆在局党组的关怀和同志们的大力支持下，我们虽说取得了一定的成绩，但离上级的要求还有一定的差距。主要表现为：一是理论和业务学习不够深入；二是创新意识有所欠缺。今后，我们将努力克服自身不足，认真学习，严格自律，为我市文化旅游事业持续健康发展作出更大的贡献。下一步改进措施：克服自身不足，认真学习，提高创新意识，严格自律，为我市文化事业持续健康发展作出更大的贡献。</w:t>
      </w:r>
    </w:p>
    <w:p w14:paraId="78B416CB">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3FCEF96A">
      <w:pPr>
        <w:autoSpaceDE w:val="0"/>
        <w:autoSpaceDN w:val="0"/>
        <w:adjustRightInd w:val="0"/>
        <w:ind w:firstLine="640" w:firstLineChars="200"/>
        <w:jc w:val="left"/>
        <w:rPr>
          <w:rFonts w:hint="eastAsia" w:ascii="方正小标宋_GBK" w:hAnsi="方正小标宋_GBK" w:eastAsia="方正小标宋_GBK" w:cs="方正小标宋_GBK"/>
          <w:sz w:val="72"/>
          <w:szCs w:val="72"/>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7326EC06">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2B5E10D">
      <w:pPr>
        <w:jc w:val="center"/>
        <w:rPr>
          <w:rFonts w:hint="eastAsia" w:ascii="方正小标宋_GBK" w:hAnsi="方正小标宋_GBK" w:eastAsia="方正小标宋_GBK" w:cs="方正小标宋_GBK"/>
          <w:color w:val="000000"/>
          <w:kern w:val="0"/>
          <w:sz w:val="70"/>
          <w:szCs w:val="70"/>
        </w:rPr>
      </w:pPr>
    </w:p>
    <w:p w14:paraId="7B6867F5">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507B63FE">
      <w:pPr>
        <w:pStyle w:val="2"/>
      </w:pPr>
    </w:p>
    <w:p w14:paraId="2D513DA3">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8BA521B">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090169FC">
      <w:p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kern w:val="0"/>
          <w:sz w:val="32"/>
          <w:szCs w:val="32"/>
          <w:lang w:val="en-US" w:eastAsia="zh-CN"/>
        </w:rPr>
        <w:t>财政拨款收入：指市级财政当年拨付的资金。</w:t>
      </w:r>
    </w:p>
    <w:p w14:paraId="2AC3D386">
      <w:pPr>
        <w:pStyle w:val="2"/>
        <w:ind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四、上级补助收入：指单位从主管部门和上级单位取得的非财政性补助收入。</w:t>
      </w:r>
    </w:p>
    <w:p w14:paraId="7986F3EE">
      <w:pPr>
        <w:pStyle w:val="3"/>
        <w:ind w:left="0" w:leftChars="0" w:firstLine="0" w:firstLineChars="0"/>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五、其他收入：指础上述“财政拨款收入”、“上级补助收入”、“事业收入”、“经营收入”、“附属单位上缴收入”等以外的收入。</w:t>
      </w:r>
    </w:p>
    <w:p w14:paraId="04FDCF55">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六、上年结转和结余：指以前年度尚未完成、结转到本年按有关规定继续使用的资金。</w:t>
      </w:r>
    </w:p>
    <w:p w14:paraId="04FD93CC">
      <w:pPr>
        <w:pStyle w:val="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七、基本支出：指保障机构正常运转、完成日常工作任务而发生的人员支出和公用支出。</w:t>
      </w:r>
    </w:p>
    <w:p w14:paraId="479B70CA">
      <w:pPr>
        <w:pStyle w:val="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八、项目支出：指在基本支出之外为完成特定行政任务和事业发展目标所发生的支出。</w:t>
      </w:r>
    </w:p>
    <w:p w14:paraId="1ED58936">
      <w:r>
        <w:rPr>
          <w:rFonts w:hint="eastAsia" w:ascii="仿宋" w:hAnsi="仿宋" w:eastAsia="仿宋" w:cs="仿宋"/>
          <w:sz w:val="32"/>
          <w:szCs w:val="32"/>
          <w:lang w:val="en-US" w:eastAsia="zh-CN"/>
        </w:rPr>
        <w:t xml:space="preserve">       </w:t>
      </w:r>
    </w:p>
    <w:p w14:paraId="3F2F09F1">
      <w:pPr>
        <w:pStyle w:val="2"/>
      </w:pPr>
    </w:p>
    <w:p w14:paraId="5BE91050">
      <w:pPr>
        <w:pStyle w:val="3"/>
      </w:pPr>
    </w:p>
    <w:p w14:paraId="74E3FD4A">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7D18BE85">
      <w:pPr>
        <w:pStyle w:val="12"/>
        <w:jc w:val="both"/>
        <w:rPr>
          <w:rFonts w:hint="eastAsia" w:ascii="方正小标宋_GBK" w:hAnsi="方正小标宋_GBK" w:eastAsia="方正小标宋_GBK" w:cs="方正小标宋_GBK"/>
          <w:sz w:val="70"/>
          <w:szCs w:val="70"/>
          <w:lang w:eastAsia="zh-CN"/>
        </w:rPr>
      </w:pPr>
    </w:p>
    <w:p w14:paraId="56EDAC87">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C96B8E1">
      <w:pPr>
        <w:ind w:firstLine="640" w:firstLineChars="200"/>
        <w:jc w:val="left"/>
        <w:rPr>
          <w:rFonts w:hint="eastAsia" w:ascii="宋体" w:hAnsi="宋体" w:eastAsia="宋体" w:cs="黑体"/>
          <w:b/>
          <w:color w:val="000000"/>
          <w:kern w:val="0"/>
          <w:sz w:val="32"/>
          <w:szCs w:val="32"/>
          <w:lang w:val="en-US" w:eastAsia="zh-CN"/>
        </w:rPr>
      </w:pPr>
    </w:p>
    <w:p w14:paraId="53F92F8F">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5C1779B1">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10738E17"/>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B8BB7B"/>
    <w:multiLevelType w:val="singleLevel"/>
    <w:tmpl w:val="62B8BB7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NjI3NDc3MTZlMDQ3Mjk4MzkzZDUzMDU5ZDk4Nj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362185"/>
    <w:rsid w:val="03915AA6"/>
    <w:rsid w:val="049F0B07"/>
    <w:rsid w:val="059958AD"/>
    <w:rsid w:val="083F74D6"/>
    <w:rsid w:val="11E07867"/>
    <w:rsid w:val="12583BA5"/>
    <w:rsid w:val="1356385F"/>
    <w:rsid w:val="13BA5B9C"/>
    <w:rsid w:val="14B94373"/>
    <w:rsid w:val="154179B4"/>
    <w:rsid w:val="17484656"/>
    <w:rsid w:val="176E4237"/>
    <w:rsid w:val="1D97DEFF"/>
    <w:rsid w:val="1D9C2C76"/>
    <w:rsid w:val="1DE026A3"/>
    <w:rsid w:val="1DFF72E5"/>
    <w:rsid w:val="1EFC6F07"/>
    <w:rsid w:val="207A7786"/>
    <w:rsid w:val="22AC03C2"/>
    <w:rsid w:val="238925AF"/>
    <w:rsid w:val="27D66B0F"/>
    <w:rsid w:val="281B0175"/>
    <w:rsid w:val="2FDF85B8"/>
    <w:rsid w:val="2FFFEE04"/>
    <w:rsid w:val="3148432D"/>
    <w:rsid w:val="31C95635"/>
    <w:rsid w:val="34DF85B0"/>
    <w:rsid w:val="34F7606E"/>
    <w:rsid w:val="35527ED3"/>
    <w:rsid w:val="37937EB1"/>
    <w:rsid w:val="3B8F36BC"/>
    <w:rsid w:val="3D7B7793"/>
    <w:rsid w:val="416752A3"/>
    <w:rsid w:val="41EC7168"/>
    <w:rsid w:val="42B530EB"/>
    <w:rsid w:val="4445010E"/>
    <w:rsid w:val="48547371"/>
    <w:rsid w:val="48A92D48"/>
    <w:rsid w:val="491FF225"/>
    <w:rsid w:val="495D2AFD"/>
    <w:rsid w:val="4BFA78EA"/>
    <w:rsid w:val="4E4341C9"/>
    <w:rsid w:val="4FFD214C"/>
    <w:rsid w:val="50465B0A"/>
    <w:rsid w:val="52A542BB"/>
    <w:rsid w:val="5352765A"/>
    <w:rsid w:val="5777D4F5"/>
    <w:rsid w:val="591E1CF6"/>
    <w:rsid w:val="59DD8326"/>
    <w:rsid w:val="5DEF592A"/>
    <w:rsid w:val="5FC6BB1E"/>
    <w:rsid w:val="5FF720F1"/>
    <w:rsid w:val="6056026C"/>
    <w:rsid w:val="610F07B8"/>
    <w:rsid w:val="67FF5C0B"/>
    <w:rsid w:val="6897162A"/>
    <w:rsid w:val="69096591"/>
    <w:rsid w:val="6B3F4177"/>
    <w:rsid w:val="6BAA4A2F"/>
    <w:rsid w:val="6C0A77DC"/>
    <w:rsid w:val="6E083060"/>
    <w:rsid w:val="6EFC0924"/>
    <w:rsid w:val="6FB74722"/>
    <w:rsid w:val="6FEF8B7E"/>
    <w:rsid w:val="714405DE"/>
    <w:rsid w:val="71A6591B"/>
    <w:rsid w:val="737D59BA"/>
    <w:rsid w:val="737F32B1"/>
    <w:rsid w:val="74B8438F"/>
    <w:rsid w:val="76F122E3"/>
    <w:rsid w:val="77C37683"/>
    <w:rsid w:val="794D5B06"/>
    <w:rsid w:val="79F06999"/>
    <w:rsid w:val="79FF515B"/>
    <w:rsid w:val="7C485DD1"/>
    <w:rsid w:val="7DEF36AD"/>
    <w:rsid w:val="7E9E1962"/>
    <w:rsid w:val="7E9F11B4"/>
    <w:rsid w:val="7F37EC1E"/>
    <w:rsid w:val="7F655E1F"/>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5184</Words>
  <Characters>5592</Characters>
  <Lines>63</Lines>
  <Paragraphs>18</Paragraphs>
  <TotalTime>179</TotalTime>
  <ScaleCrop>false</ScaleCrop>
  <LinksUpToDate>false</LinksUpToDate>
  <CharactersWithSpaces>5641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2024-09-24T03:53:29Z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98623D6660B449428EB8E073C6C952EA</vt:lpwstr>
  </property>
</Properties>
</file>