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15CA1">
      <w:pPr>
        <w:widowControl/>
        <w:spacing w:after="0" w:afterLines="0" w:line="4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7A22D84D">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年度部门整体支出绩效自评表</w:t>
      </w:r>
    </w:p>
    <w:tbl>
      <w:tblPr>
        <w:tblStyle w:val="4"/>
        <w:tblW w:w="10079" w:type="dxa"/>
        <w:jc w:val="center"/>
        <w:tblLayout w:type="autofit"/>
        <w:tblCellMar>
          <w:top w:w="0" w:type="dxa"/>
          <w:left w:w="108" w:type="dxa"/>
          <w:bottom w:w="0" w:type="dxa"/>
          <w:right w:w="108" w:type="dxa"/>
        </w:tblCellMar>
      </w:tblPr>
      <w:tblGrid>
        <w:gridCol w:w="1080"/>
        <w:gridCol w:w="1080"/>
        <w:gridCol w:w="1034"/>
        <w:gridCol w:w="1342"/>
        <w:gridCol w:w="1239"/>
        <w:gridCol w:w="1269"/>
        <w:gridCol w:w="716"/>
        <w:gridCol w:w="873"/>
        <w:gridCol w:w="1446"/>
      </w:tblGrid>
      <w:tr w14:paraId="74BBA8E2">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780B088">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14:paraId="5E7A63D4">
            <w:pPr>
              <w:widowControl/>
              <w:spacing w:line="240" w:lineRule="exact"/>
              <w:jc w:val="center"/>
              <w:rPr>
                <w:rFonts w:hint="eastAsia" w:ascii="仿宋_GB2312" w:hAnsi="仿宋_GB2312" w:eastAsia="仿宋_GB2312" w:cs="仿宋_GB2312"/>
                <w:color w:val="000000"/>
                <w:sz w:val="20"/>
                <w:szCs w:val="20"/>
              </w:rPr>
            </w:pPr>
            <w:r>
              <w:rPr>
                <w:rFonts w:hint="eastAsia" w:ascii="仿宋" w:hAnsi="仿宋" w:eastAsia="仿宋" w:cs="仿宋"/>
                <w:sz w:val="24"/>
                <w:szCs w:val="24"/>
              </w:rPr>
              <w:t>岳阳市美术馆</w:t>
            </w:r>
            <w:r>
              <w:rPr>
                <w:rFonts w:hint="eastAsia" w:ascii="仿宋_GB2312" w:hAnsi="仿宋_GB2312" w:eastAsia="仿宋_GB2312" w:cs="仿宋_GB2312"/>
                <w:color w:val="000000"/>
                <w:sz w:val="20"/>
                <w:szCs w:val="20"/>
              </w:rPr>
              <w:t>　</w:t>
            </w:r>
          </w:p>
        </w:tc>
      </w:tr>
      <w:tr w14:paraId="09D750E3">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1E5E8C6">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14:paraId="6F0B6E4B">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14:paraId="1C286220">
            <w:pPr>
              <w:spacing w:line="240" w:lineRule="exact"/>
              <w:jc w:val="center"/>
              <w:rPr>
                <w:rFonts w:hint="eastAsia" w:ascii="仿宋_GB2312" w:hAnsi="仿宋_GB2312" w:eastAsia="仿宋_GB2312" w:cs="仿宋_GB2312"/>
                <w:sz w:val="20"/>
                <w:szCs w:val="20"/>
              </w:rPr>
            </w:pPr>
          </w:p>
        </w:tc>
        <w:tc>
          <w:tcPr>
            <w:tcW w:w="1342" w:type="dxa"/>
            <w:tcBorders>
              <w:top w:val="nil"/>
              <w:left w:val="nil"/>
              <w:bottom w:val="single" w:color="auto" w:sz="4" w:space="0"/>
              <w:right w:val="single" w:color="auto" w:sz="4" w:space="0"/>
            </w:tcBorders>
            <w:noWrap w:val="0"/>
            <w:vAlign w:val="center"/>
          </w:tcPr>
          <w:p w14:paraId="50D83BDF">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239" w:type="dxa"/>
            <w:tcBorders>
              <w:top w:val="nil"/>
              <w:left w:val="nil"/>
              <w:bottom w:val="single" w:color="auto" w:sz="4" w:space="0"/>
              <w:right w:val="single" w:color="auto" w:sz="4" w:space="0"/>
            </w:tcBorders>
            <w:noWrap w:val="0"/>
            <w:vAlign w:val="center"/>
          </w:tcPr>
          <w:p w14:paraId="0F82EF78">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269" w:type="dxa"/>
            <w:tcBorders>
              <w:top w:val="nil"/>
              <w:left w:val="nil"/>
              <w:bottom w:val="single" w:color="auto" w:sz="4" w:space="0"/>
              <w:right w:val="single" w:color="auto" w:sz="4" w:space="0"/>
            </w:tcBorders>
            <w:noWrap w:val="0"/>
            <w:vAlign w:val="center"/>
          </w:tcPr>
          <w:p w14:paraId="002B1EE7">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noWrap w:val="0"/>
            <w:vAlign w:val="center"/>
          </w:tcPr>
          <w:p w14:paraId="45AF3827">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14:paraId="1C2F1EA1">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noWrap w:val="0"/>
            <w:vAlign w:val="center"/>
          </w:tcPr>
          <w:p w14:paraId="15D747A9">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7C34A3D4">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2574E8D9">
            <w:pPr>
              <w:widowControl/>
              <w:spacing w:line="240" w:lineRule="exact"/>
              <w:jc w:val="center"/>
              <w:rPr>
                <w:rFonts w:hint="eastAsia"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14:paraId="3CB5D6E8">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342" w:type="dxa"/>
            <w:tcBorders>
              <w:top w:val="nil"/>
              <w:left w:val="nil"/>
              <w:bottom w:val="single" w:color="auto" w:sz="4" w:space="0"/>
              <w:right w:val="single" w:color="auto" w:sz="4" w:space="0"/>
            </w:tcBorders>
            <w:noWrap w:val="0"/>
            <w:vAlign w:val="center"/>
          </w:tcPr>
          <w:p w14:paraId="3FABE051">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167.72</w:t>
            </w:r>
          </w:p>
        </w:tc>
        <w:tc>
          <w:tcPr>
            <w:tcW w:w="1239" w:type="dxa"/>
            <w:tcBorders>
              <w:top w:val="nil"/>
              <w:left w:val="nil"/>
              <w:bottom w:val="single" w:color="auto" w:sz="4" w:space="0"/>
              <w:right w:val="single" w:color="auto" w:sz="4" w:space="0"/>
            </w:tcBorders>
            <w:noWrap w:val="0"/>
            <w:vAlign w:val="center"/>
          </w:tcPr>
          <w:p w14:paraId="57D1B374">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355.01</w:t>
            </w:r>
          </w:p>
        </w:tc>
        <w:tc>
          <w:tcPr>
            <w:tcW w:w="1269" w:type="dxa"/>
            <w:tcBorders>
              <w:top w:val="nil"/>
              <w:left w:val="nil"/>
              <w:bottom w:val="single" w:color="auto" w:sz="4" w:space="0"/>
              <w:right w:val="single" w:color="auto" w:sz="4" w:space="0"/>
            </w:tcBorders>
            <w:noWrap w:val="0"/>
            <w:vAlign w:val="center"/>
          </w:tcPr>
          <w:p w14:paraId="06D7F0E6">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355.01</w:t>
            </w:r>
          </w:p>
        </w:tc>
        <w:tc>
          <w:tcPr>
            <w:tcW w:w="716" w:type="dxa"/>
            <w:tcBorders>
              <w:top w:val="nil"/>
              <w:left w:val="nil"/>
              <w:bottom w:val="single" w:color="auto" w:sz="4" w:space="0"/>
              <w:right w:val="single" w:color="auto" w:sz="4" w:space="0"/>
            </w:tcBorders>
            <w:noWrap w:val="0"/>
            <w:vAlign w:val="center"/>
          </w:tcPr>
          <w:p w14:paraId="24169F08">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873" w:type="dxa"/>
            <w:tcBorders>
              <w:top w:val="nil"/>
              <w:left w:val="nil"/>
              <w:bottom w:val="single" w:color="auto" w:sz="4" w:space="0"/>
              <w:right w:val="single" w:color="auto" w:sz="4" w:space="0"/>
            </w:tcBorders>
            <w:noWrap w:val="0"/>
            <w:vAlign w:val="center"/>
          </w:tcPr>
          <w:p w14:paraId="6E07470E">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14:paraId="151DB51F">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14:paraId="03791B3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7528B8B">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1D3C29F6">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按收入性质分：</w:t>
            </w:r>
            <w:r>
              <w:rPr>
                <w:rFonts w:hint="eastAsia" w:ascii="仿宋_GB2312" w:hAnsi="仿宋_GB2312" w:eastAsia="仿宋_GB2312" w:cs="仿宋_GB2312"/>
                <w:color w:val="000000"/>
                <w:sz w:val="20"/>
                <w:szCs w:val="20"/>
                <w:lang w:val="en-US" w:eastAsia="zh-CN"/>
              </w:rPr>
              <w:t>167.72</w:t>
            </w:r>
          </w:p>
        </w:tc>
        <w:tc>
          <w:tcPr>
            <w:tcW w:w="4304" w:type="dxa"/>
            <w:gridSpan w:val="4"/>
            <w:tcBorders>
              <w:top w:val="nil"/>
              <w:left w:val="nil"/>
              <w:bottom w:val="single" w:color="auto" w:sz="4" w:space="0"/>
              <w:right w:val="single" w:color="auto" w:sz="4" w:space="0"/>
            </w:tcBorders>
            <w:noWrap w:val="0"/>
            <w:vAlign w:val="center"/>
          </w:tcPr>
          <w:p w14:paraId="5C679FA0">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按支出性质分：</w:t>
            </w:r>
            <w:r>
              <w:rPr>
                <w:rFonts w:hint="eastAsia" w:ascii="仿宋_GB2312" w:hAnsi="仿宋_GB2312" w:eastAsia="仿宋_GB2312" w:cs="仿宋_GB2312"/>
                <w:color w:val="000000"/>
                <w:sz w:val="20"/>
                <w:szCs w:val="20"/>
                <w:lang w:val="en-US" w:eastAsia="zh-CN"/>
              </w:rPr>
              <w:t>335.01</w:t>
            </w:r>
          </w:p>
        </w:tc>
      </w:tr>
      <w:tr w14:paraId="1C95435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DAB5DDE">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0E29E53F">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color w:val="000000"/>
                <w:sz w:val="20"/>
                <w:szCs w:val="20"/>
                <w:lang w:val="en-US" w:eastAsia="zh-CN"/>
              </w:rPr>
              <w:t>151.49</w:t>
            </w:r>
          </w:p>
        </w:tc>
        <w:tc>
          <w:tcPr>
            <w:tcW w:w="4304" w:type="dxa"/>
            <w:gridSpan w:val="4"/>
            <w:tcBorders>
              <w:top w:val="nil"/>
              <w:left w:val="nil"/>
              <w:bottom w:val="single" w:color="auto" w:sz="4" w:space="0"/>
              <w:right w:val="single" w:color="auto" w:sz="4" w:space="0"/>
            </w:tcBorders>
            <w:noWrap w:val="0"/>
            <w:vAlign w:val="center"/>
          </w:tcPr>
          <w:p w14:paraId="647BF595">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182.27</w:t>
            </w:r>
          </w:p>
        </w:tc>
      </w:tr>
      <w:tr w14:paraId="14F6095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38C8B68">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0C49A891">
            <w:pPr>
              <w:widowControl/>
              <w:spacing w:line="240" w:lineRule="exact"/>
              <w:ind w:firstLine="800" w:firstLineChars="4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政府性预算收入</w:t>
            </w:r>
            <w:r>
              <w:rPr>
                <w:rFonts w:hint="eastAsia" w:ascii="仿宋_GB2312" w:hAnsi="仿宋_GB2312" w:eastAsia="仿宋_GB2312" w:cs="仿宋_GB2312"/>
                <w:color w:val="000000"/>
                <w:sz w:val="20"/>
                <w:szCs w:val="20"/>
              </w:rPr>
              <w:t>：</w:t>
            </w:r>
          </w:p>
        </w:tc>
        <w:tc>
          <w:tcPr>
            <w:tcW w:w="4304" w:type="dxa"/>
            <w:gridSpan w:val="4"/>
            <w:tcBorders>
              <w:top w:val="nil"/>
              <w:left w:val="nil"/>
              <w:bottom w:val="single" w:color="auto" w:sz="4" w:space="0"/>
              <w:right w:val="single" w:color="auto" w:sz="4" w:space="0"/>
            </w:tcBorders>
            <w:noWrap w:val="0"/>
            <w:vAlign w:val="center"/>
          </w:tcPr>
          <w:p w14:paraId="368997C5">
            <w:pPr>
              <w:widowControl/>
              <w:spacing w:line="240" w:lineRule="exact"/>
              <w:ind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152.74</w:t>
            </w:r>
          </w:p>
        </w:tc>
      </w:tr>
      <w:tr w14:paraId="0BB080B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43115D3">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030EA528">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14:paraId="5FED64DE">
            <w:pPr>
              <w:widowControl/>
              <w:spacing w:line="240" w:lineRule="exact"/>
              <w:jc w:val="left"/>
              <w:rPr>
                <w:rFonts w:hint="eastAsia" w:ascii="仿宋_GB2312" w:hAnsi="仿宋_GB2312" w:eastAsia="仿宋_GB2312" w:cs="仿宋_GB2312"/>
                <w:color w:val="000000"/>
                <w:sz w:val="20"/>
                <w:szCs w:val="20"/>
              </w:rPr>
            </w:pPr>
          </w:p>
        </w:tc>
      </w:tr>
      <w:tr w14:paraId="2166318C">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14:paraId="4395DB0A">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04A18440">
            <w:pPr>
              <w:widowControl/>
              <w:spacing w:line="240" w:lineRule="exact"/>
              <w:ind w:firstLine="1400" w:firstLineChars="7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4304" w:type="dxa"/>
            <w:gridSpan w:val="4"/>
            <w:tcBorders>
              <w:top w:val="nil"/>
              <w:left w:val="nil"/>
              <w:bottom w:val="single" w:color="auto" w:sz="4" w:space="0"/>
              <w:right w:val="single" w:color="auto" w:sz="4" w:space="0"/>
            </w:tcBorders>
            <w:noWrap w:val="0"/>
            <w:vAlign w:val="center"/>
          </w:tcPr>
          <w:p w14:paraId="4A3AD2B7">
            <w:pPr>
              <w:widowControl/>
              <w:spacing w:line="240" w:lineRule="exact"/>
              <w:jc w:val="left"/>
              <w:rPr>
                <w:rFonts w:hint="eastAsia" w:ascii="仿宋_GB2312" w:hAnsi="仿宋_GB2312" w:eastAsia="仿宋_GB2312" w:cs="仿宋_GB2312"/>
                <w:color w:val="000000"/>
                <w:sz w:val="20"/>
                <w:szCs w:val="20"/>
              </w:rPr>
            </w:pPr>
          </w:p>
        </w:tc>
      </w:tr>
      <w:tr w14:paraId="0234A34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1A79AEC">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6AA70569">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14:paraId="7D8238EB">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2066D89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F91CB73">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14:paraId="11BF3F3C">
            <w:pPr>
              <w:widowControl/>
              <w:spacing w:line="240" w:lineRule="exact"/>
              <w:jc w:val="left"/>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深入贯彻党的</w:t>
            </w:r>
            <w:r>
              <w:rPr>
                <w:rFonts w:hint="eastAsia" w:ascii="仿宋_GB2312" w:hAnsi="仿宋_GB2312" w:eastAsia="仿宋_GB2312" w:cs="仿宋_GB2312"/>
                <w:color w:val="000000"/>
                <w:sz w:val="20"/>
                <w:szCs w:val="20"/>
                <w:lang w:val="en-US" w:eastAsia="zh-CN"/>
              </w:rPr>
              <w:t>方针政策</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逐步扩大美术馆在行业的影响力,吸引更多的人免费参观;在展览策划、公共教育、学术交流等多项工作上提升新的台阶。</w:t>
            </w:r>
          </w:p>
        </w:tc>
        <w:tc>
          <w:tcPr>
            <w:tcW w:w="4304" w:type="dxa"/>
            <w:gridSpan w:val="4"/>
            <w:tcBorders>
              <w:top w:val="single" w:color="auto" w:sz="4" w:space="0"/>
              <w:left w:val="nil"/>
              <w:bottom w:val="single" w:color="auto" w:sz="4" w:space="0"/>
              <w:right w:val="single" w:color="auto" w:sz="4" w:space="0"/>
            </w:tcBorders>
            <w:noWrap w:val="0"/>
            <w:vAlign w:val="center"/>
          </w:tcPr>
          <w:p w14:paraId="2E6987A3">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截止到12月中旬，共开展各项活动67场，平均每周都有一场活动，接待观众30万余人次。美术馆工作人员多次参加国家级、省市级展览。　</w:t>
            </w:r>
          </w:p>
        </w:tc>
      </w:tr>
      <w:tr w14:paraId="3B93FDB5">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45BF2849">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454FB597">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6BFFA820">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5ADC6D87">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14:paraId="43AE9A37">
            <w:pPr>
              <w:widowControl/>
              <w:spacing w:line="240" w:lineRule="exact"/>
              <w:jc w:val="center"/>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14:paraId="329366AC">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14:paraId="685364FE">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342" w:type="dxa"/>
            <w:tcBorders>
              <w:top w:val="nil"/>
              <w:left w:val="nil"/>
              <w:bottom w:val="single" w:color="auto" w:sz="4" w:space="0"/>
              <w:right w:val="single" w:color="auto" w:sz="4" w:space="0"/>
            </w:tcBorders>
            <w:noWrap w:val="0"/>
            <w:vAlign w:val="center"/>
          </w:tcPr>
          <w:p w14:paraId="3FE51824">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239" w:type="dxa"/>
            <w:tcBorders>
              <w:top w:val="nil"/>
              <w:left w:val="nil"/>
              <w:bottom w:val="single" w:color="auto" w:sz="4" w:space="0"/>
              <w:right w:val="single" w:color="auto" w:sz="4" w:space="0"/>
            </w:tcBorders>
            <w:noWrap w:val="0"/>
            <w:vAlign w:val="center"/>
          </w:tcPr>
          <w:p w14:paraId="51A036F0">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14:paraId="516EBA0B">
            <w:pPr>
              <w:widowControl/>
              <w:spacing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14:paraId="6F3431B6">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57C3803F">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noWrap w:val="0"/>
            <w:vAlign w:val="center"/>
          </w:tcPr>
          <w:p w14:paraId="52F17ABB">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261B9E6E">
        <w:tblPrEx>
          <w:tblCellMar>
            <w:top w:w="0" w:type="dxa"/>
            <w:left w:w="108" w:type="dxa"/>
            <w:bottom w:w="0" w:type="dxa"/>
            <w:right w:w="108" w:type="dxa"/>
          </w:tblCellMar>
        </w:tblPrEx>
        <w:trPr>
          <w:trHeight w:val="598" w:hRule="atLeast"/>
          <w:jc w:val="center"/>
        </w:trPr>
        <w:tc>
          <w:tcPr>
            <w:tcW w:w="1080" w:type="dxa"/>
            <w:vMerge w:val="continue"/>
            <w:tcBorders>
              <w:left w:val="single" w:color="auto" w:sz="4" w:space="0"/>
              <w:right w:val="single" w:color="auto" w:sz="4" w:space="0"/>
            </w:tcBorders>
            <w:noWrap w:val="0"/>
            <w:vAlign w:val="center"/>
          </w:tcPr>
          <w:p w14:paraId="4A765F31">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14:paraId="70678333">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2A969C72">
            <w:pPr>
              <w:widowControl/>
              <w:spacing w:line="240" w:lineRule="exact"/>
              <w:jc w:val="center"/>
              <w:rPr>
                <w:rFonts w:hint="eastAsia" w:ascii="仿宋_GB2312" w:hAnsi="仿宋_GB2312" w:eastAsia="仿宋_GB2312" w:cs="仿宋_GB2312"/>
                <w:color w:val="000000"/>
                <w:sz w:val="20"/>
                <w:szCs w:val="20"/>
              </w:rPr>
            </w:pPr>
          </w:p>
          <w:p w14:paraId="6601FB8A">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vMerge w:val="restart"/>
            <w:tcBorders>
              <w:top w:val="nil"/>
              <w:left w:val="nil"/>
              <w:right w:val="single" w:color="auto" w:sz="4" w:space="0"/>
            </w:tcBorders>
            <w:noWrap w:val="0"/>
            <w:vAlign w:val="center"/>
          </w:tcPr>
          <w:p w14:paraId="68C7AE18">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342" w:type="dxa"/>
            <w:tcBorders>
              <w:top w:val="nil"/>
              <w:left w:val="nil"/>
              <w:bottom w:val="single" w:color="auto" w:sz="4" w:space="0"/>
              <w:right w:val="single" w:color="auto" w:sz="4" w:space="0"/>
            </w:tcBorders>
            <w:noWrap w:val="0"/>
            <w:vAlign w:val="center"/>
          </w:tcPr>
          <w:p w14:paraId="6DF13238">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全年需开展多项活动</w:t>
            </w:r>
          </w:p>
        </w:tc>
        <w:tc>
          <w:tcPr>
            <w:tcW w:w="1239" w:type="dxa"/>
            <w:tcBorders>
              <w:top w:val="nil"/>
              <w:left w:val="nil"/>
              <w:bottom w:val="single" w:color="auto" w:sz="4" w:space="0"/>
              <w:right w:val="single" w:color="auto" w:sz="4" w:space="0"/>
            </w:tcBorders>
            <w:noWrap w:val="0"/>
            <w:vAlign w:val="center"/>
          </w:tcPr>
          <w:p w14:paraId="7CCD4F0C">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50场</w:t>
            </w:r>
          </w:p>
        </w:tc>
        <w:tc>
          <w:tcPr>
            <w:tcW w:w="1269" w:type="dxa"/>
            <w:tcBorders>
              <w:top w:val="nil"/>
              <w:left w:val="nil"/>
              <w:bottom w:val="single" w:color="auto" w:sz="4" w:space="0"/>
              <w:right w:val="single" w:color="auto" w:sz="4" w:space="0"/>
            </w:tcBorders>
            <w:noWrap w:val="0"/>
            <w:vAlign w:val="center"/>
          </w:tcPr>
          <w:p w14:paraId="583EADF3">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67场</w:t>
            </w:r>
          </w:p>
        </w:tc>
        <w:tc>
          <w:tcPr>
            <w:tcW w:w="716" w:type="dxa"/>
            <w:tcBorders>
              <w:top w:val="nil"/>
              <w:left w:val="nil"/>
              <w:bottom w:val="single" w:color="auto" w:sz="4" w:space="0"/>
              <w:right w:val="single" w:color="auto" w:sz="4" w:space="0"/>
            </w:tcBorders>
            <w:noWrap w:val="0"/>
            <w:vAlign w:val="center"/>
          </w:tcPr>
          <w:p w14:paraId="5CB45330">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14:paraId="4BE77479">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14:paraId="079B4D43">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37C580E">
        <w:tblPrEx>
          <w:tblCellMar>
            <w:top w:w="0" w:type="dxa"/>
            <w:left w:w="108" w:type="dxa"/>
            <w:bottom w:w="0" w:type="dxa"/>
            <w:right w:w="108" w:type="dxa"/>
          </w:tblCellMar>
        </w:tblPrEx>
        <w:trPr>
          <w:trHeight w:val="408" w:hRule="atLeast"/>
          <w:jc w:val="center"/>
        </w:trPr>
        <w:tc>
          <w:tcPr>
            <w:tcW w:w="1080" w:type="dxa"/>
            <w:vMerge w:val="continue"/>
            <w:tcBorders>
              <w:left w:val="single" w:color="auto" w:sz="4" w:space="0"/>
              <w:right w:val="single" w:color="auto" w:sz="4" w:space="0"/>
            </w:tcBorders>
            <w:noWrap w:val="0"/>
            <w:vAlign w:val="center"/>
          </w:tcPr>
          <w:p w14:paraId="01F62DC1">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0EA495E3">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14:paraId="21180ED2">
            <w:pPr>
              <w:spacing w:line="240" w:lineRule="exact"/>
              <w:jc w:val="center"/>
              <w:rPr>
                <w:rFonts w:hint="eastAsia" w:ascii="仿宋_GB2312" w:hAnsi="仿宋_GB2312" w:eastAsia="仿宋_GB2312" w:cs="仿宋_GB2312"/>
                <w:color w:val="000000"/>
                <w:sz w:val="20"/>
                <w:szCs w:val="20"/>
              </w:rPr>
            </w:pPr>
          </w:p>
        </w:tc>
        <w:tc>
          <w:tcPr>
            <w:tcW w:w="1342" w:type="dxa"/>
            <w:tcBorders>
              <w:top w:val="nil"/>
              <w:left w:val="nil"/>
              <w:bottom w:val="single" w:color="auto" w:sz="4" w:space="0"/>
              <w:right w:val="single" w:color="auto" w:sz="4" w:space="0"/>
            </w:tcBorders>
            <w:noWrap w:val="0"/>
            <w:vAlign w:val="center"/>
          </w:tcPr>
          <w:p w14:paraId="57FA0C66">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全年举行活动接待观众需达到20万人次</w:t>
            </w:r>
          </w:p>
        </w:tc>
        <w:tc>
          <w:tcPr>
            <w:tcW w:w="1239" w:type="dxa"/>
            <w:tcBorders>
              <w:top w:val="nil"/>
              <w:left w:val="nil"/>
              <w:bottom w:val="single" w:color="auto" w:sz="4" w:space="0"/>
              <w:right w:val="single" w:color="auto" w:sz="4" w:space="0"/>
            </w:tcBorders>
            <w:noWrap w:val="0"/>
            <w:vAlign w:val="center"/>
          </w:tcPr>
          <w:p w14:paraId="4AB4FA98">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20万人次</w:t>
            </w:r>
          </w:p>
        </w:tc>
        <w:tc>
          <w:tcPr>
            <w:tcW w:w="1269" w:type="dxa"/>
            <w:tcBorders>
              <w:top w:val="nil"/>
              <w:left w:val="nil"/>
              <w:bottom w:val="single" w:color="auto" w:sz="4" w:space="0"/>
              <w:right w:val="single" w:color="auto" w:sz="4" w:space="0"/>
            </w:tcBorders>
            <w:noWrap w:val="0"/>
            <w:vAlign w:val="center"/>
          </w:tcPr>
          <w:p w14:paraId="1193092D">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30万余人次</w:t>
            </w:r>
          </w:p>
        </w:tc>
        <w:tc>
          <w:tcPr>
            <w:tcW w:w="716" w:type="dxa"/>
            <w:tcBorders>
              <w:top w:val="nil"/>
              <w:left w:val="nil"/>
              <w:bottom w:val="single" w:color="auto" w:sz="4" w:space="0"/>
              <w:right w:val="single" w:color="auto" w:sz="4" w:space="0"/>
            </w:tcBorders>
            <w:noWrap w:val="0"/>
            <w:vAlign w:val="center"/>
          </w:tcPr>
          <w:p w14:paraId="21DA6213">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14:paraId="693D1602">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14:paraId="361FAC31">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35F7B50">
        <w:tblPrEx>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cBorders>
            <w:noWrap w:val="0"/>
            <w:vAlign w:val="center"/>
          </w:tcPr>
          <w:p w14:paraId="3866F594">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5DDB03CB">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single" w:color="auto" w:sz="4" w:space="0"/>
              <w:left w:val="nil"/>
              <w:right w:val="single" w:color="auto" w:sz="4" w:space="0"/>
            </w:tcBorders>
            <w:noWrap w:val="0"/>
            <w:vAlign w:val="center"/>
          </w:tcPr>
          <w:p w14:paraId="24FBA901">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342" w:type="dxa"/>
            <w:tcBorders>
              <w:top w:val="nil"/>
              <w:left w:val="nil"/>
              <w:bottom w:val="single" w:color="auto" w:sz="4" w:space="0"/>
              <w:right w:val="single" w:color="auto" w:sz="4" w:space="0"/>
            </w:tcBorders>
            <w:noWrap w:val="0"/>
            <w:vAlign w:val="center"/>
          </w:tcPr>
          <w:p w14:paraId="4B5229BF">
            <w:pPr>
              <w:widowControl/>
              <w:spacing w:line="24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守护好一江碧水</w:t>
            </w:r>
          </w:p>
        </w:tc>
        <w:tc>
          <w:tcPr>
            <w:tcW w:w="1239" w:type="dxa"/>
            <w:tcBorders>
              <w:top w:val="nil"/>
              <w:left w:val="nil"/>
              <w:bottom w:val="single" w:color="auto" w:sz="4" w:space="0"/>
              <w:right w:val="single" w:color="auto" w:sz="4" w:space="0"/>
            </w:tcBorders>
            <w:noWrap w:val="0"/>
            <w:vAlign w:val="center"/>
          </w:tcPr>
          <w:p w14:paraId="72D3BCFF">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实际完成情况：2023年全年共开展各项活动67场，每周至少都有一场活动，接待观众30万人次。</w:t>
            </w:r>
          </w:p>
        </w:tc>
        <w:tc>
          <w:tcPr>
            <w:tcW w:w="1269" w:type="dxa"/>
            <w:tcBorders>
              <w:top w:val="nil"/>
              <w:left w:val="nil"/>
              <w:bottom w:val="single" w:color="auto" w:sz="4" w:space="0"/>
              <w:right w:val="single" w:color="auto" w:sz="4" w:space="0"/>
            </w:tcBorders>
            <w:noWrap w:val="0"/>
            <w:vAlign w:val="center"/>
          </w:tcPr>
          <w:p w14:paraId="3EB9BD56">
            <w:pPr>
              <w:widowControl/>
              <w:spacing w:line="240" w:lineRule="exact"/>
              <w:jc w:val="both"/>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美术馆工作人员多次参加国家级、省市级展览。岳阳市美术馆志愿服务分队“守护好一江碧水”美育志愿废物项目荣获湖南省文化和旅游厅2023年度“最佳文旅志愿者服务项目”；岳阳市美术馆的展览海报获得2023年度中国博物馆美术馆百强、十佳海报。</w:t>
            </w:r>
          </w:p>
        </w:tc>
        <w:tc>
          <w:tcPr>
            <w:tcW w:w="716" w:type="dxa"/>
            <w:tcBorders>
              <w:top w:val="nil"/>
              <w:left w:val="nil"/>
              <w:bottom w:val="single" w:color="auto" w:sz="4" w:space="0"/>
              <w:right w:val="single" w:color="auto" w:sz="4" w:space="0"/>
            </w:tcBorders>
            <w:noWrap w:val="0"/>
            <w:vAlign w:val="center"/>
          </w:tcPr>
          <w:p w14:paraId="5300905A">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22D0B26C">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14:paraId="17B9B743">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E594068">
        <w:tblPrEx>
          <w:tblCellMar>
            <w:top w:w="0" w:type="dxa"/>
            <w:left w:w="108" w:type="dxa"/>
            <w:bottom w:w="0" w:type="dxa"/>
            <w:right w:w="108" w:type="dxa"/>
          </w:tblCellMar>
        </w:tblPrEx>
        <w:trPr>
          <w:trHeight w:val="408" w:hRule="atLeast"/>
          <w:jc w:val="center"/>
        </w:trPr>
        <w:tc>
          <w:tcPr>
            <w:tcW w:w="1080" w:type="dxa"/>
            <w:vMerge w:val="continue"/>
            <w:tcBorders>
              <w:left w:val="single" w:color="auto" w:sz="4" w:space="0"/>
              <w:right w:val="single" w:color="auto" w:sz="4" w:space="0"/>
            </w:tcBorders>
            <w:noWrap w:val="0"/>
            <w:vAlign w:val="center"/>
          </w:tcPr>
          <w:p w14:paraId="34829ABE">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4A8CE593">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14:paraId="4C782C13">
            <w:pPr>
              <w:spacing w:line="240" w:lineRule="exact"/>
              <w:jc w:val="center"/>
              <w:rPr>
                <w:rFonts w:hint="eastAsia" w:ascii="仿宋_GB2312" w:hAnsi="仿宋_GB2312" w:eastAsia="仿宋_GB2312" w:cs="仿宋_GB2312"/>
                <w:color w:val="000000"/>
                <w:sz w:val="20"/>
                <w:szCs w:val="20"/>
              </w:rPr>
            </w:pPr>
          </w:p>
        </w:tc>
        <w:tc>
          <w:tcPr>
            <w:tcW w:w="1342" w:type="dxa"/>
            <w:tcBorders>
              <w:top w:val="nil"/>
              <w:left w:val="nil"/>
              <w:bottom w:val="single" w:color="auto" w:sz="4" w:space="0"/>
              <w:right w:val="single" w:color="auto" w:sz="4" w:space="0"/>
            </w:tcBorders>
            <w:noWrap w:val="0"/>
            <w:vAlign w:val="center"/>
          </w:tcPr>
          <w:p w14:paraId="39031E32">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增加志愿者，达到馆校合作双赢，暖心志愿服务</w:t>
            </w:r>
          </w:p>
        </w:tc>
        <w:tc>
          <w:tcPr>
            <w:tcW w:w="1239" w:type="dxa"/>
            <w:tcBorders>
              <w:top w:val="nil"/>
              <w:left w:val="nil"/>
              <w:bottom w:val="single" w:color="auto" w:sz="4" w:space="0"/>
              <w:right w:val="single" w:color="auto" w:sz="4" w:space="0"/>
            </w:tcBorders>
            <w:noWrap w:val="0"/>
            <w:vAlign w:val="center"/>
          </w:tcPr>
          <w:p w14:paraId="7FDF5E40">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新增270人</w:t>
            </w:r>
          </w:p>
        </w:tc>
        <w:tc>
          <w:tcPr>
            <w:tcW w:w="1269" w:type="dxa"/>
            <w:tcBorders>
              <w:top w:val="nil"/>
              <w:left w:val="nil"/>
              <w:bottom w:val="single" w:color="auto" w:sz="4" w:space="0"/>
              <w:right w:val="single" w:color="auto" w:sz="4" w:space="0"/>
            </w:tcBorders>
            <w:noWrap w:val="0"/>
            <w:vAlign w:val="center"/>
          </w:tcPr>
          <w:p w14:paraId="42D9AAE1">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新增330人</w:t>
            </w:r>
          </w:p>
        </w:tc>
        <w:tc>
          <w:tcPr>
            <w:tcW w:w="716" w:type="dxa"/>
            <w:tcBorders>
              <w:top w:val="nil"/>
              <w:left w:val="nil"/>
              <w:bottom w:val="single" w:color="auto" w:sz="4" w:space="0"/>
              <w:right w:val="single" w:color="auto" w:sz="4" w:space="0"/>
            </w:tcBorders>
            <w:noWrap w:val="0"/>
            <w:vAlign w:val="center"/>
          </w:tcPr>
          <w:p w14:paraId="7E4EE6EA">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1E0E4EC2">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14:paraId="368E4148">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9AC7FB3">
        <w:tblPrEx>
          <w:tblCellMar>
            <w:top w:w="0" w:type="dxa"/>
            <w:left w:w="108" w:type="dxa"/>
            <w:bottom w:w="0" w:type="dxa"/>
            <w:right w:w="108" w:type="dxa"/>
          </w:tblCellMar>
        </w:tblPrEx>
        <w:trPr>
          <w:trHeight w:val="492" w:hRule="atLeast"/>
          <w:jc w:val="center"/>
        </w:trPr>
        <w:tc>
          <w:tcPr>
            <w:tcW w:w="1080" w:type="dxa"/>
            <w:vMerge w:val="continue"/>
            <w:tcBorders>
              <w:left w:val="single" w:color="auto" w:sz="4" w:space="0"/>
              <w:right w:val="single" w:color="auto" w:sz="4" w:space="0"/>
            </w:tcBorders>
            <w:noWrap w:val="0"/>
            <w:vAlign w:val="center"/>
          </w:tcPr>
          <w:p w14:paraId="5AD16C0B">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1C85B68E">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right w:val="single" w:color="auto" w:sz="4" w:space="0"/>
            </w:tcBorders>
            <w:noWrap w:val="0"/>
            <w:vAlign w:val="center"/>
          </w:tcPr>
          <w:p w14:paraId="276E2398">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342" w:type="dxa"/>
            <w:tcBorders>
              <w:top w:val="nil"/>
              <w:left w:val="nil"/>
              <w:bottom w:val="single" w:color="auto" w:sz="4" w:space="0"/>
              <w:right w:val="single" w:color="auto" w:sz="4" w:space="0"/>
            </w:tcBorders>
            <w:noWrap w:val="0"/>
            <w:vAlign w:val="center"/>
          </w:tcPr>
          <w:p w14:paraId="38726D28">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目标任务完成及时率达到100%</w:t>
            </w:r>
          </w:p>
        </w:tc>
        <w:tc>
          <w:tcPr>
            <w:tcW w:w="1239" w:type="dxa"/>
            <w:tcBorders>
              <w:top w:val="nil"/>
              <w:left w:val="nil"/>
              <w:bottom w:val="single" w:color="auto" w:sz="4" w:space="0"/>
              <w:right w:val="single" w:color="auto" w:sz="4" w:space="0"/>
            </w:tcBorders>
            <w:noWrap w:val="0"/>
            <w:vAlign w:val="center"/>
          </w:tcPr>
          <w:p w14:paraId="4CBD2D95">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14:paraId="39A6C944">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14:paraId="03EEC73A">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7FACF0AA">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14:paraId="6EA7D68C">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E48AF14">
        <w:tblPrEx>
          <w:tblCellMar>
            <w:top w:w="0" w:type="dxa"/>
            <w:left w:w="108" w:type="dxa"/>
            <w:bottom w:w="0" w:type="dxa"/>
            <w:right w:w="108" w:type="dxa"/>
          </w:tblCellMar>
        </w:tblPrEx>
        <w:trPr>
          <w:trHeight w:val="467" w:hRule="atLeast"/>
          <w:jc w:val="center"/>
        </w:trPr>
        <w:tc>
          <w:tcPr>
            <w:tcW w:w="1080" w:type="dxa"/>
            <w:vMerge w:val="continue"/>
            <w:tcBorders>
              <w:left w:val="single" w:color="auto" w:sz="4" w:space="0"/>
              <w:right w:val="single" w:color="auto" w:sz="4" w:space="0"/>
            </w:tcBorders>
            <w:noWrap w:val="0"/>
            <w:vAlign w:val="center"/>
          </w:tcPr>
          <w:p w14:paraId="5CC31778">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515CB317">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right w:val="single" w:color="auto" w:sz="4" w:space="0"/>
            </w:tcBorders>
            <w:noWrap w:val="0"/>
            <w:vAlign w:val="center"/>
          </w:tcPr>
          <w:p w14:paraId="697F8FA5">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342" w:type="dxa"/>
            <w:tcBorders>
              <w:top w:val="nil"/>
              <w:left w:val="nil"/>
              <w:bottom w:val="single" w:color="auto" w:sz="4" w:space="0"/>
              <w:right w:val="single" w:color="auto" w:sz="4" w:space="0"/>
            </w:tcBorders>
            <w:noWrap w:val="0"/>
            <w:vAlign w:val="center"/>
          </w:tcPr>
          <w:p w14:paraId="499809D9">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预算成本控制≤</w:t>
            </w:r>
            <w:r>
              <w:rPr>
                <w:rFonts w:hint="eastAsia" w:ascii="仿宋_GB2312" w:hAnsi="仿宋_GB2312" w:eastAsia="仿宋_GB2312" w:cs="仿宋_GB2312"/>
                <w:color w:val="000000"/>
                <w:sz w:val="20"/>
                <w:szCs w:val="20"/>
                <w:highlight w:val="none"/>
                <w:lang w:val="en-US" w:eastAsia="zh-CN"/>
              </w:rPr>
              <w:t>243.83</w:t>
            </w:r>
            <w:r>
              <w:rPr>
                <w:rFonts w:hint="eastAsia" w:ascii="仿宋_GB2312" w:hAnsi="仿宋_GB2312" w:eastAsia="仿宋_GB2312" w:cs="仿宋_GB2312"/>
                <w:color w:val="000000"/>
                <w:sz w:val="20"/>
                <w:szCs w:val="20"/>
                <w:lang w:val="en-US" w:eastAsia="zh-CN"/>
              </w:rPr>
              <w:t>万</w:t>
            </w:r>
          </w:p>
        </w:tc>
        <w:tc>
          <w:tcPr>
            <w:tcW w:w="1239" w:type="dxa"/>
            <w:tcBorders>
              <w:top w:val="nil"/>
              <w:left w:val="nil"/>
              <w:bottom w:val="single" w:color="auto" w:sz="4" w:space="0"/>
              <w:right w:val="single" w:color="auto" w:sz="4" w:space="0"/>
            </w:tcBorders>
            <w:noWrap w:val="0"/>
            <w:vAlign w:val="center"/>
          </w:tcPr>
          <w:p w14:paraId="4436D454">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w:t>
            </w:r>
            <w:r>
              <w:rPr>
                <w:rFonts w:hint="eastAsia" w:ascii="仿宋_GB2312" w:hAnsi="仿宋_GB2312" w:eastAsia="仿宋_GB2312" w:cs="仿宋_GB2312"/>
                <w:color w:val="000000"/>
                <w:sz w:val="20"/>
                <w:szCs w:val="20"/>
                <w:highlight w:val="none"/>
                <w:lang w:val="en-US" w:eastAsia="zh-CN"/>
              </w:rPr>
              <w:t>243.83</w:t>
            </w: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14:paraId="40FE99AE">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sz w:val="20"/>
                <w:szCs w:val="20"/>
                <w:lang w:val="en-US" w:eastAsia="zh-CN"/>
              </w:rPr>
              <w:t>243.82</w:t>
            </w:r>
          </w:p>
        </w:tc>
        <w:tc>
          <w:tcPr>
            <w:tcW w:w="716" w:type="dxa"/>
            <w:tcBorders>
              <w:top w:val="nil"/>
              <w:left w:val="nil"/>
              <w:bottom w:val="single" w:color="auto" w:sz="4" w:space="0"/>
              <w:right w:val="single" w:color="auto" w:sz="4" w:space="0"/>
            </w:tcBorders>
            <w:noWrap w:val="0"/>
            <w:vAlign w:val="center"/>
          </w:tcPr>
          <w:p w14:paraId="282BADE9">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0753254F">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14:paraId="257B214A">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F5C937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8E7E54C">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14:paraId="6E5C82AB">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5378DABF">
            <w:pPr>
              <w:widowControl/>
              <w:spacing w:line="240" w:lineRule="exact"/>
              <w:jc w:val="left"/>
              <w:rPr>
                <w:rFonts w:hint="eastAsia" w:ascii="仿宋_GB2312" w:hAnsi="仿宋_GB2312" w:eastAsia="仿宋_GB2312" w:cs="仿宋_GB2312"/>
                <w:color w:val="000000"/>
                <w:sz w:val="20"/>
                <w:szCs w:val="20"/>
              </w:rPr>
            </w:pPr>
          </w:p>
          <w:p w14:paraId="3069F224">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440DE324">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single" w:color="auto" w:sz="4" w:space="0"/>
              <w:left w:val="nil"/>
              <w:bottom w:val="single" w:color="auto" w:sz="4" w:space="0"/>
              <w:right w:val="single" w:color="auto" w:sz="4" w:space="0"/>
            </w:tcBorders>
            <w:noWrap w:val="0"/>
            <w:vAlign w:val="center"/>
          </w:tcPr>
          <w:p w14:paraId="2B86824F">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74AD3D00">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42" w:type="dxa"/>
            <w:tcBorders>
              <w:top w:val="nil"/>
              <w:left w:val="nil"/>
              <w:bottom w:val="single" w:color="auto" w:sz="4" w:space="0"/>
              <w:right w:val="single" w:color="auto" w:sz="4" w:space="0"/>
            </w:tcBorders>
            <w:noWrap w:val="0"/>
            <w:vAlign w:val="center"/>
          </w:tcPr>
          <w:p w14:paraId="7B6171EB">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免费参观，吸引更多的人走进美术馆参观打卡</w:t>
            </w:r>
          </w:p>
        </w:tc>
        <w:tc>
          <w:tcPr>
            <w:tcW w:w="1239" w:type="dxa"/>
            <w:tcBorders>
              <w:top w:val="nil"/>
              <w:left w:val="nil"/>
              <w:bottom w:val="single" w:color="auto" w:sz="4" w:space="0"/>
              <w:right w:val="single" w:color="auto" w:sz="4" w:space="0"/>
            </w:tcBorders>
            <w:noWrap w:val="0"/>
            <w:vAlign w:val="center"/>
          </w:tcPr>
          <w:p w14:paraId="489847D2">
            <w:pPr>
              <w:widowControl/>
              <w:spacing w:line="240" w:lineRule="exact"/>
              <w:ind w:firstLine="200" w:firstLineChars="1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较2022年有所增加</w:t>
            </w:r>
          </w:p>
        </w:tc>
        <w:tc>
          <w:tcPr>
            <w:tcW w:w="1269" w:type="dxa"/>
            <w:tcBorders>
              <w:top w:val="nil"/>
              <w:left w:val="nil"/>
              <w:bottom w:val="single" w:color="auto" w:sz="4" w:space="0"/>
              <w:right w:val="single" w:color="auto" w:sz="4" w:space="0"/>
            </w:tcBorders>
            <w:noWrap w:val="0"/>
            <w:vAlign w:val="center"/>
          </w:tcPr>
          <w:p w14:paraId="33837C98">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达到效果</w:t>
            </w:r>
          </w:p>
        </w:tc>
        <w:tc>
          <w:tcPr>
            <w:tcW w:w="716" w:type="dxa"/>
            <w:tcBorders>
              <w:top w:val="nil"/>
              <w:left w:val="nil"/>
              <w:bottom w:val="single" w:color="auto" w:sz="4" w:space="0"/>
              <w:right w:val="single" w:color="auto" w:sz="4" w:space="0"/>
            </w:tcBorders>
            <w:noWrap w:val="0"/>
            <w:vAlign w:val="center"/>
          </w:tcPr>
          <w:p w14:paraId="03D628CF">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05B1FC26">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14:paraId="1E547394">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45C76E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ACD64E9">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372D26C0">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14:paraId="5D8C8896">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生态</w:t>
            </w:r>
            <w:r>
              <w:rPr>
                <w:rFonts w:hint="eastAsia" w:ascii="仿宋_GB2312" w:hAnsi="仿宋_GB2312" w:eastAsia="仿宋_GB2312" w:cs="仿宋_GB2312"/>
                <w:color w:val="000000"/>
                <w:sz w:val="20"/>
                <w:szCs w:val="20"/>
              </w:rPr>
              <w:t>效</w:t>
            </w:r>
          </w:p>
          <w:p w14:paraId="39152D9B">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42" w:type="dxa"/>
            <w:tcBorders>
              <w:top w:val="nil"/>
              <w:left w:val="nil"/>
              <w:bottom w:val="single" w:color="auto" w:sz="4" w:space="0"/>
              <w:right w:val="single" w:color="auto" w:sz="4" w:space="0"/>
            </w:tcBorders>
            <w:noWrap w:val="0"/>
            <w:vAlign w:val="center"/>
          </w:tcPr>
          <w:p w14:paraId="5DCD7323">
            <w:pPr>
              <w:widowControl/>
              <w:spacing w:line="240" w:lineRule="exact"/>
              <w:jc w:val="left"/>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岳阳具有深厚的湖湘文化历史底蕴，有效地深耕洞庭湖元素，用摄影的手法展现生态环境，让更多的人爱护洞庭湖</w:t>
            </w:r>
          </w:p>
        </w:tc>
        <w:tc>
          <w:tcPr>
            <w:tcW w:w="1239" w:type="dxa"/>
            <w:tcBorders>
              <w:top w:val="nil"/>
              <w:left w:val="nil"/>
              <w:bottom w:val="single" w:color="auto" w:sz="4" w:space="0"/>
              <w:right w:val="single" w:color="auto" w:sz="4" w:space="0"/>
            </w:tcBorders>
            <w:noWrap w:val="0"/>
            <w:vAlign w:val="center"/>
          </w:tcPr>
          <w:p w14:paraId="421B441E">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较2022年有所提高</w:t>
            </w:r>
          </w:p>
        </w:tc>
        <w:tc>
          <w:tcPr>
            <w:tcW w:w="1269" w:type="dxa"/>
            <w:tcBorders>
              <w:top w:val="nil"/>
              <w:left w:val="nil"/>
              <w:bottom w:val="single" w:color="auto" w:sz="4" w:space="0"/>
              <w:right w:val="single" w:color="auto" w:sz="4" w:space="0"/>
            </w:tcBorders>
            <w:noWrap w:val="0"/>
            <w:vAlign w:val="center"/>
          </w:tcPr>
          <w:p w14:paraId="1AB554AE">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达到效果</w:t>
            </w:r>
          </w:p>
        </w:tc>
        <w:tc>
          <w:tcPr>
            <w:tcW w:w="716" w:type="dxa"/>
            <w:tcBorders>
              <w:top w:val="nil"/>
              <w:left w:val="nil"/>
              <w:bottom w:val="single" w:color="auto" w:sz="4" w:space="0"/>
              <w:right w:val="single" w:color="auto" w:sz="4" w:space="0"/>
            </w:tcBorders>
            <w:noWrap w:val="0"/>
            <w:vAlign w:val="center"/>
          </w:tcPr>
          <w:p w14:paraId="61C55339">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7008CB6F">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14:paraId="73038BFD">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589F034">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14:paraId="3635FBE1">
            <w:pPr>
              <w:widowControl/>
              <w:spacing w:line="240" w:lineRule="exact"/>
              <w:jc w:val="center"/>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14:paraId="752C92CD">
            <w:pPr>
              <w:widowControl/>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8462463">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67033EC">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公共教育部一直积极挖掘本土人文资源，邀请艺术家和艺术爱好者进行经验分享和学术交流，深入贯彻党的方针政策，逐步扩大美术馆在行业的影响力</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6795C5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06A2EC7">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达到效果</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77F5CFD">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FBAE35">
            <w:pPr>
              <w:widowControl/>
              <w:spacing w:line="240" w:lineRule="exact"/>
              <w:ind w:firstLine="200" w:firstLineChars="1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w:t>
            </w:r>
            <w:r>
              <w:rPr>
                <w:rFonts w:hint="eastAsia" w:ascii="仿宋_GB2312" w:hAnsi="仿宋_GB2312" w:eastAsia="仿宋_GB2312" w:cs="仿宋_GB2312"/>
                <w:color w:val="000000"/>
                <w:sz w:val="20"/>
                <w:szCs w:val="20"/>
              </w:rPr>
              <w:t>　</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E9B2AEF">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E00842C">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14:paraId="272441E1">
            <w:pPr>
              <w:spacing w:line="24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14:paraId="14736049">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353DA2A0">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05C24ED2">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0分）</w:t>
            </w:r>
          </w:p>
        </w:tc>
        <w:tc>
          <w:tcPr>
            <w:tcW w:w="1034" w:type="dxa"/>
            <w:tcBorders>
              <w:top w:val="single" w:color="auto" w:sz="4" w:space="0"/>
              <w:left w:val="nil"/>
              <w:bottom w:val="single" w:color="auto" w:sz="4" w:space="0"/>
              <w:right w:val="single" w:color="auto" w:sz="4" w:space="0"/>
            </w:tcBorders>
            <w:noWrap w:val="0"/>
            <w:vAlign w:val="center"/>
          </w:tcPr>
          <w:p w14:paraId="6A1FF4C0">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342" w:type="dxa"/>
            <w:tcBorders>
              <w:top w:val="nil"/>
              <w:left w:val="nil"/>
              <w:bottom w:val="single" w:color="auto" w:sz="4" w:space="0"/>
              <w:right w:val="single" w:color="auto" w:sz="4" w:space="0"/>
            </w:tcBorders>
            <w:noWrap w:val="0"/>
            <w:vAlign w:val="center"/>
          </w:tcPr>
          <w:p w14:paraId="7D98822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社会公众满意度≥90%</w:t>
            </w:r>
          </w:p>
        </w:tc>
        <w:tc>
          <w:tcPr>
            <w:tcW w:w="1239" w:type="dxa"/>
            <w:tcBorders>
              <w:top w:val="nil"/>
              <w:left w:val="nil"/>
              <w:bottom w:val="single" w:color="auto" w:sz="4" w:space="0"/>
              <w:right w:val="single" w:color="auto" w:sz="4" w:space="0"/>
            </w:tcBorders>
            <w:noWrap w:val="0"/>
            <w:vAlign w:val="center"/>
          </w:tcPr>
          <w:p w14:paraId="2AD16529">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90%</w:t>
            </w:r>
          </w:p>
        </w:tc>
        <w:tc>
          <w:tcPr>
            <w:tcW w:w="1269" w:type="dxa"/>
            <w:tcBorders>
              <w:top w:val="nil"/>
              <w:left w:val="nil"/>
              <w:bottom w:val="single" w:color="auto" w:sz="4" w:space="0"/>
              <w:right w:val="single" w:color="auto" w:sz="4" w:space="0"/>
            </w:tcBorders>
            <w:noWrap w:val="0"/>
            <w:vAlign w:val="center"/>
          </w:tcPr>
          <w:p w14:paraId="2C5E1EF8">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716" w:type="dxa"/>
            <w:tcBorders>
              <w:top w:val="nil"/>
              <w:left w:val="nil"/>
              <w:bottom w:val="single" w:color="auto" w:sz="4" w:space="0"/>
              <w:right w:val="single" w:color="auto" w:sz="4" w:space="0"/>
            </w:tcBorders>
            <w:noWrap w:val="0"/>
            <w:vAlign w:val="center"/>
          </w:tcPr>
          <w:p w14:paraId="71FFB8B1">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73" w:type="dxa"/>
            <w:tcBorders>
              <w:top w:val="nil"/>
              <w:left w:val="nil"/>
              <w:bottom w:val="single" w:color="auto" w:sz="4" w:space="0"/>
              <w:right w:val="single" w:color="auto" w:sz="4" w:space="0"/>
            </w:tcBorders>
            <w:noWrap w:val="0"/>
            <w:vAlign w:val="center"/>
          </w:tcPr>
          <w:p w14:paraId="23948B0A">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18</w:t>
            </w:r>
          </w:p>
        </w:tc>
        <w:tc>
          <w:tcPr>
            <w:tcW w:w="1446" w:type="dxa"/>
            <w:tcBorders>
              <w:top w:val="nil"/>
              <w:left w:val="nil"/>
              <w:bottom w:val="single" w:color="auto" w:sz="4" w:space="0"/>
              <w:right w:val="single" w:color="auto" w:sz="4" w:space="0"/>
            </w:tcBorders>
            <w:noWrap w:val="0"/>
            <w:vAlign w:val="center"/>
          </w:tcPr>
          <w:p w14:paraId="0790FD47">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活动策划宣传力度不够</w:t>
            </w:r>
          </w:p>
        </w:tc>
      </w:tr>
      <w:tr w14:paraId="0564AB50">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14:paraId="5B70B496">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noWrap w:val="0"/>
            <w:vAlign w:val="center"/>
          </w:tcPr>
          <w:p w14:paraId="0B9D4C6C">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01141922">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446" w:type="dxa"/>
            <w:tcBorders>
              <w:top w:val="nil"/>
              <w:left w:val="nil"/>
              <w:bottom w:val="single" w:color="auto" w:sz="4" w:space="0"/>
              <w:right w:val="single" w:color="auto" w:sz="4" w:space="0"/>
            </w:tcBorders>
            <w:noWrap w:val="0"/>
            <w:vAlign w:val="center"/>
          </w:tcPr>
          <w:p w14:paraId="12CAD94D">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5C9311B5">
      <w:pPr>
        <w:rPr>
          <w:rFonts w:hint="default" w:ascii="Times New Roman" w:hAnsi="Times New Roman" w:eastAsia="仿宋_GB2312" w:cs="Times New Roman"/>
          <w:sz w:val="22"/>
          <w:szCs w:val="22"/>
        </w:rPr>
      </w:pPr>
    </w:p>
    <w:p w14:paraId="4CB4F390">
      <w:pPr>
        <w:rPr>
          <w:rFonts w:hint="default" w:ascii="Times New Roman" w:hAnsi="Times New Roman" w:eastAsia="仿宋_GB2312" w:cs="Times New Roman"/>
          <w:sz w:val="22"/>
          <w:szCs w:val="22"/>
        </w:rPr>
      </w:pPr>
    </w:p>
    <w:p w14:paraId="7662E18B">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val="en-US" w:eastAsia="zh-CN"/>
        </w:rPr>
        <w:t>王蒙黎</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2024-6-25</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13507309490</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p>
    <w:p w14:paraId="4B088530">
      <w:pPr>
        <w:jc w:val="center"/>
        <w:rPr>
          <w:rFonts w:hint="eastAsia" w:ascii="方正小标宋简体" w:hAnsi="方正小标宋简体" w:eastAsia="方正小标宋简体" w:cs="方正小标宋简体"/>
          <w:sz w:val="44"/>
          <w:szCs w:val="44"/>
        </w:rPr>
      </w:pPr>
    </w:p>
    <w:p w14:paraId="51CEA434">
      <w:pPr>
        <w:jc w:val="center"/>
        <w:rPr>
          <w:rFonts w:hint="eastAsia" w:ascii="方正小标宋简体" w:hAnsi="方正小标宋简体" w:eastAsia="方正小标宋简体" w:cs="方正小标宋简体"/>
          <w:sz w:val="44"/>
          <w:szCs w:val="44"/>
        </w:rPr>
      </w:pPr>
    </w:p>
    <w:p w14:paraId="4E90A041">
      <w:pPr>
        <w:jc w:val="center"/>
        <w:rPr>
          <w:rFonts w:hint="eastAsia" w:ascii="方正小标宋简体" w:hAnsi="方正小标宋简体" w:eastAsia="方正小标宋简体" w:cs="方正小标宋简体"/>
          <w:sz w:val="44"/>
          <w:szCs w:val="44"/>
        </w:rPr>
      </w:pPr>
    </w:p>
    <w:p w14:paraId="5CC70CA1">
      <w:pPr>
        <w:jc w:val="center"/>
        <w:rPr>
          <w:rFonts w:hint="eastAsia" w:ascii="方正小标宋简体" w:hAnsi="方正小标宋简体" w:eastAsia="方正小标宋简体" w:cs="方正小标宋简体"/>
          <w:sz w:val="44"/>
          <w:szCs w:val="44"/>
        </w:rPr>
      </w:pPr>
    </w:p>
    <w:p w14:paraId="6B057B94">
      <w:pPr>
        <w:jc w:val="both"/>
        <w:rPr>
          <w:rFonts w:hint="eastAsia" w:ascii="方正小标宋简体" w:hAnsi="方正小标宋简体" w:eastAsia="方正小标宋简体" w:cs="方正小标宋简体"/>
          <w:sz w:val="44"/>
          <w:szCs w:val="44"/>
        </w:rPr>
      </w:pPr>
      <w:r>
        <w:rPr>
          <w:rFonts w:hint="eastAsia" w:eastAsiaTheme="minorEastAsia"/>
          <w:lang w:eastAsia="zh-CN"/>
        </w:rPr>
        <w:object>
          <v:shape id="_x0000_i1027" o:spt="75" type="#_x0000_t75" style="height:694.5pt;width:494.25pt;" o:ole="t" filled="f" o:preferrelative="t" stroked="f" coordsize="21600,21600">
            <v:path/>
            <v:fill on="f" focussize="0,0"/>
            <v:stroke on="f"/>
            <v:imagedata r:id="rId5" o:title=""/>
            <o:lock v:ext="edit" aspectratio="t"/>
            <w10:wrap type="none"/>
            <w10:anchorlock/>
          </v:shape>
          <o:OLEObject Type="Embed" ProgID="Word.Document.12" ShapeID="_x0000_i1027" DrawAspect="Content" ObjectID="_1468075725" r:id="rId4">
            <o:LockedField>false</o:LockedField>
          </o:OLEObject>
        </w:object>
      </w:r>
      <w:r>
        <w:rPr>
          <w:rFonts w:hint="eastAsia" w:eastAsiaTheme="minorEastAsia"/>
          <w:lang w:val="en-US" w:eastAsia="zh-CN"/>
        </w:rPr>
        <w:t xml:space="preserve"> </w:t>
      </w:r>
      <w:bookmarkStart w:id="0" w:name="_GoBack"/>
      <w:bookmarkEnd w:id="0"/>
      <w:r>
        <w:rPr>
          <w:rFonts w:hint="eastAsia" w:eastAsiaTheme="minorEastAsia"/>
          <w:lang w:eastAsia="zh-CN"/>
        </w:rPr>
        <w:object>
          <v:shape id="_x0000_i1026" o:spt="75" type="#_x0000_t75" style="height:799.5pt;width:466.5pt;" o:ole="t" filled="f" o:preferrelative="t" stroked="f" coordsize="21600,21600">
            <v:path/>
            <v:fill on="f" focussize="0,0"/>
            <v:stroke on="f"/>
            <v:imagedata r:id="rId7" o:title=""/>
            <o:lock v:ext="edit" aspectratio="t"/>
            <w10:wrap type="none"/>
            <w10:anchorlock/>
          </v:shape>
          <o:OLEObject Type="Embed" ProgID="Word.Document.12" ShapeID="_x0000_i1026" DrawAspect="Content" ObjectID="_1468075726" r:id="rId6">
            <o:LockedField>false</o:LockedField>
          </o:OLEObject>
        </w:objec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年度岳阳市美术馆整体支出</w:t>
      </w:r>
    </w:p>
    <w:p w14:paraId="3EA2EA1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14:paraId="4AF7EC4A">
      <w:pPr>
        <w:keepNext w:val="0"/>
        <w:keepLines w:val="0"/>
        <w:pageBreakBefore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sz w:val="32"/>
          <w:szCs w:val="32"/>
        </w:rPr>
      </w:pPr>
    </w:p>
    <w:p w14:paraId="528C4A38">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14:paraId="614FA376">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14:paraId="1139997C">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岳阳市</w:t>
      </w:r>
      <w:r>
        <w:rPr>
          <w:rFonts w:hint="eastAsia" w:ascii="仿宋_GB2312" w:hAnsi="仿宋_GB2312" w:eastAsia="仿宋_GB2312" w:cs="仿宋_GB2312"/>
          <w:bCs/>
          <w:sz w:val="28"/>
          <w:szCs w:val="28"/>
          <w:lang w:val="en-US" w:eastAsia="zh-CN"/>
        </w:rPr>
        <w:t>美术馆于2017年元月纳入财政独立核算单位。</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年</w:t>
      </w:r>
      <w:r>
        <w:rPr>
          <w:rFonts w:ascii="仿宋_GB2312" w:hAnsi="仿宋_GB2312" w:eastAsia="仿宋_GB2312" w:cs="仿宋_GB2312"/>
          <w:bCs/>
          <w:sz w:val="28"/>
          <w:szCs w:val="28"/>
        </w:rPr>
        <w:t>12</w:t>
      </w:r>
      <w:r>
        <w:rPr>
          <w:rFonts w:hint="eastAsia" w:ascii="仿宋_GB2312" w:hAnsi="仿宋_GB2312" w:eastAsia="仿宋_GB2312" w:cs="仿宋_GB2312"/>
          <w:bCs/>
          <w:sz w:val="28"/>
          <w:szCs w:val="28"/>
        </w:rPr>
        <w:t>月</w:t>
      </w:r>
      <w:r>
        <w:rPr>
          <w:rFonts w:ascii="仿宋_GB2312" w:hAnsi="仿宋_GB2312" w:eastAsia="仿宋_GB2312" w:cs="仿宋_GB2312"/>
          <w:bCs/>
          <w:sz w:val="28"/>
          <w:szCs w:val="28"/>
        </w:rPr>
        <w:t>31</w:t>
      </w:r>
      <w:r>
        <w:rPr>
          <w:rFonts w:hint="eastAsia" w:ascii="仿宋_GB2312" w:hAnsi="仿宋_GB2312" w:eastAsia="仿宋_GB2312" w:cs="仿宋_GB2312"/>
          <w:bCs/>
          <w:sz w:val="28"/>
          <w:szCs w:val="28"/>
        </w:rPr>
        <w:t>日，实际在编在岗干部职工共有</w:t>
      </w:r>
      <w:r>
        <w:rPr>
          <w:rFonts w:hint="eastAsia" w:ascii="仿宋_GB2312" w:hAnsi="仿宋_GB2312" w:eastAsia="仿宋_GB2312" w:cs="仿宋_GB2312"/>
          <w:bCs/>
          <w:sz w:val="28"/>
          <w:szCs w:val="28"/>
          <w:lang w:val="en-US" w:eastAsia="zh-CN"/>
        </w:rPr>
        <w:t>14</w:t>
      </w:r>
      <w:r>
        <w:rPr>
          <w:rFonts w:hint="eastAsia" w:ascii="仿宋_GB2312" w:hAnsi="仿宋_GB2312" w:eastAsia="仿宋_GB2312" w:cs="仿宋_GB2312"/>
          <w:bCs/>
          <w:sz w:val="28"/>
          <w:szCs w:val="28"/>
        </w:rPr>
        <w:t>人，其中：事业编</w:t>
      </w:r>
      <w:r>
        <w:rPr>
          <w:rFonts w:hint="eastAsia" w:ascii="仿宋_GB2312" w:hAnsi="仿宋_GB2312" w:eastAsia="仿宋_GB2312" w:cs="仿宋_GB2312"/>
          <w:bCs/>
          <w:sz w:val="28"/>
          <w:szCs w:val="28"/>
          <w:lang w:val="en-US" w:eastAsia="zh-CN"/>
        </w:rPr>
        <w:t>11</w:t>
      </w:r>
      <w:r>
        <w:rPr>
          <w:rFonts w:hint="eastAsia" w:ascii="仿宋_GB2312" w:hAnsi="仿宋_GB2312" w:eastAsia="仿宋_GB2312" w:cs="仿宋_GB2312"/>
          <w:bCs/>
          <w:sz w:val="28"/>
          <w:szCs w:val="28"/>
        </w:rPr>
        <w:t>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工勤编3人</w:t>
      </w:r>
      <w:r>
        <w:rPr>
          <w:rFonts w:hint="eastAsia" w:ascii="仿宋_GB2312" w:hAnsi="仿宋_GB2312" w:eastAsia="仿宋_GB2312" w:cs="仿宋_GB2312"/>
          <w:bCs/>
          <w:sz w:val="28"/>
          <w:szCs w:val="28"/>
        </w:rPr>
        <w:t>。</w:t>
      </w:r>
    </w:p>
    <w:p w14:paraId="468FBA82">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highlight w:val="none"/>
        </w:rPr>
        <w:t>（二）部门（单位）整体支出规模、使用方向和主要内容、涉及范围等</w:t>
      </w:r>
    </w:p>
    <w:p w14:paraId="2C8F225E">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本单位预算收入</w:t>
      </w:r>
      <w:r>
        <w:rPr>
          <w:rFonts w:hint="eastAsia" w:ascii="仿宋_GB2312" w:hAnsi="仿宋_GB2312" w:eastAsia="仿宋_GB2312" w:cs="仿宋_GB2312"/>
          <w:bCs/>
          <w:sz w:val="28"/>
          <w:szCs w:val="28"/>
          <w:lang w:val="en-US" w:eastAsia="zh-CN"/>
        </w:rPr>
        <w:t>335.01</w:t>
      </w:r>
      <w:r>
        <w:rPr>
          <w:rFonts w:ascii="仿宋_GB2312" w:hAnsi="仿宋_GB2312" w:eastAsia="仿宋_GB2312" w:cs="仿宋_GB2312"/>
          <w:bCs/>
          <w:sz w:val="28"/>
          <w:szCs w:val="28"/>
        </w:rPr>
        <w:t>万元，其中</w:t>
      </w:r>
      <w:r>
        <w:rPr>
          <w:rFonts w:hint="eastAsia" w:ascii="仿宋_GB2312" w:hAnsi="仿宋_GB2312" w:eastAsia="仿宋_GB2312" w:cs="仿宋_GB2312"/>
          <w:bCs/>
          <w:sz w:val="28"/>
          <w:szCs w:val="28"/>
        </w:rPr>
        <w:t>公共财政拨款</w:t>
      </w:r>
      <w:r>
        <w:rPr>
          <w:rFonts w:hint="eastAsia" w:ascii="仿宋_GB2312" w:hAnsi="仿宋_GB2312" w:eastAsia="仿宋_GB2312" w:cs="仿宋_GB2312"/>
          <w:bCs/>
          <w:sz w:val="28"/>
          <w:szCs w:val="28"/>
          <w:lang w:val="en-US" w:eastAsia="zh-CN"/>
        </w:rPr>
        <w:t>334.14</w:t>
      </w:r>
      <w:r>
        <w:rPr>
          <w:rFonts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其他收入0.86万元</w:t>
      </w:r>
      <w:r>
        <w:rPr>
          <w:rFonts w:hint="eastAsia" w:ascii="仿宋_GB2312" w:hAnsi="仿宋_GB2312" w:eastAsia="仿宋_GB2312" w:cs="仿宋_GB2312"/>
          <w:bCs/>
          <w:sz w:val="28"/>
          <w:szCs w:val="28"/>
        </w:rPr>
        <w:t>，政府性基金预算拨款0万元，国有资本经营预算拨款0万元，纳入专户管理的非税收入0万元，上级补助收入0万元，事业单位经营收入0万元。</w:t>
      </w:r>
    </w:p>
    <w:p w14:paraId="1AD75F1E">
      <w:pPr>
        <w:spacing w:line="560" w:lineRule="exact"/>
        <w:ind w:firstLine="560" w:firstLineChars="200"/>
        <w:rPr>
          <w:rFonts w:hint="default" w:ascii="Times New Roman" w:hAnsi="Times New Roman" w:eastAsia="黑体" w:cs="Times New Roman"/>
          <w:sz w:val="32"/>
          <w:szCs w:val="32"/>
        </w:rPr>
      </w:pPr>
      <w:r>
        <w:rPr>
          <w:rFonts w:hint="eastAsia" w:ascii="仿宋_GB2312" w:hAnsi="仿宋_GB2312" w:eastAsia="仿宋_GB2312" w:cs="仿宋_GB2312"/>
          <w:bCs/>
          <w:sz w:val="28"/>
          <w:szCs w:val="28"/>
        </w:rPr>
        <w:t>2、</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年支出</w:t>
      </w:r>
      <w:r>
        <w:rPr>
          <w:rFonts w:hint="eastAsia" w:ascii="仿宋_GB2312" w:hAnsi="仿宋_GB2312" w:eastAsia="仿宋_GB2312" w:cs="仿宋_GB2312"/>
          <w:bCs/>
          <w:sz w:val="28"/>
          <w:szCs w:val="28"/>
          <w:lang w:val="en-US" w:eastAsia="zh-CN"/>
        </w:rPr>
        <w:t>335.01</w:t>
      </w:r>
      <w:r>
        <w:rPr>
          <w:rFonts w:hint="eastAsia" w:ascii="仿宋_GB2312" w:hAnsi="仿宋_GB2312" w:eastAsia="仿宋_GB2312" w:cs="仿宋_GB2312"/>
          <w:bCs/>
          <w:sz w:val="28"/>
          <w:szCs w:val="28"/>
        </w:rPr>
        <w:t>万元，其中，一般公共服务</w:t>
      </w:r>
      <w:r>
        <w:rPr>
          <w:rFonts w:hint="eastAsia" w:ascii="仿宋_GB2312" w:hAnsi="仿宋_GB2312" w:eastAsia="仿宋_GB2312" w:cs="仿宋_GB2312"/>
          <w:bCs/>
          <w:sz w:val="28"/>
          <w:szCs w:val="28"/>
          <w:lang w:val="en-US" w:eastAsia="zh-CN"/>
        </w:rPr>
        <w:t>支出0</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val="en-US" w:eastAsia="zh-CN"/>
        </w:rPr>
        <w:t>文化旅游体育与传媒支出335.01万元，社会保障和就业支出0万元，其他支出0.00万元，结余0万元。</w:t>
      </w:r>
    </w:p>
    <w:p w14:paraId="02B6CA2A">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14:paraId="6E398F29">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14:paraId="364ADA0C">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w:t>
      </w:r>
      <w:r>
        <w:rPr>
          <w:rFonts w:hint="eastAsia" w:ascii="仿宋_GB2312" w:hAnsi="仿宋_GB2312" w:eastAsia="仿宋_GB2312" w:cs="仿宋_GB2312"/>
          <w:bCs/>
          <w:sz w:val="28"/>
          <w:szCs w:val="28"/>
          <w:lang w:eastAsia="zh-CN"/>
        </w:rPr>
        <w:t>202</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highlight w:val="none"/>
          <w:lang w:val="en-US" w:eastAsia="zh-CN"/>
        </w:rPr>
        <w:t>基本支出182.27万元，</w:t>
      </w:r>
      <w:r>
        <w:rPr>
          <w:rFonts w:hint="eastAsia" w:ascii="仿宋_GB2312" w:hAnsi="仿宋_GB2312" w:eastAsia="仿宋_GB2312" w:cs="仿宋_GB2312"/>
          <w:bCs/>
          <w:sz w:val="28"/>
          <w:szCs w:val="28"/>
        </w:rPr>
        <w:t>基本支出是为保障单位机构正常运转、完成日常工作任务而发生的各项支出，包括用于基本工资、津贴补贴等人员经费以及办公费、印刷费、水电费、差旅费等日常公用经费。</w:t>
      </w:r>
    </w:p>
    <w:p w14:paraId="4D062666">
      <w:pPr>
        <w:numPr>
          <w:ilvl w:val="0"/>
          <w:numId w:val="2"/>
        </w:numPr>
        <w:spacing w:line="5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项目</w:t>
      </w:r>
      <w:r>
        <w:rPr>
          <w:rFonts w:hint="eastAsia" w:ascii="仿宋_GB2312" w:hAnsi="仿宋_GB2312" w:eastAsia="仿宋_GB2312" w:cs="仿宋_GB2312"/>
          <w:bCs/>
          <w:sz w:val="28"/>
          <w:szCs w:val="28"/>
          <w:highlight w:val="none"/>
        </w:rPr>
        <w:t>支出</w:t>
      </w:r>
    </w:p>
    <w:p w14:paraId="0B44D913">
      <w:pPr>
        <w:spacing w:line="560" w:lineRule="exact"/>
        <w:ind w:firstLine="560" w:firstLineChars="200"/>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eastAsia="zh-CN"/>
        </w:rPr>
        <w:t>202</w:t>
      </w:r>
      <w:r>
        <w:rPr>
          <w:rFonts w:hint="eastAsia" w:ascii="仿宋_GB2312" w:hAnsi="仿宋_GB2312" w:eastAsia="仿宋_GB2312" w:cs="仿宋_GB2312"/>
          <w:bCs/>
          <w:sz w:val="28"/>
          <w:szCs w:val="28"/>
          <w:highlight w:val="none"/>
          <w:lang w:val="en-US" w:eastAsia="zh-CN"/>
        </w:rPr>
        <w:t>3</w:t>
      </w:r>
      <w:r>
        <w:rPr>
          <w:rFonts w:hint="eastAsia" w:ascii="仿宋_GB2312" w:hAnsi="仿宋_GB2312" w:eastAsia="仿宋_GB2312" w:cs="仿宋_GB2312"/>
          <w:bCs/>
          <w:sz w:val="28"/>
          <w:szCs w:val="28"/>
          <w:highlight w:val="none"/>
        </w:rPr>
        <w:t>年项目</w:t>
      </w:r>
      <w:r>
        <w:rPr>
          <w:rFonts w:hint="eastAsia" w:ascii="仿宋_GB2312" w:hAnsi="仿宋_GB2312" w:eastAsia="仿宋_GB2312" w:cs="仿宋_GB2312"/>
          <w:bCs/>
          <w:sz w:val="28"/>
          <w:szCs w:val="28"/>
          <w:highlight w:val="none"/>
          <w:lang w:eastAsia="zh-CN"/>
        </w:rPr>
        <w:t>支出</w:t>
      </w:r>
      <w:r>
        <w:rPr>
          <w:rFonts w:hint="eastAsia" w:ascii="仿宋_GB2312" w:hAnsi="仿宋_GB2312" w:eastAsia="仿宋_GB2312" w:cs="仿宋_GB2312"/>
          <w:bCs/>
          <w:sz w:val="28"/>
          <w:szCs w:val="28"/>
          <w:highlight w:val="none"/>
          <w:lang w:val="en-US" w:eastAsia="zh-CN"/>
        </w:rPr>
        <w:t>152.74万元，</w:t>
      </w:r>
      <w:r>
        <w:rPr>
          <w:rFonts w:hint="eastAsia" w:ascii="仿宋_GB2312" w:hAnsi="仿宋_GB2312" w:eastAsia="仿宋_GB2312" w:cs="仿宋_GB2312"/>
          <w:bCs/>
          <w:sz w:val="28"/>
          <w:szCs w:val="28"/>
          <w:lang w:val="en-US" w:eastAsia="zh-CN"/>
        </w:rPr>
        <w:t>主要用于岳阳市美术、书法、摄影作品展、巡展，馆藏作品研究、流动展厅、公共教育板块活动等费用。</w:t>
      </w:r>
    </w:p>
    <w:p w14:paraId="10CC1A7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部门整体支出绩效情况</w:t>
      </w:r>
    </w:p>
    <w:p w14:paraId="18492147">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b w:val="0"/>
          <w:bCs w:val="0"/>
          <w:kern w:val="0"/>
          <w:sz w:val="28"/>
          <w:szCs w:val="28"/>
          <w:lang w:val="en-US" w:eastAsia="zh-CN" w:bidi="ar-SA"/>
        </w:rPr>
        <w:t>2023年</w:t>
      </w:r>
      <w:r>
        <w:rPr>
          <w:rFonts w:hint="eastAsia" w:ascii="仿宋" w:hAnsi="仿宋" w:eastAsia="仿宋" w:cs="仿宋"/>
          <w:sz w:val="28"/>
          <w:szCs w:val="28"/>
        </w:rPr>
        <w:t>在</w:t>
      </w:r>
      <w:r>
        <w:rPr>
          <w:rFonts w:hint="eastAsia" w:ascii="仿宋" w:hAnsi="仿宋" w:eastAsia="仿宋" w:cs="仿宋"/>
          <w:sz w:val="28"/>
          <w:szCs w:val="28"/>
          <w:lang w:eastAsia="zh-CN"/>
        </w:rPr>
        <w:t>市文旅广电局</w:t>
      </w:r>
      <w:r>
        <w:rPr>
          <w:rFonts w:hint="eastAsia" w:ascii="仿宋" w:hAnsi="仿宋" w:eastAsia="仿宋" w:cs="仿宋"/>
          <w:sz w:val="28"/>
          <w:szCs w:val="28"/>
        </w:rPr>
        <w:t>的</w:t>
      </w:r>
      <w:r>
        <w:rPr>
          <w:rFonts w:hint="eastAsia" w:ascii="仿宋" w:hAnsi="仿宋" w:eastAsia="仿宋" w:cs="仿宋"/>
          <w:sz w:val="28"/>
          <w:szCs w:val="28"/>
          <w:lang w:eastAsia="zh-CN"/>
        </w:rPr>
        <w:t>正确</w:t>
      </w:r>
      <w:r>
        <w:rPr>
          <w:rFonts w:hint="eastAsia" w:ascii="仿宋" w:hAnsi="仿宋" w:eastAsia="仿宋" w:cs="仿宋"/>
          <w:sz w:val="28"/>
          <w:szCs w:val="28"/>
        </w:rPr>
        <w:t>领导和支持下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岳阳市美术馆在</w:t>
      </w:r>
      <w:r>
        <w:rPr>
          <w:rFonts w:hint="eastAsia" w:ascii="仿宋" w:hAnsi="仿宋" w:eastAsia="仿宋" w:cs="仿宋"/>
          <w:b w:val="0"/>
          <w:bCs w:val="0"/>
          <w:kern w:val="0"/>
          <w:sz w:val="28"/>
          <w:szCs w:val="28"/>
          <w:lang w:val="en-US" w:eastAsia="zh-CN" w:bidi="ar-SA"/>
        </w:rPr>
        <w:t>党建、展览策划、公共教育、宣传推广、志愿者服务和送文化进万家等方面工作稳步推进，</w:t>
      </w:r>
      <w:r>
        <w:rPr>
          <w:rFonts w:hint="eastAsia" w:ascii="仿宋" w:hAnsi="仿宋" w:eastAsia="仿宋" w:cs="仿宋"/>
          <w:sz w:val="28"/>
          <w:szCs w:val="28"/>
          <w:lang w:val="en-US" w:eastAsia="zh-CN"/>
        </w:rPr>
        <w:t>取得了可喜的成绩。</w:t>
      </w:r>
    </w:p>
    <w:p w14:paraId="76E8A29E">
      <w:pPr>
        <w:numPr>
          <w:ilvl w:val="0"/>
          <w:numId w:val="0"/>
        </w:numPr>
        <w:ind w:firstLine="560" w:firstLineChars="200"/>
        <w:jc w:val="both"/>
        <w:rPr>
          <w:rFonts w:hint="eastAsia" w:ascii="仿宋" w:hAnsi="仿宋" w:eastAsia="仿宋" w:cs="仿宋"/>
          <w:sz w:val="28"/>
          <w:szCs w:val="28"/>
          <w:lang w:val="en-US" w:eastAsia="zh-CN"/>
        </w:rPr>
      </w:pPr>
    </w:p>
    <w:p w14:paraId="4576A1D4">
      <w:pPr>
        <w:numPr>
          <w:ilvl w:val="0"/>
          <w:numId w:val="0"/>
        </w:numPr>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一、加强政治学习，深化党建工作。</w:t>
      </w:r>
    </w:p>
    <w:p w14:paraId="2DC3BD30">
      <w:pPr>
        <w:numPr>
          <w:ilvl w:val="0"/>
          <w:numId w:val="0"/>
        </w:numPr>
        <w:ind w:firstLine="592" w:firstLineChars="200"/>
        <w:rPr>
          <w:rFonts w:hint="eastAsia" w:ascii="仿宋" w:hAnsi="仿宋" w:eastAsia="仿宋" w:cs="仿宋"/>
          <w:b w:val="0"/>
          <w:bCs w:val="0"/>
          <w:i w:val="0"/>
          <w:iCs w:val="0"/>
          <w:caps w:val="0"/>
          <w:color w:val="222222"/>
          <w:spacing w:val="8"/>
          <w:sz w:val="28"/>
          <w:szCs w:val="28"/>
          <w:shd w:val="clear" w:color="auto" w:fill="FFFFFF"/>
        </w:rPr>
      </w:pPr>
      <w:r>
        <w:rPr>
          <w:rFonts w:hint="eastAsia" w:ascii="仿宋" w:hAnsi="仿宋" w:eastAsia="仿宋" w:cs="仿宋"/>
          <w:i w:val="0"/>
          <w:iCs w:val="0"/>
          <w:caps w:val="0"/>
          <w:color w:val="222222"/>
          <w:spacing w:val="8"/>
          <w:sz w:val="28"/>
          <w:szCs w:val="28"/>
          <w:shd w:val="clear" w:color="auto" w:fill="FFFFFF"/>
          <w:lang w:eastAsia="zh-CN"/>
        </w:rPr>
        <w:t>今年，岳阳市美术馆</w:t>
      </w:r>
      <w:r>
        <w:rPr>
          <w:rFonts w:hint="eastAsia" w:ascii="仿宋" w:hAnsi="仿宋" w:eastAsia="仿宋" w:cs="仿宋"/>
          <w:i w:val="0"/>
          <w:iCs w:val="0"/>
          <w:caps w:val="0"/>
          <w:color w:val="222222"/>
          <w:spacing w:val="8"/>
          <w:sz w:val="28"/>
          <w:szCs w:val="28"/>
          <w:shd w:val="clear" w:color="auto" w:fill="FFFFFF"/>
        </w:rPr>
        <w:t>党建</w:t>
      </w:r>
      <w:r>
        <w:rPr>
          <w:rFonts w:hint="eastAsia" w:ascii="仿宋" w:hAnsi="仿宋" w:eastAsia="仿宋" w:cs="仿宋"/>
          <w:i w:val="0"/>
          <w:iCs w:val="0"/>
          <w:caps w:val="0"/>
          <w:color w:val="222222"/>
          <w:spacing w:val="8"/>
          <w:sz w:val="28"/>
          <w:szCs w:val="28"/>
          <w:shd w:val="clear" w:color="auto" w:fill="FFFFFF"/>
          <w:lang w:eastAsia="zh-CN"/>
        </w:rPr>
        <w:t>工作</w:t>
      </w:r>
      <w:r>
        <w:rPr>
          <w:rFonts w:hint="eastAsia" w:ascii="仿宋" w:hAnsi="仿宋" w:eastAsia="仿宋" w:cs="仿宋"/>
          <w:i w:val="0"/>
          <w:iCs w:val="0"/>
          <w:caps w:val="0"/>
          <w:color w:val="222222"/>
          <w:spacing w:val="8"/>
          <w:sz w:val="28"/>
          <w:szCs w:val="28"/>
          <w:shd w:val="clear" w:color="auto" w:fill="FFFFFF"/>
        </w:rPr>
        <w:t>逐步走向规范化，以学习为重点加强思想建设</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rPr>
        <w:t>取得</w:t>
      </w:r>
      <w:r>
        <w:rPr>
          <w:rFonts w:hint="eastAsia" w:ascii="仿宋" w:hAnsi="仿宋" w:eastAsia="仿宋" w:cs="仿宋"/>
          <w:i w:val="0"/>
          <w:iCs w:val="0"/>
          <w:caps w:val="0"/>
          <w:color w:val="222222"/>
          <w:spacing w:val="8"/>
          <w:sz w:val="28"/>
          <w:szCs w:val="28"/>
          <w:shd w:val="clear" w:color="auto" w:fill="FFFFFF"/>
          <w:lang w:eastAsia="zh-CN"/>
        </w:rPr>
        <w:t>良</w:t>
      </w:r>
      <w:r>
        <w:rPr>
          <w:rFonts w:hint="eastAsia" w:ascii="仿宋" w:hAnsi="仿宋" w:eastAsia="仿宋" w:cs="仿宋"/>
          <w:i w:val="0"/>
          <w:iCs w:val="0"/>
          <w:caps w:val="0"/>
          <w:color w:val="222222"/>
          <w:spacing w:val="8"/>
          <w:sz w:val="28"/>
          <w:szCs w:val="28"/>
          <w:shd w:val="clear" w:color="auto" w:fill="FFFFFF"/>
        </w:rPr>
        <w:t>好效果。组织党员干部深入开展</w:t>
      </w:r>
      <w:r>
        <w:rPr>
          <w:rFonts w:hint="eastAsia" w:ascii="仿宋" w:hAnsi="仿宋" w:eastAsia="仿宋" w:cs="仿宋"/>
          <w:i w:val="0"/>
          <w:iCs w:val="0"/>
          <w:caps w:val="0"/>
          <w:color w:val="222222"/>
          <w:spacing w:val="8"/>
          <w:sz w:val="28"/>
          <w:szCs w:val="28"/>
          <w:shd w:val="clear" w:color="auto" w:fill="FFFFFF"/>
          <w:lang w:val="en-US" w:eastAsia="zh-CN"/>
        </w:rPr>
        <w:t>党的二十</w:t>
      </w:r>
      <w:r>
        <w:rPr>
          <w:rFonts w:hint="eastAsia" w:ascii="仿宋" w:hAnsi="仿宋" w:eastAsia="仿宋" w:cs="仿宋"/>
          <w:i w:val="0"/>
          <w:iCs w:val="0"/>
          <w:caps w:val="0"/>
          <w:color w:val="222222"/>
          <w:spacing w:val="8"/>
          <w:sz w:val="28"/>
          <w:szCs w:val="28"/>
          <w:shd w:val="clear" w:color="auto" w:fill="FFFFFF"/>
        </w:rPr>
        <w:t>大精神学习、主题教育和讨论活动，观看教育影片、</w:t>
      </w:r>
      <w:r>
        <w:rPr>
          <w:rFonts w:hint="eastAsia" w:ascii="仿宋" w:hAnsi="仿宋" w:eastAsia="仿宋" w:cs="仿宋"/>
          <w:i w:val="0"/>
          <w:iCs w:val="0"/>
          <w:caps w:val="0"/>
          <w:color w:val="222222"/>
          <w:spacing w:val="8"/>
          <w:sz w:val="28"/>
          <w:szCs w:val="28"/>
          <w:shd w:val="clear" w:color="auto" w:fill="FFFFFF"/>
          <w:lang w:val="en-US" w:eastAsia="zh-CN"/>
        </w:rPr>
        <w:t>微党课</w:t>
      </w:r>
      <w:r>
        <w:rPr>
          <w:rFonts w:hint="eastAsia" w:ascii="仿宋" w:hAnsi="仿宋" w:eastAsia="仿宋" w:cs="仿宋"/>
          <w:i w:val="0"/>
          <w:iCs w:val="0"/>
          <w:caps w:val="0"/>
          <w:color w:val="222222"/>
          <w:spacing w:val="8"/>
          <w:sz w:val="28"/>
          <w:szCs w:val="28"/>
          <w:shd w:val="clear" w:color="auto" w:fill="FFFFFF"/>
        </w:rPr>
        <w:t>等</w:t>
      </w:r>
      <w:r>
        <w:rPr>
          <w:rFonts w:hint="eastAsia" w:ascii="仿宋" w:hAnsi="仿宋" w:eastAsia="仿宋" w:cs="仿宋"/>
          <w:i w:val="0"/>
          <w:iCs w:val="0"/>
          <w:caps w:val="0"/>
          <w:color w:val="222222"/>
          <w:spacing w:val="8"/>
          <w:sz w:val="28"/>
          <w:szCs w:val="28"/>
          <w:shd w:val="clear" w:color="auto" w:fill="FFFFFF"/>
          <w:lang w:eastAsia="zh-CN"/>
        </w:rPr>
        <w:t>形式的“一月一片一课一实践主题党日”活动。加强“党风廉政”建设，严抓“酒驾醉驾”警示教育，全馆工作人员、党员、青年理论学习小组</w:t>
      </w:r>
      <w:r>
        <w:rPr>
          <w:rFonts w:hint="eastAsia" w:ascii="仿宋" w:hAnsi="仿宋" w:eastAsia="仿宋" w:cs="仿宋"/>
          <w:i w:val="0"/>
          <w:iCs w:val="0"/>
          <w:caps w:val="0"/>
          <w:color w:val="222222"/>
          <w:spacing w:val="8"/>
          <w:sz w:val="28"/>
          <w:szCs w:val="28"/>
          <w:shd w:val="clear" w:color="auto" w:fill="FFFFFF"/>
        </w:rPr>
        <w:t>集中学习</w:t>
      </w:r>
      <w:r>
        <w:rPr>
          <w:rFonts w:hint="eastAsia" w:ascii="仿宋" w:hAnsi="仿宋" w:eastAsia="仿宋" w:cs="仿宋"/>
          <w:i w:val="0"/>
          <w:iCs w:val="0"/>
          <w:caps w:val="0"/>
          <w:color w:val="222222"/>
          <w:spacing w:val="8"/>
          <w:sz w:val="28"/>
          <w:szCs w:val="28"/>
          <w:shd w:val="clear" w:color="auto" w:fill="FFFFFF"/>
          <w:lang w:val="en-US" w:eastAsia="zh-CN"/>
        </w:rPr>
        <w:t>20</w:t>
      </w:r>
      <w:r>
        <w:rPr>
          <w:rFonts w:hint="eastAsia" w:ascii="仿宋" w:hAnsi="仿宋" w:eastAsia="仿宋" w:cs="仿宋"/>
          <w:i w:val="0"/>
          <w:iCs w:val="0"/>
          <w:caps w:val="0"/>
          <w:color w:val="222222"/>
          <w:spacing w:val="8"/>
          <w:sz w:val="28"/>
          <w:szCs w:val="28"/>
          <w:shd w:val="clear" w:color="auto" w:fill="FFFFFF"/>
        </w:rPr>
        <w:t>次</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lang w:val="en-US" w:eastAsia="zh-CN"/>
        </w:rPr>
        <w:t>积极推进特色党支部建设，党支部书记王峰讲了微党课《青年人要有所为有所不为》、《党风廉政建设》、《青年干部的</w:t>
      </w:r>
      <w:r>
        <w:rPr>
          <w:rFonts w:hint="eastAsia" w:ascii="仿宋" w:hAnsi="仿宋" w:eastAsia="仿宋" w:cs="仿宋"/>
          <w:b w:val="0"/>
          <w:bCs w:val="0"/>
          <w:i w:val="0"/>
          <w:iCs w:val="0"/>
          <w:caps w:val="0"/>
          <w:color w:val="222222"/>
          <w:spacing w:val="8"/>
          <w:sz w:val="28"/>
          <w:szCs w:val="28"/>
          <w:shd w:val="clear" w:color="auto" w:fill="FFFFFF"/>
          <w:lang w:val="en-US" w:eastAsia="zh-CN"/>
        </w:rPr>
        <w:t>自我学习》</w:t>
      </w:r>
      <w:r>
        <w:rPr>
          <w:rFonts w:hint="eastAsia" w:ascii="仿宋" w:hAnsi="仿宋" w:eastAsia="仿宋" w:cs="仿宋"/>
          <w:b w:val="0"/>
          <w:bCs w:val="0"/>
          <w:i w:val="0"/>
          <w:iCs w:val="0"/>
          <w:caps w:val="0"/>
          <w:color w:val="222222"/>
          <w:spacing w:val="8"/>
          <w:sz w:val="28"/>
          <w:szCs w:val="28"/>
          <w:shd w:val="clear" w:color="auto" w:fill="FFFFFF"/>
        </w:rPr>
        <w:t>。</w:t>
      </w:r>
    </w:p>
    <w:p w14:paraId="693C79A5">
      <w:pPr>
        <w:numPr>
          <w:ilvl w:val="0"/>
          <w:numId w:val="0"/>
        </w:numPr>
        <w:ind w:firstLine="592" w:firstLineChars="200"/>
        <w:rPr>
          <w:rFonts w:hint="eastAsia" w:ascii="仿宋" w:hAnsi="仿宋" w:eastAsia="仿宋" w:cs="仿宋"/>
          <w:b/>
          <w:bCs/>
          <w:kern w:val="2"/>
          <w:sz w:val="28"/>
          <w:szCs w:val="28"/>
          <w:lang w:val="en-US" w:eastAsia="zh-CN" w:bidi="ar"/>
        </w:rPr>
      </w:pPr>
      <w:r>
        <w:rPr>
          <w:rFonts w:hint="eastAsia" w:ascii="仿宋" w:hAnsi="仿宋" w:eastAsia="仿宋" w:cs="仿宋"/>
          <w:i w:val="0"/>
          <w:iCs w:val="0"/>
          <w:caps w:val="0"/>
          <w:color w:val="222222"/>
          <w:spacing w:val="8"/>
          <w:sz w:val="28"/>
          <w:szCs w:val="28"/>
          <w:shd w:val="clear" w:color="auto" w:fill="FFFFFF"/>
        </w:rPr>
        <w:t>专项资金安排等“三重一大”事项提交馆办会议讨论</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lang w:val="en-US" w:eastAsia="zh-CN"/>
        </w:rPr>
        <w:t>再提交局党组研究</w:t>
      </w:r>
      <w:r>
        <w:rPr>
          <w:rFonts w:hint="eastAsia" w:ascii="仿宋" w:hAnsi="仿宋" w:eastAsia="仿宋" w:cs="仿宋"/>
          <w:i w:val="0"/>
          <w:iCs w:val="0"/>
          <w:caps w:val="0"/>
          <w:color w:val="222222"/>
          <w:spacing w:val="8"/>
          <w:sz w:val="28"/>
          <w:szCs w:val="28"/>
          <w:shd w:val="clear" w:color="auto" w:fill="FFFFFF"/>
        </w:rPr>
        <w:t>决定。切实加强党风廉政建设，</w:t>
      </w:r>
      <w:r>
        <w:rPr>
          <w:rFonts w:hint="eastAsia" w:ascii="仿宋" w:hAnsi="仿宋" w:eastAsia="仿宋" w:cs="仿宋"/>
          <w:i w:val="0"/>
          <w:iCs w:val="0"/>
          <w:caps w:val="0"/>
          <w:color w:val="222222"/>
          <w:spacing w:val="8"/>
          <w:sz w:val="28"/>
          <w:szCs w:val="28"/>
          <w:shd w:val="clear" w:color="auto" w:fill="FFFFFF"/>
          <w:lang w:val="en-US" w:eastAsia="zh-CN"/>
        </w:rPr>
        <w:t>加强氛围宣传、LED屏播放，我馆戴剑、王峰、王伟、史向琼作品参加全市清廉主题作品展，并组织全体党员走进展览现场进行交流学习。班子成员</w:t>
      </w:r>
      <w:r>
        <w:rPr>
          <w:rFonts w:hint="eastAsia" w:ascii="仿宋" w:hAnsi="仿宋" w:eastAsia="仿宋" w:cs="仿宋"/>
          <w:i w:val="0"/>
          <w:iCs w:val="0"/>
          <w:caps w:val="0"/>
          <w:color w:val="222222"/>
          <w:spacing w:val="8"/>
          <w:sz w:val="28"/>
          <w:szCs w:val="28"/>
          <w:shd w:val="clear" w:color="auto" w:fill="FFFFFF"/>
        </w:rPr>
        <w:t>始终按照《党员领导干部廉洁从政若干准则》规定严格要求自己，做到自重、自省、自警、自励，树立正确价值观。要求别人不做的，自己首先不做</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rPr>
        <w:t>要求别人做的，自己首先做到，主动接受群众和社会监督。</w:t>
      </w:r>
    </w:p>
    <w:p w14:paraId="63DD9AD4">
      <w:pPr>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 xml:space="preserve"> </w:t>
      </w:r>
    </w:p>
    <w:p w14:paraId="7E19FE6B">
      <w:pPr>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二、</w:t>
      </w:r>
      <w:r>
        <w:rPr>
          <w:rFonts w:hint="eastAsia" w:ascii="仿宋" w:hAnsi="仿宋" w:eastAsia="仿宋" w:cs="仿宋"/>
          <w:b/>
          <w:bCs/>
          <w:i w:val="0"/>
          <w:iCs w:val="0"/>
          <w:caps w:val="0"/>
          <w:color w:val="222222"/>
          <w:spacing w:val="8"/>
          <w:sz w:val="28"/>
          <w:szCs w:val="28"/>
          <w:shd w:val="clear" w:color="auto" w:fill="FFFFFF"/>
          <w:lang w:val="en-US" w:eastAsia="zh-CN"/>
        </w:rPr>
        <w:t>尊重艺术本体，讲好岳阳故事。</w:t>
      </w:r>
    </w:p>
    <w:p w14:paraId="711371BD">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rPr>
      </w:pPr>
      <w:r>
        <w:rPr>
          <w:rFonts w:hint="eastAsia" w:ascii="仿宋" w:hAnsi="仿宋" w:eastAsia="仿宋" w:cs="仿宋"/>
          <w:i w:val="0"/>
          <w:iCs w:val="0"/>
          <w:caps w:val="0"/>
          <w:color w:val="222222"/>
          <w:spacing w:val="8"/>
          <w:sz w:val="28"/>
          <w:szCs w:val="28"/>
          <w:shd w:val="clear" w:color="auto" w:fill="FFFFFF"/>
          <w:lang w:val="en-US" w:eastAsia="zh-CN"/>
        </w:rPr>
        <w:t>2023年</w:t>
      </w:r>
      <w:r>
        <w:rPr>
          <w:rFonts w:hint="eastAsia" w:ascii="仿宋" w:hAnsi="仿宋" w:eastAsia="仿宋" w:cs="仿宋"/>
          <w:b w:val="0"/>
          <w:bCs w:val="0"/>
          <w:i w:val="0"/>
          <w:iCs w:val="0"/>
          <w:caps w:val="0"/>
          <w:color w:val="222222"/>
          <w:spacing w:val="8"/>
          <w:sz w:val="28"/>
          <w:szCs w:val="28"/>
          <w:shd w:val="clear" w:color="auto" w:fill="FFFFFF"/>
          <w:lang w:val="en-US" w:eastAsia="zh-CN"/>
        </w:rPr>
        <w:t>展览策划部</w:t>
      </w:r>
      <w:r>
        <w:rPr>
          <w:rFonts w:hint="eastAsia" w:ascii="仿宋" w:hAnsi="仿宋" w:eastAsia="仿宋" w:cs="仿宋"/>
          <w:i w:val="0"/>
          <w:iCs w:val="0"/>
          <w:caps w:val="0"/>
          <w:color w:val="222222"/>
          <w:spacing w:val="8"/>
          <w:sz w:val="28"/>
          <w:szCs w:val="28"/>
          <w:shd w:val="clear" w:color="auto" w:fill="FFFFFF"/>
          <w:lang w:val="en-US" w:eastAsia="zh-CN"/>
        </w:rPr>
        <w:t>围绕“尊重艺术本体</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讲好岳阳故事 ”这个主题为策展理念，以“探索”、“青年”、“洞庭”为关键词，开展了一系列学术展览。</w:t>
      </w:r>
      <w:r>
        <w:rPr>
          <w:rFonts w:hint="eastAsia" w:ascii="仿宋" w:hAnsi="仿宋" w:eastAsia="仿宋" w:cs="仿宋"/>
          <w:i w:val="0"/>
          <w:iCs w:val="0"/>
          <w:caps w:val="0"/>
          <w:color w:val="222222"/>
          <w:spacing w:val="8"/>
          <w:sz w:val="28"/>
          <w:szCs w:val="28"/>
          <w:shd w:val="clear" w:color="auto" w:fill="FFFFFF"/>
        </w:rPr>
        <w:t>洞庭湖的美学底蕴</w:t>
      </w:r>
      <w:r>
        <w:rPr>
          <w:rFonts w:hint="eastAsia" w:ascii="仿宋" w:hAnsi="仿宋" w:eastAsia="仿宋" w:cs="仿宋"/>
          <w:i w:val="0"/>
          <w:iCs w:val="0"/>
          <w:caps w:val="0"/>
          <w:color w:val="222222"/>
          <w:spacing w:val="8"/>
          <w:sz w:val="28"/>
          <w:szCs w:val="28"/>
          <w:shd w:val="clear" w:color="auto" w:fill="FFFFFF"/>
          <w:lang w:val="en-US" w:eastAsia="zh-CN"/>
        </w:rPr>
        <w:t>来自于“</w:t>
      </w:r>
      <w:r>
        <w:rPr>
          <w:rFonts w:hint="eastAsia" w:ascii="仿宋" w:hAnsi="仿宋" w:eastAsia="仿宋" w:cs="仿宋"/>
          <w:i w:val="0"/>
          <w:iCs w:val="0"/>
          <w:caps w:val="0"/>
          <w:color w:val="222222"/>
          <w:spacing w:val="8"/>
          <w:sz w:val="28"/>
          <w:szCs w:val="28"/>
          <w:shd w:val="clear" w:color="auto" w:fill="FFFFFF"/>
        </w:rPr>
        <w:t>潇湘</w:t>
      </w:r>
      <w:r>
        <w:rPr>
          <w:rFonts w:hint="eastAsia" w:ascii="仿宋" w:hAnsi="仿宋" w:eastAsia="仿宋" w:cs="仿宋"/>
          <w:i w:val="0"/>
          <w:iCs w:val="0"/>
          <w:caps w:val="0"/>
          <w:color w:val="222222"/>
          <w:spacing w:val="8"/>
          <w:sz w:val="28"/>
          <w:szCs w:val="28"/>
          <w:shd w:val="clear" w:color="auto" w:fill="FFFFFF"/>
          <w:lang w:val="en-US" w:eastAsia="zh-CN"/>
        </w:rPr>
        <w:t>美学</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lang w:val="en-US" w:eastAsia="zh-CN"/>
        </w:rPr>
        <w:t>这个文化母体，</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rPr>
        <w:t>潇湘</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lang w:val="en-US" w:eastAsia="zh-CN"/>
        </w:rPr>
        <w:t>与“</w:t>
      </w:r>
      <w:r>
        <w:rPr>
          <w:rFonts w:hint="eastAsia" w:ascii="仿宋" w:hAnsi="仿宋" w:eastAsia="仿宋" w:cs="仿宋"/>
          <w:i w:val="0"/>
          <w:iCs w:val="0"/>
          <w:caps w:val="0"/>
          <w:color w:val="222222"/>
          <w:spacing w:val="8"/>
          <w:sz w:val="28"/>
          <w:szCs w:val="28"/>
          <w:shd w:val="clear" w:color="auto" w:fill="FFFFFF"/>
        </w:rPr>
        <w:t>洞庭</w:t>
      </w:r>
      <w:r>
        <w:rPr>
          <w:rFonts w:hint="eastAsia" w:ascii="仿宋" w:hAnsi="仿宋" w:eastAsia="仿宋" w:cs="仿宋"/>
          <w:i w:val="0"/>
          <w:iCs w:val="0"/>
          <w:caps w:val="0"/>
          <w:color w:val="222222"/>
          <w:spacing w:val="8"/>
          <w:sz w:val="28"/>
          <w:szCs w:val="28"/>
          <w:shd w:val="clear" w:color="auto" w:fill="FFFFFF"/>
          <w:lang w:eastAsia="zh-CN"/>
        </w:rPr>
        <w:t>”在数千年的历史进程中，通过</w:t>
      </w:r>
      <w:r>
        <w:rPr>
          <w:rFonts w:hint="eastAsia" w:ascii="仿宋" w:hAnsi="仿宋" w:eastAsia="仿宋" w:cs="仿宋"/>
          <w:i w:val="0"/>
          <w:iCs w:val="0"/>
          <w:caps w:val="0"/>
          <w:color w:val="222222"/>
          <w:spacing w:val="8"/>
          <w:sz w:val="28"/>
          <w:szCs w:val="28"/>
          <w:shd w:val="clear" w:color="auto" w:fill="FFFFFF"/>
        </w:rPr>
        <w:t>文化精英</w:t>
      </w:r>
      <w:r>
        <w:rPr>
          <w:rFonts w:hint="eastAsia" w:ascii="仿宋" w:hAnsi="仿宋" w:eastAsia="仿宋" w:cs="仿宋"/>
          <w:i w:val="0"/>
          <w:iCs w:val="0"/>
          <w:caps w:val="0"/>
          <w:color w:val="222222"/>
          <w:spacing w:val="8"/>
          <w:sz w:val="28"/>
          <w:szCs w:val="28"/>
          <w:shd w:val="clear" w:color="auto" w:fill="FFFFFF"/>
          <w:lang w:eastAsia="zh-CN"/>
        </w:rPr>
        <w:t>们的传承衍</w:t>
      </w:r>
      <w:r>
        <w:rPr>
          <w:rFonts w:hint="eastAsia" w:ascii="仿宋" w:hAnsi="仿宋" w:eastAsia="仿宋" w:cs="仿宋"/>
          <w:i w:val="0"/>
          <w:iCs w:val="0"/>
          <w:caps w:val="0"/>
          <w:color w:val="222222"/>
          <w:spacing w:val="8"/>
          <w:sz w:val="28"/>
          <w:szCs w:val="28"/>
          <w:shd w:val="clear" w:color="auto" w:fill="FFFFFF"/>
        </w:rPr>
        <w:t>化</w:t>
      </w:r>
      <w:r>
        <w:rPr>
          <w:rFonts w:hint="eastAsia" w:ascii="仿宋" w:hAnsi="仿宋" w:eastAsia="仿宋" w:cs="仿宋"/>
          <w:i w:val="0"/>
          <w:iCs w:val="0"/>
          <w:caps w:val="0"/>
          <w:color w:val="222222"/>
          <w:spacing w:val="8"/>
          <w:sz w:val="28"/>
          <w:szCs w:val="28"/>
          <w:shd w:val="clear" w:color="auto" w:fill="FFFFFF"/>
          <w:lang w:eastAsia="zh-CN"/>
        </w:rPr>
        <w:t>，是</w:t>
      </w:r>
      <w:r>
        <w:rPr>
          <w:rFonts w:hint="eastAsia" w:ascii="仿宋" w:hAnsi="仿宋" w:eastAsia="仿宋" w:cs="仿宋"/>
          <w:i w:val="0"/>
          <w:iCs w:val="0"/>
          <w:caps w:val="0"/>
          <w:color w:val="222222"/>
          <w:spacing w:val="8"/>
          <w:sz w:val="28"/>
          <w:szCs w:val="28"/>
          <w:shd w:val="clear" w:color="auto" w:fill="FFFFFF"/>
        </w:rPr>
        <w:t>具有</w:t>
      </w:r>
      <w:r>
        <w:rPr>
          <w:rFonts w:hint="eastAsia" w:ascii="仿宋" w:hAnsi="仿宋" w:eastAsia="仿宋" w:cs="仿宋"/>
          <w:i w:val="0"/>
          <w:iCs w:val="0"/>
          <w:caps w:val="0"/>
          <w:color w:val="222222"/>
          <w:spacing w:val="8"/>
          <w:sz w:val="28"/>
          <w:szCs w:val="28"/>
          <w:shd w:val="clear" w:color="auto" w:fill="FFFFFF"/>
          <w:lang w:eastAsia="zh-CN"/>
        </w:rPr>
        <w:t>文化价值</w:t>
      </w:r>
      <w:r>
        <w:rPr>
          <w:rFonts w:hint="eastAsia" w:ascii="仿宋" w:hAnsi="仿宋" w:eastAsia="仿宋" w:cs="仿宋"/>
          <w:i w:val="0"/>
          <w:iCs w:val="0"/>
          <w:caps w:val="0"/>
          <w:color w:val="222222"/>
          <w:spacing w:val="8"/>
          <w:sz w:val="28"/>
          <w:szCs w:val="28"/>
          <w:shd w:val="clear" w:color="auto" w:fill="FFFFFF"/>
        </w:rPr>
        <w:t>的地缘</w:t>
      </w:r>
      <w:r>
        <w:rPr>
          <w:rFonts w:hint="eastAsia" w:ascii="仿宋" w:hAnsi="仿宋" w:eastAsia="仿宋" w:cs="仿宋"/>
          <w:i w:val="0"/>
          <w:iCs w:val="0"/>
          <w:caps w:val="0"/>
          <w:color w:val="222222"/>
          <w:spacing w:val="8"/>
          <w:sz w:val="28"/>
          <w:szCs w:val="28"/>
          <w:shd w:val="clear" w:color="auto" w:fill="FFFFFF"/>
          <w:lang w:val="en-US" w:eastAsia="zh-CN"/>
        </w:rPr>
        <w:t>美学符号。</w:t>
      </w:r>
      <w:r>
        <w:rPr>
          <w:rFonts w:hint="eastAsia" w:ascii="仿宋" w:hAnsi="仿宋" w:eastAsia="仿宋" w:cs="仿宋"/>
          <w:i w:val="0"/>
          <w:iCs w:val="0"/>
          <w:caps w:val="0"/>
          <w:color w:val="222222"/>
          <w:spacing w:val="8"/>
          <w:sz w:val="28"/>
          <w:szCs w:val="28"/>
          <w:shd w:val="clear" w:color="auto" w:fill="FFFFFF"/>
        </w:rPr>
        <w:t>新时代</w:t>
      </w:r>
      <w:r>
        <w:rPr>
          <w:rFonts w:hint="eastAsia" w:ascii="仿宋" w:hAnsi="仿宋" w:eastAsia="仿宋" w:cs="仿宋"/>
          <w:i w:val="0"/>
          <w:iCs w:val="0"/>
          <w:caps w:val="0"/>
          <w:color w:val="222222"/>
          <w:spacing w:val="8"/>
          <w:sz w:val="28"/>
          <w:szCs w:val="28"/>
          <w:shd w:val="clear" w:color="auto" w:fill="FFFFFF"/>
          <w:lang w:val="en-US" w:eastAsia="zh-CN"/>
        </w:rPr>
        <w:t>的开启</w:t>
      </w:r>
      <w:r>
        <w:rPr>
          <w:rFonts w:hint="eastAsia" w:ascii="仿宋" w:hAnsi="仿宋" w:eastAsia="仿宋" w:cs="仿宋"/>
          <w:i w:val="0"/>
          <w:iCs w:val="0"/>
          <w:caps w:val="0"/>
          <w:color w:val="222222"/>
          <w:spacing w:val="8"/>
          <w:sz w:val="28"/>
          <w:szCs w:val="28"/>
          <w:shd w:val="clear" w:color="auto" w:fill="FFFFFF"/>
        </w:rPr>
        <w:t>，华夏大地蓬勃向上</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rPr>
        <w:t>习</w:t>
      </w:r>
      <w:r>
        <w:rPr>
          <w:rFonts w:hint="eastAsia" w:ascii="仿宋" w:hAnsi="仿宋" w:eastAsia="仿宋" w:cs="仿宋"/>
          <w:i w:val="0"/>
          <w:iCs w:val="0"/>
          <w:caps w:val="0"/>
          <w:color w:val="222222"/>
          <w:spacing w:val="8"/>
          <w:sz w:val="28"/>
          <w:szCs w:val="28"/>
          <w:shd w:val="clear" w:color="auto" w:fill="FFFFFF"/>
          <w:lang w:val="en-US" w:eastAsia="zh-CN"/>
        </w:rPr>
        <w:t>总书记</w:t>
      </w:r>
      <w:r>
        <w:rPr>
          <w:rFonts w:hint="eastAsia" w:ascii="仿宋" w:hAnsi="仿宋" w:eastAsia="仿宋" w:cs="仿宋"/>
          <w:i w:val="0"/>
          <w:iCs w:val="0"/>
          <w:caps w:val="0"/>
          <w:color w:val="222222"/>
          <w:spacing w:val="8"/>
          <w:sz w:val="28"/>
          <w:szCs w:val="28"/>
          <w:shd w:val="clear" w:color="auto" w:fill="FFFFFF"/>
        </w:rPr>
        <w:t>在洞庭湖畔</w:t>
      </w:r>
      <w:r>
        <w:rPr>
          <w:rFonts w:hint="eastAsia" w:ascii="仿宋" w:hAnsi="仿宋" w:eastAsia="仿宋" w:cs="仿宋"/>
          <w:i w:val="0"/>
          <w:iCs w:val="0"/>
          <w:caps w:val="0"/>
          <w:color w:val="222222"/>
          <w:spacing w:val="8"/>
          <w:sz w:val="28"/>
          <w:szCs w:val="28"/>
          <w:shd w:val="clear" w:color="auto" w:fill="FFFFFF"/>
          <w:lang w:val="en-US" w:eastAsia="zh-CN"/>
        </w:rPr>
        <w:t>长江岸线</w:t>
      </w:r>
      <w:r>
        <w:rPr>
          <w:rFonts w:hint="eastAsia" w:ascii="仿宋" w:hAnsi="仿宋" w:eastAsia="仿宋" w:cs="仿宋"/>
          <w:i w:val="0"/>
          <w:iCs w:val="0"/>
          <w:caps w:val="0"/>
          <w:color w:val="222222"/>
          <w:spacing w:val="8"/>
          <w:sz w:val="28"/>
          <w:szCs w:val="28"/>
          <w:shd w:val="clear" w:color="auto" w:fill="FFFFFF"/>
        </w:rPr>
        <w:t>首</w:t>
      </w:r>
      <w:r>
        <w:rPr>
          <w:rFonts w:hint="eastAsia" w:ascii="仿宋" w:hAnsi="仿宋" w:eastAsia="仿宋" w:cs="仿宋"/>
          <w:i w:val="0"/>
          <w:iCs w:val="0"/>
          <w:caps w:val="0"/>
          <w:color w:val="222222"/>
          <w:spacing w:val="8"/>
          <w:sz w:val="28"/>
          <w:szCs w:val="28"/>
          <w:shd w:val="clear" w:color="auto" w:fill="FFFFFF"/>
          <w:lang w:val="en-US" w:eastAsia="zh-CN"/>
        </w:rPr>
        <w:t>倡“</w:t>
      </w:r>
      <w:r>
        <w:rPr>
          <w:rFonts w:hint="eastAsia" w:ascii="仿宋" w:hAnsi="仿宋" w:eastAsia="仿宋" w:cs="仿宋"/>
          <w:i w:val="0"/>
          <w:iCs w:val="0"/>
          <w:caps w:val="0"/>
          <w:color w:val="222222"/>
          <w:spacing w:val="8"/>
          <w:sz w:val="28"/>
          <w:szCs w:val="28"/>
          <w:shd w:val="clear" w:color="auto" w:fill="FFFFFF"/>
        </w:rPr>
        <w:t>守护</w:t>
      </w:r>
      <w:r>
        <w:rPr>
          <w:rFonts w:hint="eastAsia" w:ascii="仿宋" w:hAnsi="仿宋" w:eastAsia="仿宋" w:cs="仿宋"/>
          <w:i w:val="0"/>
          <w:iCs w:val="0"/>
          <w:caps w:val="0"/>
          <w:color w:val="222222"/>
          <w:spacing w:val="8"/>
          <w:sz w:val="28"/>
          <w:szCs w:val="28"/>
          <w:shd w:val="clear" w:color="auto" w:fill="FFFFFF"/>
          <w:lang w:val="en-US" w:eastAsia="zh-CN"/>
        </w:rPr>
        <w:t>好</w:t>
      </w:r>
      <w:r>
        <w:rPr>
          <w:rFonts w:hint="eastAsia" w:ascii="仿宋" w:hAnsi="仿宋" w:eastAsia="仿宋" w:cs="仿宋"/>
          <w:i w:val="0"/>
          <w:iCs w:val="0"/>
          <w:caps w:val="0"/>
          <w:color w:val="222222"/>
          <w:spacing w:val="8"/>
          <w:sz w:val="28"/>
          <w:szCs w:val="28"/>
          <w:shd w:val="clear" w:color="auto" w:fill="FFFFFF"/>
        </w:rPr>
        <w:t>一江碧水</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lang w:val="en-US" w:eastAsia="zh-CN"/>
        </w:rPr>
        <w:t>为了牢记殷殷嘱托，如何用立体、多元的艺术形式来表达对地域文化的真挚情感，对“</w:t>
      </w:r>
      <w:r>
        <w:rPr>
          <w:rFonts w:hint="eastAsia" w:ascii="仿宋" w:hAnsi="仿宋" w:eastAsia="仿宋" w:cs="仿宋"/>
          <w:i w:val="0"/>
          <w:iCs w:val="0"/>
          <w:caps w:val="0"/>
          <w:color w:val="222222"/>
          <w:spacing w:val="8"/>
          <w:sz w:val="28"/>
          <w:szCs w:val="28"/>
          <w:shd w:val="clear" w:color="auto" w:fill="FFFFFF"/>
        </w:rPr>
        <w:t>大</w:t>
      </w:r>
      <w:r>
        <w:rPr>
          <w:rFonts w:hint="eastAsia" w:ascii="仿宋" w:hAnsi="仿宋" w:eastAsia="仿宋" w:cs="仿宋"/>
          <w:i w:val="0"/>
          <w:iCs w:val="0"/>
          <w:caps w:val="0"/>
          <w:color w:val="222222"/>
          <w:spacing w:val="8"/>
          <w:sz w:val="28"/>
          <w:szCs w:val="28"/>
          <w:shd w:val="clear" w:color="auto" w:fill="FFFFFF"/>
          <w:lang w:val="en-US" w:eastAsia="zh-CN"/>
        </w:rPr>
        <w:t>江</w:t>
      </w:r>
      <w:r>
        <w:rPr>
          <w:rFonts w:hint="eastAsia" w:ascii="仿宋" w:hAnsi="仿宋" w:eastAsia="仿宋" w:cs="仿宋"/>
          <w:i w:val="0"/>
          <w:iCs w:val="0"/>
          <w:caps w:val="0"/>
          <w:color w:val="222222"/>
          <w:spacing w:val="8"/>
          <w:sz w:val="28"/>
          <w:szCs w:val="28"/>
          <w:shd w:val="clear" w:color="auto" w:fill="FFFFFF"/>
        </w:rPr>
        <w:t>大</w:t>
      </w:r>
      <w:r>
        <w:rPr>
          <w:rFonts w:hint="eastAsia" w:ascii="仿宋" w:hAnsi="仿宋" w:eastAsia="仿宋" w:cs="仿宋"/>
          <w:i w:val="0"/>
          <w:iCs w:val="0"/>
          <w:caps w:val="0"/>
          <w:color w:val="222222"/>
          <w:spacing w:val="8"/>
          <w:sz w:val="28"/>
          <w:szCs w:val="28"/>
          <w:shd w:val="clear" w:color="auto" w:fill="FFFFFF"/>
          <w:lang w:val="en-US" w:eastAsia="zh-CN"/>
        </w:rPr>
        <w:t>湖大岳阳</w:t>
      </w:r>
      <w:r>
        <w:rPr>
          <w:rFonts w:hint="eastAsia" w:ascii="仿宋" w:hAnsi="仿宋" w:eastAsia="仿宋" w:cs="仿宋"/>
          <w:i w:val="0"/>
          <w:iCs w:val="0"/>
          <w:caps w:val="0"/>
          <w:color w:val="222222"/>
          <w:spacing w:val="8"/>
          <w:sz w:val="28"/>
          <w:szCs w:val="28"/>
          <w:shd w:val="clear" w:color="auto" w:fill="FFFFFF"/>
          <w:lang w:eastAsia="zh-CN"/>
        </w:rPr>
        <w:t>”</w:t>
      </w:r>
      <w:r>
        <w:rPr>
          <w:rFonts w:hint="eastAsia" w:ascii="仿宋" w:hAnsi="仿宋" w:eastAsia="仿宋" w:cs="仿宋"/>
          <w:i w:val="0"/>
          <w:iCs w:val="0"/>
          <w:caps w:val="0"/>
          <w:color w:val="222222"/>
          <w:spacing w:val="8"/>
          <w:sz w:val="28"/>
          <w:szCs w:val="28"/>
          <w:shd w:val="clear" w:color="auto" w:fill="FFFFFF"/>
          <w:lang w:val="en-US" w:eastAsia="zh-CN"/>
        </w:rPr>
        <w:t>的全方位立体式的描绘，由此开展的一系列的展览策划活动，成为我们展览策划部的年度工作主线。</w:t>
      </w:r>
    </w:p>
    <w:p w14:paraId="52DA70DD">
      <w:pPr>
        <w:numPr>
          <w:ilvl w:val="0"/>
          <w:numId w:val="0"/>
        </w:numPr>
        <w:rPr>
          <w:rFonts w:hint="eastAsia" w:ascii="仿宋" w:hAnsi="仿宋" w:eastAsia="仿宋" w:cs="仿宋"/>
          <w:b/>
          <w:bCs/>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2023年岳阳市美术馆学术展览：（共13场）</w:t>
      </w:r>
    </w:p>
    <w:p w14:paraId="43EF2703">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1、《柔软的力量</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b w:val="0"/>
          <w:bCs w:val="0"/>
          <w:i w:val="0"/>
          <w:iCs w:val="0"/>
          <w:caps w:val="0"/>
          <w:color w:val="222222"/>
          <w:spacing w:val="8"/>
          <w:sz w:val="28"/>
          <w:szCs w:val="28"/>
          <w:shd w:val="clear" w:color="auto" w:fill="FFFFFF"/>
          <w:lang w:val="en-US" w:eastAsia="zh-CN"/>
        </w:rPr>
        <w:t>岳阳市美术馆女艺术家提名展</w:t>
      </w:r>
      <w:r>
        <w:rPr>
          <w:rFonts w:hint="eastAsia" w:ascii="仿宋" w:hAnsi="仿宋" w:eastAsia="仿宋" w:cs="仿宋"/>
          <w:i w:val="0"/>
          <w:iCs w:val="0"/>
          <w:caps w:val="0"/>
          <w:color w:val="222222"/>
          <w:spacing w:val="8"/>
          <w:sz w:val="28"/>
          <w:szCs w:val="28"/>
          <w:shd w:val="clear" w:color="auto" w:fill="FFFFFF"/>
          <w:lang w:val="en-US" w:eastAsia="zh-CN"/>
        </w:rPr>
        <w:t>》</w:t>
      </w:r>
    </w:p>
    <w:p w14:paraId="401CF3E0">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2、《在水一方</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b w:val="0"/>
          <w:bCs w:val="0"/>
          <w:i w:val="0"/>
          <w:iCs w:val="0"/>
          <w:caps w:val="0"/>
          <w:color w:val="222222"/>
          <w:spacing w:val="8"/>
          <w:sz w:val="28"/>
          <w:szCs w:val="28"/>
          <w:shd w:val="clear" w:color="auto" w:fill="FFFFFF"/>
          <w:lang w:val="en-US" w:eastAsia="zh-CN"/>
        </w:rPr>
        <w:t>岳阳市美术馆女书法家提名展</w:t>
      </w:r>
      <w:r>
        <w:rPr>
          <w:rFonts w:hint="eastAsia" w:ascii="仿宋" w:hAnsi="仿宋" w:eastAsia="仿宋" w:cs="仿宋"/>
          <w:i w:val="0"/>
          <w:iCs w:val="0"/>
          <w:caps w:val="0"/>
          <w:color w:val="222222"/>
          <w:spacing w:val="8"/>
          <w:sz w:val="28"/>
          <w:szCs w:val="28"/>
          <w:shd w:val="clear" w:color="auto" w:fill="FFFFFF"/>
          <w:lang w:val="en-US" w:eastAsia="zh-CN"/>
        </w:rPr>
        <w:t>》</w:t>
      </w:r>
    </w:p>
    <w:p w14:paraId="61FE97AA">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3、《能量场</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岳阳市书画院青年画院作品展》</w:t>
      </w:r>
    </w:p>
    <w:p w14:paraId="5CBEB132">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4、《观未</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岳阳市书画院青年书法院作品展》</w:t>
      </w:r>
    </w:p>
    <w:p w14:paraId="30FB5C44">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5、《地域与当代</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岳阳市美术馆少儿美育研究探索展》</w:t>
      </w:r>
    </w:p>
    <w:p w14:paraId="5ACBB6CB">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6、《吾伴洞庭</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戴剑写生作品展》</w:t>
      </w:r>
    </w:p>
    <w:p w14:paraId="7962A355">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7、《守护好一江碧水</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洞庭湖三年展》</w:t>
      </w:r>
    </w:p>
    <w:p w14:paraId="2D54877A">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8、《第五届岳阳市文化艺术节“建功新时代”美术书法摄影精品展》</w:t>
      </w:r>
    </w:p>
    <w:p w14:paraId="1F89C026">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9、《大江大湖大岳阳</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2023年岳阳市守护好一江碧水油画精品展》</w:t>
      </w:r>
    </w:p>
    <w:p w14:paraId="66BAFDFB">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10、《自我凝视·裴焕子个人作品展》（流动展厅）</w:t>
      </w:r>
    </w:p>
    <w:p w14:paraId="6CB8F8F6">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11、《积·厚——张渡个人作品展》（流动展厅）</w:t>
      </w:r>
    </w:p>
    <w:p w14:paraId="036BD22B">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12、《第二届“天下洞庭·芦苇艺术季”艺术在田野》</w:t>
      </w:r>
    </w:p>
    <w:p w14:paraId="7D1BD5E2">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rtl w:val="0"/>
          <w:lang w:val="en-US" w:eastAsia="zh-CN"/>
        </w:rPr>
        <w:t>13、《琉璃</w:t>
      </w:r>
      <w:r>
        <w:rPr>
          <w:rFonts w:hint="eastAsia" w:ascii="仿宋" w:hAnsi="仿宋" w:eastAsia="仿宋" w:cs="仿宋"/>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rtl w:val="0"/>
          <w:lang w:val="en-US" w:eastAsia="zh-CN"/>
        </w:rPr>
        <w:t>尘世》</w:t>
      </w:r>
      <w:r>
        <w:rPr>
          <w:rFonts w:hint="eastAsia" w:ascii="仿宋" w:hAnsi="仿宋" w:eastAsia="仿宋" w:cs="仿宋"/>
          <w:i w:val="0"/>
          <w:iCs w:val="0"/>
          <w:caps w:val="0"/>
          <w:color w:val="222222"/>
          <w:spacing w:val="8"/>
          <w:sz w:val="28"/>
          <w:szCs w:val="28"/>
          <w:shd w:val="clear" w:color="auto" w:fill="FFFFFF"/>
          <w:lang w:val="en-US" w:eastAsia="zh-CN"/>
        </w:rPr>
        <w:t>方向</w:t>
      </w:r>
      <w:r>
        <w:rPr>
          <w:rFonts w:hint="eastAsia" w:ascii="仿宋" w:hAnsi="仿宋" w:eastAsia="仿宋" w:cs="仿宋"/>
          <w:i w:val="0"/>
          <w:iCs w:val="0"/>
          <w:caps w:val="0"/>
          <w:color w:val="222222"/>
          <w:spacing w:val="8"/>
          <w:sz w:val="28"/>
          <w:szCs w:val="28"/>
          <w:shd w:val="clear" w:color="auto" w:fill="FFFFFF"/>
          <w:rtl w:val="0"/>
          <w:lang w:val="en-US" w:eastAsia="zh-CN"/>
        </w:rPr>
        <w:t>作品展</w:t>
      </w:r>
    </w:p>
    <w:p w14:paraId="62B7D3F0">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岳阳市美术馆策划和承办的每一个展览，都必须通过馆务会集体讨论研究，从学术策展、作品征集、文案撰写、视觉设计、视频采集制作、作品运输、展陈布置、物料制作、画册编印、开幕式程序、宣传推广、公共教育等12大环节上力争完美呈现，确保展览具有思想及学术高度，展陈布置细节完善，为广大市民提供高质量的艺术享受和多形式的公共文化服务。“守护好一江碧水</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洞庭湖三年展”，是由中国国家画院、湖南省文旅厅和岳阳市人民政府共同主办的大型学术展览，通过我们的精心策划，在4月2日-6日邀请中国国家画院山水所17位山水画名家一行到岳阳楼、君山岛、三江口、守护好一江碧水首倡馆等地进行了五天的采风写生，为“守护好一江碧水”洞庭湖艺术三年展主题创作收集素材。山河锦绣聚鸿儒，浓墨重彩绘华章。艺术家们深入现场，以艺术的灵感和审美想象力捕捉长江、洞庭湖生态之美、文化之美、发展之美，用生动的画笔描绘人与自然和谐共生和奋力推进中国式现代化新湖南建设的美丽画卷。展览自开幕以来受到各级领导和观众的盛赞，展览也吸引了不少外地游客到岳阳市美术馆观展打卡。</w:t>
      </w:r>
    </w:p>
    <w:p w14:paraId="457CB8D8">
      <w:pPr>
        <w:numPr>
          <w:ilvl w:val="0"/>
          <w:numId w:val="0"/>
        </w:numPr>
        <w:ind w:firstLine="592" w:firstLineChars="200"/>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pPr>
      <w:r>
        <w:rPr>
          <w:rFonts w:hint="eastAsia" w:ascii="仿宋" w:hAnsi="仿宋" w:eastAsia="仿宋" w:cs="仿宋"/>
          <w:i w:val="0"/>
          <w:iCs w:val="0"/>
          <w:caps w:val="0"/>
          <w:color w:val="222222"/>
          <w:spacing w:val="8"/>
          <w:sz w:val="28"/>
          <w:szCs w:val="28"/>
          <w:shd w:val="clear" w:color="auto" w:fill="FFFFFF"/>
          <w:lang w:val="en-US" w:eastAsia="zh-CN"/>
        </w:rPr>
        <w:t>我馆策展团队作为学术指导全程参与了第二届“天下洞庭——芦苇艺术季”的学术策划与装置作品的制作，为我市文旅高质量融合奉献自己的一份力量。</w:t>
      </w: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来自全国的21位艺术家，呈现了17件大型装置雕塑作品，王峰作品《共同体》、唐新宇作品《深呼吸》深受观众好评。</w:t>
      </w:r>
    </w:p>
    <w:p w14:paraId="281CFFD5">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p>
    <w:p w14:paraId="437D4366">
      <w:pPr>
        <w:numPr>
          <w:ilvl w:val="0"/>
          <w:numId w:val="0"/>
        </w:numPr>
        <w:ind w:firstLine="594" w:firstLineChars="200"/>
        <w:rPr>
          <w:rFonts w:hint="eastAsia" w:ascii="仿宋" w:hAnsi="仿宋" w:eastAsia="仿宋" w:cs="仿宋"/>
          <w:b/>
          <w:bCs/>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三、活动多维并举，提升公教服务。</w:t>
      </w:r>
    </w:p>
    <w:p w14:paraId="0F43952E">
      <w:pPr>
        <w:numPr>
          <w:ilvl w:val="0"/>
          <w:numId w:val="0"/>
        </w:numPr>
        <w:ind w:firstLine="592" w:firstLineChars="200"/>
        <w:jc w:val="left"/>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2023年，岳阳市美术馆公共教育团队致力于通过多样化的公共教育活动，提升公众的艺术修养和审美能力，同时加强与观众的交流和沟通。公共教育部工作扎实有力， 在过去的一年中，成功举办了一系列公共教育活动，包括新锐艺谈、名家讲堂、小岛艺述沙龙、亲子课堂、美育课堂、带你看展览等。这些活动涵盖了不同年龄层和兴趣点的观众，将美术公共教育与展览、典藏、学术研究相结合，有针对性地开展公共教育活动。</w:t>
      </w:r>
    </w:p>
    <w:p w14:paraId="7C5C4DC8">
      <w:pPr>
        <w:numPr>
          <w:ilvl w:val="0"/>
          <w:numId w:val="0"/>
        </w:numPr>
        <w:rPr>
          <w:rFonts w:hint="eastAsia" w:ascii="仿宋" w:hAnsi="仿宋" w:eastAsia="仿宋" w:cs="仿宋"/>
          <w:b/>
          <w:bCs/>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2023 岳阳市美术馆公共教育活动（42场）</w:t>
      </w:r>
    </w:p>
    <w:p w14:paraId="3A5F63F2">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新锐艺谈</w:t>
      </w:r>
      <w:r>
        <w:rPr>
          <w:rFonts w:hint="eastAsia" w:ascii="仿宋" w:hAnsi="仿宋" w:eastAsia="仿宋" w:cs="仿宋"/>
          <w:i w:val="0"/>
          <w:iCs w:val="0"/>
          <w:caps w:val="0"/>
          <w:color w:val="222222"/>
          <w:spacing w:val="8"/>
          <w:sz w:val="28"/>
          <w:szCs w:val="28"/>
          <w:shd w:val="clear" w:color="auto" w:fill="FFFFFF"/>
          <w:lang w:val="en-US" w:eastAsia="zh-CN"/>
        </w:rPr>
        <w:t>2场：</w:t>
      </w:r>
    </w:p>
    <w:p w14:paraId="5D6A4CA7">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《本能的涂抹》</w:t>
      </w:r>
    </w:p>
    <w:p w14:paraId="5937CD8D">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《格物明理——王峰创作探索分享》</w:t>
      </w:r>
    </w:p>
    <w:p w14:paraId="0A650BEC">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名家讲堂</w:t>
      </w:r>
      <w:r>
        <w:rPr>
          <w:rFonts w:hint="eastAsia" w:ascii="仿宋" w:hAnsi="仿宋" w:eastAsia="仿宋" w:cs="仿宋"/>
          <w:i w:val="0"/>
          <w:iCs w:val="0"/>
          <w:caps w:val="0"/>
          <w:color w:val="222222"/>
          <w:spacing w:val="8"/>
          <w:sz w:val="28"/>
          <w:szCs w:val="28"/>
          <w:shd w:val="clear" w:color="auto" w:fill="FFFFFF"/>
          <w:lang w:val="en-US" w:eastAsia="zh-CN"/>
        </w:rPr>
        <w:t>1场：</w:t>
      </w:r>
    </w:p>
    <w:p w14:paraId="4BB49D96">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《形式与内容</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国展投稿作品的形式设计与文字内容甄选》</w:t>
      </w:r>
    </w:p>
    <w:p w14:paraId="164E4898">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“小岛艺述”</w:t>
      </w:r>
      <w:r>
        <w:rPr>
          <w:rFonts w:hint="eastAsia" w:ascii="仿宋" w:hAnsi="仿宋" w:eastAsia="仿宋" w:cs="仿宋"/>
          <w:i w:val="0"/>
          <w:iCs w:val="0"/>
          <w:caps w:val="0"/>
          <w:color w:val="222222"/>
          <w:spacing w:val="8"/>
          <w:sz w:val="28"/>
          <w:szCs w:val="28"/>
          <w:shd w:val="clear" w:color="auto" w:fill="FFFFFF"/>
          <w:lang w:val="en-US" w:eastAsia="zh-CN"/>
        </w:rPr>
        <w:t>沙龙10场：</w:t>
      </w:r>
    </w:p>
    <w:p w14:paraId="25029E24">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《千年敦煌漫漫沙——神兽归山》</w:t>
      </w:r>
    </w:p>
    <w:p w14:paraId="5EF6520D">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《顾恺之的爱恋》</w:t>
      </w:r>
    </w:p>
    <w:p w14:paraId="57E7400B">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《唐代女性的生长》</w:t>
      </w:r>
    </w:p>
    <w:p w14:paraId="70B81C1B">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《聊逛香港巴塞尔艺术博览会》</w:t>
      </w:r>
    </w:p>
    <w:p w14:paraId="7706DF2D">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《繁花与朽木——宋代女性的自在与无助》</w:t>
      </w:r>
    </w:p>
    <w:p w14:paraId="2DE0FAEA">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《千年敦煌漫漫沙——神仙配色》</w:t>
      </w:r>
    </w:p>
    <w:p w14:paraId="54170F37">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《明代女性在图像中的表现与自我表现》</w:t>
      </w:r>
    </w:p>
    <w:p w14:paraId="5FBC1F79">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《千年敦煌漫漫沙——流量密码》</w:t>
      </w:r>
    </w:p>
    <w:p w14:paraId="456ADF0E">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《清宫美人画——如花美眷抵不过似水流年》</w:t>
      </w:r>
    </w:p>
    <w:p w14:paraId="1856E4A9">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《敦煌美学番外篇——公主，请穿新衣》</w:t>
      </w:r>
    </w:p>
    <w:p w14:paraId="21BC0E87">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亲子课堂</w:t>
      </w:r>
      <w:r>
        <w:rPr>
          <w:rFonts w:hint="eastAsia" w:ascii="仿宋" w:hAnsi="仿宋" w:eastAsia="仿宋" w:cs="仿宋"/>
          <w:i w:val="0"/>
          <w:iCs w:val="0"/>
          <w:caps w:val="0"/>
          <w:color w:val="222222"/>
          <w:spacing w:val="8"/>
          <w:sz w:val="28"/>
          <w:szCs w:val="28"/>
          <w:shd w:val="clear" w:color="auto" w:fill="FFFFFF"/>
          <w:lang w:val="en-US" w:eastAsia="zh-CN"/>
        </w:rPr>
        <w:t>4场：</w:t>
      </w:r>
    </w:p>
    <w:p w14:paraId="3D111F00">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《自然书写——少儿书法学习的打开方式》</w:t>
      </w:r>
    </w:p>
    <w:p w14:paraId="5089BF7B">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《黑白世界里的繁花似锦》</w:t>
      </w:r>
    </w:p>
    <w:p w14:paraId="1893C42C">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《趣说汉字》</w:t>
      </w:r>
    </w:p>
    <w:p w14:paraId="44667B27">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《小小服装设计师》</w:t>
      </w:r>
    </w:p>
    <w:p w14:paraId="12E6AF50">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美育课堂</w:t>
      </w:r>
      <w:r>
        <w:rPr>
          <w:rFonts w:hint="eastAsia" w:ascii="仿宋" w:hAnsi="仿宋" w:eastAsia="仿宋" w:cs="仿宋"/>
          <w:i w:val="0"/>
          <w:iCs w:val="0"/>
          <w:caps w:val="0"/>
          <w:color w:val="222222"/>
          <w:spacing w:val="8"/>
          <w:sz w:val="28"/>
          <w:szCs w:val="28"/>
          <w:shd w:val="clear" w:color="auto" w:fill="FFFFFF"/>
          <w:lang w:val="en-US" w:eastAsia="zh-CN"/>
        </w:rPr>
        <w:t>3场：</w:t>
      </w:r>
    </w:p>
    <w:p w14:paraId="4863C91F">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《妙剪生花·童心逸趣》</w:t>
      </w:r>
    </w:p>
    <w:p w14:paraId="517547F6">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《强国复兴有我——科幻画创作》</w:t>
      </w:r>
    </w:p>
    <w:p w14:paraId="63D383E2">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《印像时光》</w:t>
      </w:r>
    </w:p>
    <w:p w14:paraId="5A31109A">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《书法与生活》</w:t>
      </w:r>
    </w:p>
    <w:p w14:paraId="616205A7">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古韵今风</w:t>
      </w:r>
      <w:r>
        <w:rPr>
          <w:rFonts w:hint="eastAsia" w:ascii="仿宋" w:hAnsi="仿宋" w:eastAsia="仿宋" w:cs="仿宋"/>
          <w:i w:val="0"/>
          <w:iCs w:val="0"/>
          <w:caps w:val="0"/>
          <w:color w:val="222222"/>
          <w:spacing w:val="8"/>
          <w:sz w:val="28"/>
          <w:szCs w:val="28"/>
          <w:shd w:val="clear" w:color="auto" w:fill="FFFFFF"/>
          <w:lang w:val="en-US" w:eastAsia="zh-CN"/>
        </w:rPr>
        <w:t>2场：</w:t>
      </w:r>
    </w:p>
    <w:p w14:paraId="290B642F">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《心灯一盏寄中秋》</w:t>
      </w:r>
    </w:p>
    <w:p w14:paraId="18601F27">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《秋菊盈园咏重阳》</w:t>
      </w:r>
    </w:p>
    <w:p w14:paraId="44C99823">
      <w:pPr>
        <w:numPr>
          <w:ilvl w:val="0"/>
          <w:numId w:val="0"/>
        </w:numPr>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“带你看展览”</w:t>
      </w:r>
      <w:r>
        <w:rPr>
          <w:rFonts w:hint="eastAsia" w:ascii="仿宋" w:hAnsi="仿宋" w:eastAsia="仿宋" w:cs="仿宋"/>
          <w:i w:val="0"/>
          <w:iCs w:val="0"/>
          <w:caps w:val="0"/>
          <w:color w:val="222222"/>
          <w:spacing w:val="8"/>
          <w:sz w:val="28"/>
          <w:szCs w:val="28"/>
          <w:shd w:val="clear" w:color="auto" w:fill="FFFFFF"/>
          <w:lang w:val="en-US" w:eastAsia="zh-CN"/>
        </w:rPr>
        <w:t>活动20场。</w:t>
      </w:r>
    </w:p>
    <w:p w14:paraId="6FDCFD86">
      <w:pPr>
        <w:numPr>
          <w:ilvl w:val="0"/>
          <w:numId w:val="0"/>
        </w:numPr>
        <w:ind w:firstLine="594" w:firstLineChars="200"/>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志愿者团队</w:t>
      </w:r>
      <w:r>
        <w:rPr>
          <w:rFonts w:hint="eastAsia" w:ascii="仿宋" w:hAnsi="仿宋" w:eastAsia="仿宋" w:cs="仿宋"/>
          <w:i w:val="0"/>
          <w:iCs w:val="0"/>
          <w:caps w:val="0"/>
          <w:color w:val="222222"/>
          <w:spacing w:val="8"/>
          <w:sz w:val="28"/>
          <w:szCs w:val="28"/>
          <w:shd w:val="clear" w:color="auto" w:fill="FFFFFF"/>
          <w:lang w:val="en-US" w:eastAsia="zh-CN"/>
        </w:rPr>
        <w:t>是岳阳市美术馆提升公共文化服务质量的重要力量。我们在去年的基础上，新发展了270余名志愿者，志愿者团队总人数达到600余人。志愿者主要来自湖南理工学院、湖南民族职业学院、湖南石油化工职业技术学院、岳阳职业技术学院等高校，以及社会各行业的从业人员。志愿者参与前台接待、展厅秩序维护、</w:t>
      </w:r>
      <w:r>
        <w:rPr>
          <w:rFonts w:hint="eastAsia" w:ascii="仿宋" w:hAnsi="仿宋" w:eastAsia="仿宋" w:cs="仿宋"/>
          <w:i w:val="0"/>
          <w:iCs w:val="0"/>
          <w:caps w:val="0"/>
          <w:color w:val="222222"/>
          <w:spacing w:val="8"/>
          <w:sz w:val="28"/>
          <w:szCs w:val="28"/>
          <w:shd w:val="clear" w:color="auto" w:fill="FFFFFF"/>
          <w:lang w:val="en-US" w:eastAsia="zh-Hans"/>
        </w:rPr>
        <w:t>展览作品收件协助、</w:t>
      </w:r>
      <w:r>
        <w:rPr>
          <w:rFonts w:hint="eastAsia" w:ascii="仿宋" w:hAnsi="仿宋" w:eastAsia="仿宋" w:cs="仿宋"/>
          <w:i w:val="0"/>
          <w:iCs w:val="0"/>
          <w:caps w:val="0"/>
          <w:color w:val="222222"/>
          <w:spacing w:val="8"/>
          <w:sz w:val="28"/>
          <w:szCs w:val="28"/>
          <w:shd w:val="clear" w:color="auto" w:fill="FFFFFF"/>
          <w:lang w:val="en-US" w:eastAsia="zh-CN"/>
        </w:rPr>
        <w:t>导览讲解、公教活动助理等工作。通过我馆的培训，志愿者们积极参与到</w:t>
      </w:r>
      <w:r>
        <w:rPr>
          <w:rFonts w:hint="eastAsia" w:ascii="仿宋" w:hAnsi="仿宋" w:eastAsia="仿宋" w:cs="仿宋"/>
          <w:i w:val="0"/>
          <w:iCs w:val="0"/>
          <w:caps w:val="0"/>
          <w:color w:val="222222"/>
          <w:spacing w:val="8"/>
          <w:sz w:val="28"/>
          <w:szCs w:val="28"/>
          <w:shd w:val="clear" w:color="auto" w:fill="FFFFFF"/>
          <w:lang w:val="en-US" w:eastAsia="zh-Hans"/>
        </w:rPr>
        <w:t>每场</w:t>
      </w:r>
      <w:r>
        <w:rPr>
          <w:rFonts w:hint="eastAsia" w:ascii="仿宋" w:hAnsi="仿宋" w:eastAsia="仿宋" w:cs="仿宋"/>
          <w:i w:val="0"/>
          <w:iCs w:val="0"/>
          <w:caps w:val="0"/>
          <w:color w:val="222222"/>
          <w:spacing w:val="8"/>
          <w:sz w:val="28"/>
          <w:szCs w:val="28"/>
          <w:shd w:val="clear" w:color="auto" w:fill="FFFFFF"/>
          <w:lang w:val="en-US" w:eastAsia="zh-CN"/>
        </w:rPr>
        <w:t>公教活动中，辅助场地布置、活动秩序维护、公教活动接待等工作中来，他们的积极参与和无私奉献，为美术馆的各项活动的顺利开展提供了有力的支持和保障。</w:t>
      </w:r>
    </w:p>
    <w:p w14:paraId="08C29E3B">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通过这些公共教育活动，我们吸引了更多的市民走进美术馆，并在轻松愉悦的氛围中获得了“润物细无声”的艺术熏陶。观众的参与度和反馈都非常好，他们表示在这些活动中收获颇丰，对美术馆的公共教育项目给予了高度评价。</w:t>
      </w:r>
    </w:p>
    <w:p w14:paraId="4C11193E">
      <w:pPr>
        <w:numPr>
          <w:ilvl w:val="0"/>
          <w:numId w:val="0"/>
        </w:numPr>
        <w:ind w:firstLine="592" w:firstLineChars="200"/>
        <w:jc w:val="left"/>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展望未来，我们将继续加强公共教育活动的策划和实施，以满足不同观众的需求，为公众提供更高质量、更加丰富多彩的文化体验和服务，提升美术馆的社会影响力。</w:t>
      </w:r>
    </w:p>
    <w:p w14:paraId="4D206B8C">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p>
    <w:p w14:paraId="0BBD5C85">
      <w:pPr>
        <w:numPr>
          <w:ilvl w:val="0"/>
          <w:numId w:val="3"/>
        </w:numPr>
        <w:ind w:firstLine="594" w:firstLineChars="200"/>
        <w:rPr>
          <w:rFonts w:hint="eastAsia" w:ascii="仿宋" w:hAnsi="仿宋" w:eastAsia="仿宋" w:cs="仿宋"/>
          <w:b/>
          <w:bCs/>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笔墨写照湖山，艺术创作丰收。</w:t>
      </w:r>
    </w:p>
    <w:p w14:paraId="343AFFB9">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2023年，岳阳市美术馆（岳阳市书画院）在编人员在出色完成美术馆主要职能的同时，坚持笔耕不辍，专业创作取得了丰硕的成果。戴剑馆长为主创的“大美潇湘”大型系列山水画创作工程，大型中国画作品“天下洞庭”山水长卷作品《天下洞庭》18米山水画长卷，历时两个月合作完成，于10月28日在中国美术馆展出，并在《美术》杂志专题封面刊出。作品以洞庭为主线向周边扩散，展现了岳阳洞庭雄伟壮阔，生机盎然的时代盛状。这是岳阳美术界的一件大事，具有重要的历史价值。</w:t>
      </w:r>
    </w:p>
    <w:p w14:paraId="736A2217">
      <w:pPr>
        <w:numPr>
          <w:ilvl w:val="0"/>
          <w:numId w:val="0"/>
        </w:numPr>
        <w:ind w:firstLine="592" w:firstLineChars="200"/>
        <w:jc w:val="left"/>
        <w:rPr>
          <w:rFonts w:hint="default"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戴剑作品</w:t>
      </w:r>
      <w:r>
        <w:rPr>
          <w:rFonts w:hint="eastAsia" w:eastAsia="仿宋" w:cs="仿宋"/>
          <w:i w:val="0"/>
          <w:iCs w:val="0"/>
          <w:caps w:val="0"/>
          <w:color w:val="222222"/>
          <w:spacing w:val="8"/>
          <w:sz w:val="28"/>
          <w:szCs w:val="28"/>
          <w:shd w:val="clear" w:color="auto" w:fill="FFFFFF"/>
          <w:lang w:val="en-US" w:eastAsia="zh-CN"/>
        </w:rPr>
        <w:t>参加丹青却胜天工妙.中国画写意作品展、守护好一江碧水.中国国家画院长江主题美术作品展；王峰撰写论文《湖南青年油画家的生存状态观察》在《油画艺术》上发表，王峰担任第二届“芦苇艺术节”联合策展人，作品“共同体”参展；</w:t>
      </w:r>
      <w:r>
        <w:rPr>
          <w:rFonts w:hint="eastAsia" w:ascii="仿宋" w:hAnsi="仿宋" w:eastAsia="仿宋" w:cs="仿宋"/>
          <w:i w:val="0"/>
          <w:iCs w:val="0"/>
          <w:caps w:val="0"/>
          <w:color w:val="222222"/>
          <w:spacing w:val="8"/>
          <w:sz w:val="28"/>
          <w:szCs w:val="28"/>
          <w:shd w:val="clear" w:color="auto" w:fill="FFFFFF"/>
          <w:lang w:val="en-US" w:eastAsia="zh-CN"/>
        </w:rPr>
        <w:t>王伟作品参加湖南全省画院书法篆刻作品展，获岳阳市第六届文学艺术奖；史向琼作品参加湖南全省画院书法篆刻作品展；</w:t>
      </w:r>
      <w:r>
        <w:rPr>
          <w:rFonts w:hint="eastAsia" w:eastAsia="仿宋" w:cs="仿宋"/>
          <w:i w:val="0"/>
          <w:iCs w:val="0"/>
          <w:caps w:val="0"/>
          <w:color w:val="222222"/>
          <w:spacing w:val="8"/>
          <w:sz w:val="28"/>
          <w:szCs w:val="28"/>
          <w:shd w:val="clear" w:color="auto" w:fill="FFFFFF"/>
          <w:lang w:val="en-US" w:eastAsia="zh-CN"/>
        </w:rPr>
        <w:t>唐新宇担任第二届“芦苇艺术节”总监，作品“深呼吸”参展。</w:t>
      </w:r>
    </w:p>
    <w:p w14:paraId="39EEF322">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p>
    <w:p w14:paraId="3DC49F25">
      <w:pPr>
        <w:numPr>
          <w:ilvl w:val="0"/>
          <w:numId w:val="3"/>
        </w:numPr>
        <w:ind w:left="0" w:leftChars="0" w:firstLine="594" w:firstLineChars="200"/>
        <w:rPr>
          <w:rFonts w:hint="eastAsia" w:ascii="仿宋" w:hAnsi="仿宋" w:eastAsia="仿宋" w:cs="仿宋"/>
          <w:b/>
          <w:bCs/>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宣传推广及时，提升传播力度。</w:t>
      </w:r>
    </w:p>
    <w:p w14:paraId="42E4E3EE">
      <w:pPr>
        <w:numPr>
          <w:ilvl w:val="0"/>
          <w:numId w:val="0"/>
        </w:numPr>
        <w:ind w:firstLine="592" w:firstLineChars="200"/>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pP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在宣传推广工作方面，全年完成了130余篇微信公众号推送，其中包括展览活动、公教活动和学术活动等，目前我馆公众号粉丝已接近28000人，较去年增长9000人，每篇文章的平均阅读量达1000上下，我馆官方微信公众号名列全市前20。我馆安排专人积极对接主流官方媒体，提供我馆各项工作报道稿件，扩大我馆重要展览、学术活动的影响力。</w:t>
      </w:r>
    </w:p>
    <w:p w14:paraId="3D25DA63">
      <w:pPr>
        <w:numPr>
          <w:ilvl w:val="0"/>
          <w:numId w:val="0"/>
        </w:numPr>
        <w:ind w:firstLine="592" w:firstLineChars="200"/>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pP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在视觉设计工作方面，我馆原创设计展览及公教活动海报广告40余幅，及时更新完成2023年导览手册、宣传展板、公共教育宣传册等一系列馆内视觉设计。我馆海报设计获“重启</w:t>
      </w:r>
      <w:r>
        <w:rPr>
          <w:rFonts w:hint="eastAsia" w:ascii="仿宋" w:hAnsi="仿宋" w:eastAsia="仿宋" w:cs="仿宋"/>
          <w:i w:val="0"/>
          <w:iCs w:val="0"/>
          <w:caps w:val="0"/>
          <w:color w:val="222222"/>
          <w:spacing w:val="8"/>
          <w:sz w:val="28"/>
          <w:szCs w:val="28"/>
          <w:shd w:val="clear" w:color="auto" w:fill="FFFFFF"/>
          <w:lang w:val="en-US" w:eastAsia="zh-CN"/>
        </w:rPr>
        <w:t>·</w:t>
      </w: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开放”2022中国博物馆美术馆海报设计100强。</w:t>
      </w:r>
    </w:p>
    <w:p w14:paraId="7C20C04B">
      <w:pPr>
        <w:numPr>
          <w:ilvl w:val="0"/>
          <w:numId w:val="0"/>
        </w:numPr>
        <w:ind w:leftChars="200"/>
        <w:rPr>
          <w:rFonts w:hint="eastAsia" w:ascii="仿宋" w:hAnsi="仿宋" w:eastAsia="仿宋" w:cs="仿宋"/>
          <w:i w:val="0"/>
          <w:iCs w:val="0"/>
          <w:caps w:val="0"/>
          <w:color w:val="222222"/>
          <w:spacing w:val="8"/>
          <w:sz w:val="28"/>
          <w:szCs w:val="28"/>
          <w:shd w:val="clear" w:color="auto" w:fill="FFFFFF"/>
          <w:lang w:val="en-US" w:eastAsia="zh-CN"/>
        </w:rPr>
      </w:pPr>
    </w:p>
    <w:p w14:paraId="795FED10">
      <w:pPr>
        <w:numPr>
          <w:ilvl w:val="0"/>
          <w:numId w:val="3"/>
        </w:numPr>
        <w:ind w:left="0" w:leftChars="0" w:firstLine="594" w:firstLineChars="200"/>
        <w:rPr>
          <w:rFonts w:hint="eastAsia" w:ascii="仿宋" w:hAnsi="仿宋" w:eastAsia="仿宋" w:cs="仿宋"/>
          <w:b/>
          <w:bCs/>
          <w:i w:val="0"/>
          <w:iCs w:val="0"/>
          <w:caps w:val="0"/>
          <w:color w:val="222222"/>
          <w:spacing w:val="8"/>
          <w:sz w:val="28"/>
          <w:szCs w:val="28"/>
          <w:shd w:val="clear" w:color="auto" w:fill="FFFFFF"/>
          <w:lang w:val="en-US" w:eastAsia="zh-CN"/>
        </w:rPr>
      </w:pPr>
      <w:r>
        <w:rPr>
          <w:rFonts w:hint="eastAsia" w:ascii="仿宋" w:hAnsi="仿宋" w:eastAsia="仿宋" w:cs="仿宋"/>
          <w:b/>
          <w:bCs/>
          <w:i w:val="0"/>
          <w:iCs w:val="0"/>
          <w:caps w:val="0"/>
          <w:color w:val="222222"/>
          <w:spacing w:val="8"/>
          <w:sz w:val="28"/>
          <w:szCs w:val="28"/>
          <w:shd w:val="clear" w:color="auto" w:fill="FFFFFF"/>
          <w:lang w:val="en-US" w:eastAsia="zh-CN"/>
        </w:rPr>
        <w:t>不断发现问题，目标争创一流。</w:t>
      </w:r>
    </w:p>
    <w:p w14:paraId="6CEE7E92">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岳阳市美术馆展览项目策展学术性强，展陈细节到位，我们的工作得到了各级领导及公众的认可，在美术馆行业获得广泛好评，公共教育更是获得文旅部表彰，得益于市局正确的领导，美术馆同仁团结合作和专业精神。在取得成绩的同时，我们也看到了许多不足，这些不足就是制约我们更上层楼的短板。</w:t>
      </w:r>
    </w:p>
    <w:p w14:paraId="5818E78E">
      <w:pPr>
        <w:numPr>
          <w:ilvl w:val="0"/>
          <w:numId w:val="4"/>
        </w:numPr>
        <w:ind w:firstLine="684"/>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我馆尚没有专项收藏经费。做为公立美术馆，除了做好展览策划、公共教育和宣传推广等基本职能，在“典藏研究”方面我们全年近乎交了一张“白卷”。《守护好一江碧水</w:t>
      </w:r>
      <w:r>
        <w:rPr>
          <w:rFonts w:hint="eastAsia" w:ascii="仿宋" w:hAnsi="仿宋" w:eastAsia="仿宋" w:cs="仿宋"/>
          <w:b/>
          <w:bCs/>
          <w:i w:val="0"/>
          <w:iCs w:val="0"/>
          <w:caps w:val="0"/>
          <w:color w:val="222222"/>
          <w:spacing w:val="8"/>
          <w:sz w:val="28"/>
          <w:szCs w:val="28"/>
          <w:shd w:val="clear" w:color="auto" w:fill="FFFFFF"/>
          <w:lang w:val="en-US" w:eastAsia="zh-CN"/>
        </w:rPr>
        <w:t>·</w:t>
      </w:r>
      <w:r>
        <w:rPr>
          <w:rFonts w:hint="eastAsia" w:ascii="仿宋" w:hAnsi="仿宋" w:eastAsia="仿宋" w:cs="仿宋"/>
          <w:i w:val="0"/>
          <w:iCs w:val="0"/>
          <w:caps w:val="0"/>
          <w:color w:val="222222"/>
          <w:spacing w:val="8"/>
          <w:sz w:val="28"/>
          <w:szCs w:val="28"/>
          <w:shd w:val="clear" w:color="auto" w:fill="FFFFFF"/>
          <w:lang w:val="en-US" w:eastAsia="zh-CN"/>
        </w:rPr>
        <w:t>洞庭湖三年展》中80%的作品都时描绘岳阳的原创作品，作者皆为全国一线山水画名家，这些珍贵的画作我馆没有经费哪怕留下一张，空留遗憾！放眼省内，各地市美术馆都有专项收藏经费，80至120万不等，湖南美术馆专项收藏经费每年500万元。已出现了其他地市美术馆来岳阳收藏国展作者作品的尴尬现状，戴剑老师主创的《天下洞庭》山水长卷也已收到湖南美术馆收藏合同。藏品是美术馆的灵魂，岳阳艺术家的精品代表作更应该留在岳阳典藏保护，美术馆人应该承担奇这样的历史责任。恳请市局为美术馆事业的长远发展呼吁，争取尽早落实专项收藏经费进入市财政预算。</w:t>
      </w:r>
    </w:p>
    <w:p w14:paraId="06A622DF">
      <w:pPr>
        <w:numPr>
          <w:ilvl w:val="0"/>
          <w:numId w:val="0"/>
        </w:numPr>
        <w:ind w:firstLine="592" w:firstLineChars="200"/>
        <w:rPr>
          <w:rFonts w:hint="eastAsia"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val="en-US" w:eastAsia="zh-CN"/>
        </w:rPr>
        <w:t>2、与缺乏专项收藏经费相对应的是原藏品库房因技术原因无法使用。原库房设计在负一楼，防潮设计不合理，导致完全不能使用，现有藏品尚存置在会展中心三楼，造成管理上的不便。现有展览作品布展撤展期间使用的临时中转库房也没有恒温防潮设施及安全监控设备，存在明显的安全隐患。由于“典藏”工作属于“看不到”的幕后工作，借此机会向市局领导说明现状，反映问题，希望在2024年将藏品库房改造完成，将原库房藏品搬到新馆统一管理。</w:t>
      </w:r>
    </w:p>
    <w:p w14:paraId="65D50314">
      <w:pPr>
        <w:numPr>
          <w:ilvl w:val="0"/>
          <w:numId w:val="0"/>
        </w:numPr>
        <w:ind w:firstLine="592" w:firstLineChars="200"/>
        <w:rPr>
          <w:rFonts w:hint="eastAsia" w:ascii="仿宋" w:hAnsi="仿宋" w:eastAsia="仿宋" w:cs="仿宋"/>
          <w:b w:val="0"/>
          <w:bCs w:val="0"/>
          <w:i w:val="0"/>
          <w:iCs w:val="0"/>
          <w:caps w:val="0"/>
          <w:color w:val="222222"/>
          <w:spacing w:val="8"/>
          <w:kern w:val="2"/>
          <w:sz w:val="28"/>
          <w:szCs w:val="28"/>
          <w:shd w:val="clear" w:color="auto" w:fill="FFFFFF"/>
          <w:lang w:val="en-US" w:eastAsia="en-US" w:bidi="ar-SA"/>
        </w:rPr>
      </w:pP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3、美术馆团队的优点是团结、专业、有战斗力，不足之处在于我们是一支年轻的团队，存在一些工作有头无尾，活动材料没有及时保存台账，没有形成第一时间向市局主管科室及时上报的良好工作习惯；</w:t>
      </w:r>
      <w:r>
        <w:rPr>
          <w:rFonts w:hint="eastAsia" w:ascii="仿宋" w:hAnsi="仿宋" w:eastAsia="仿宋" w:cs="仿宋"/>
          <w:b w:val="0"/>
          <w:bCs w:val="0"/>
          <w:i w:val="0"/>
          <w:iCs w:val="0"/>
          <w:caps w:val="0"/>
          <w:color w:val="222222"/>
          <w:spacing w:val="8"/>
          <w:kern w:val="2"/>
          <w:sz w:val="28"/>
          <w:szCs w:val="28"/>
          <w:shd w:val="clear" w:color="auto" w:fill="FFFFFF"/>
          <w:lang w:val="en-US" w:eastAsia="en-US" w:bidi="ar-SA"/>
        </w:rPr>
        <w:t>在</w:t>
      </w: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公共教育</w:t>
      </w:r>
      <w:r>
        <w:rPr>
          <w:rFonts w:hint="eastAsia" w:ascii="仿宋" w:hAnsi="仿宋" w:eastAsia="仿宋" w:cs="仿宋"/>
          <w:b w:val="0"/>
          <w:bCs w:val="0"/>
          <w:i w:val="0"/>
          <w:iCs w:val="0"/>
          <w:caps w:val="0"/>
          <w:color w:val="222222"/>
          <w:spacing w:val="8"/>
          <w:kern w:val="2"/>
          <w:sz w:val="28"/>
          <w:szCs w:val="28"/>
          <w:shd w:val="clear" w:color="auto" w:fill="FFFFFF"/>
          <w:lang w:val="en-US" w:eastAsia="en-US" w:bidi="ar-SA"/>
        </w:rPr>
        <w:t>活动策划和执行过程中还需要更加注重细节</w:t>
      </w: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w:t>
      </w:r>
      <w:r>
        <w:rPr>
          <w:rFonts w:hint="eastAsia" w:ascii="仿宋" w:hAnsi="仿宋" w:eastAsia="仿宋" w:cs="仿宋"/>
          <w:b w:val="0"/>
          <w:bCs w:val="0"/>
          <w:i w:val="0"/>
          <w:iCs w:val="0"/>
          <w:caps w:val="0"/>
          <w:color w:val="222222"/>
          <w:spacing w:val="8"/>
          <w:kern w:val="2"/>
          <w:sz w:val="28"/>
          <w:szCs w:val="28"/>
          <w:shd w:val="clear" w:color="auto" w:fill="FFFFFF"/>
          <w:lang w:val="en-US" w:eastAsia="en-US" w:bidi="ar-SA"/>
        </w:rPr>
        <w:t>在与观众沟通交流时还需要更加注重语言技巧和表达能力</w:t>
      </w: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w:t>
      </w:r>
      <w:r>
        <w:rPr>
          <w:rFonts w:hint="eastAsia" w:ascii="仿宋" w:hAnsi="仿宋" w:eastAsia="仿宋" w:cs="仿宋"/>
          <w:b w:val="0"/>
          <w:bCs w:val="0"/>
          <w:i w:val="0"/>
          <w:iCs w:val="0"/>
          <w:caps w:val="0"/>
          <w:color w:val="222222"/>
          <w:spacing w:val="8"/>
          <w:kern w:val="2"/>
          <w:sz w:val="28"/>
          <w:szCs w:val="28"/>
          <w:shd w:val="clear" w:color="auto" w:fill="FFFFFF"/>
          <w:lang w:val="en-US" w:eastAsia="en-US" w:bidi="ar-SA"/>
        </w:rPr>
        <w:t>在宣传推广方面还需要加大力度</w:t>
      </w: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拓展宣传</w:t>
      </w:r>
      <w:r>
        <w:rPr>
          <w:rFonts w:hint="eastAsia" w:ascii="仿宋" w:hAnsi="仿宋" w:eastAsia="仿宋" w:cs="仿宋"/>
          <w:b w:val="0"/>
          <w:bCs w:val="0"/>
          <w:i w:val="0"/>
          <w:iCs w:val="0"/>
          <w:caps w:val="0"/>
          <w:color w:val="222222"/>
          <w:spacing w:val="8"/>
          <w:kern w:val="2"/>
          <w:sz w:val="28"/>
          <w:szCs w:val="28"/>
          <w:shd w:val="clear" w:color="auto" w:fill="FFFFFF"/>
          <w:lang w:val="en-US" w:eastAsia="en-US" w:bidi="ar-SA"/>
        </w:rPr>
        <w:t>等等。</w:t>
      </w:r>
    </w:p>
    <w:p w14:paraId="76FEF855">
      <w:pPr>
        <w:numPr>
          <w:ilvl w:val="0"/>
          <w:numId w:val="0"/>
        </w:numPr>
        <w:ind w:firstLine="592" w:firstLineChars="200"/>
        <w:rPr>
          <w:rFonts w:hint="default"/>
          <w:lang w:val="en-US" w:eastAsia="zh-Hans"/>
        </w:rPr>
      </w:pPr>
      <w:r>
        <w:rPr>
          <w:rFonts w:hint="eastAsia" w:ascii="仿宋" w:hAnsi="仿宋" w:eastAsia="仿宋" w:cs="仿宋"/>
          <w:b w:val="0"/>
          <w:bCs w:val="0"/>
          <w:i w:val="0"/>
          <w:iCs w:val="0"/>
          <w:caps w:val="0"/>
          <w:color w:val="222222"/>
          <w:spacing w:val="8"/>
          <w:kern w:val="2"/>
          <w:sz w:val="28"/>
          <w:szCs w:val="28"/>
          <w:shd w:val="clear" w:color="auto" w:fill="FFFFFF"/>
          <w:lang w:val="en-US" w:eastAsia="zh-CN" w:bidi="ar-SA"/>
        </w:rPr>
        <w:t>在今后的工作中我们一定要严格要求自己，养成工作走流程，及时做台账的工作习惯；一定到做到克服困难、讲究方法，学会从工作中积累经验，做到善于学习、善于反思、勇于改变、敢于担当，将美术馆各项工作迈上新台阶。</w:t>
      </w:r>
    </w:p>
    <w:p w14:paraId="56921A63">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14:paraId="1883DCAD">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我馆的基本职能中有一项工作是美术馆工作的核心和灵魂——典藏研究。一座城市的美的记忆主要由艺术品以及艺术馆来承载，世界上主要的发达国家和我国中心城市和沿海发达城市美术馆事业蓬勃发展，“典藏研究”在这些城市普遍受到重视，他们的美术馆小心翼翼地收藏保护着每个时代的经典艺术品，这个城市因此有了“灵魂”。环顾我们周边，长沙、湘潭、常德、衡阳、株洲美术馆每年的收藏经费最低都有120万元，湖南美术馆收藏经费达到了800万元，而岳阳市美术馆收藏经费为零。新馆地下藏品库因设计施工技术因素无法实现防潮恒温，完全不能使用；暂存在老馆的藏品需要搬运到新馆来，拟将二楼周转仓库如改为藏品库，但需要重新改造，要解决太阳暴晒、防潮除湿、门禁防盗三项基础设施，需要专项资金。</w:t>
      </w:r>
    </w:p>
    <w:p w14:paraId="39E7DFCD">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如以上问题不能得到有效解决，将成为岳阳市美术馆评省重点美术馆和国家重点美术馆的硬伤和瓶颈。因此，我们的工作存在重大不足，还需要多方呼吁和努力，争取打开新局面，更上一层楼！</w:t>
      </w:r>
    </w:p>
    <w:p w14:paraId="1B494642">
      <w:pPr>
        <w:keepNext w:val="0"/>
        <w:keepLines w:val="0"/>
        <w:pageBreakBefore w:val="0"/>
        <w:widowControl/>
        <w:numPr>
          <w:ilvl w:val="0"/>
          <w:numId w:val="5"/>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14:paraId="522FA4E0">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lang w:val="en-US" w:eastAsia="zh-CN"/>
        </w:rPr>
      </w:pPr>
      <w:r>
        <w:rPr>
          <w:rFonts w:hint="eastAsia" w:ascii="仿宋_GB2312" w:hAnsi="仿宋_GB2312" w:eastAsia="仿宋_GB2312" w:cs="仿宋_GB2312"/>
          <w:bCs/>
          <w:sz w:val="28"/>
          <w:szCs w:val="28"/>
          <w:lang w:val="en-US" w:eastAsia="zh-CN"/>
        </w:rPr>
        <w:t>进一步加强我馆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14:paraId="25638B68">
      <w:pPr>
        <w:keepNext w:val="0"/>
        <w:keepLines w:val="0"/>
        <w:pageBreakBefore w:val="0"/>
        <w:widowControl/>
        <w:numPr>
          <w:ilvl w:val="0"/>
          <w:numId w:val="5"/>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部门整体支出绩效自评结果拟应用和公开情况</w:t>
      </w:r>
    </w:p>
    <w:p w14:paraId="486DDB3F">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2023年我馆整体支出绩效自评结果得分98分，拟定7月中下旬在本部门、单位的门户网站公开，接受社会监督。</w:t>
      </w:r>
    </w:p>
    <w:p w14:paraId="4CE351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B32E2"/>
    <w:multiLevelType w:val="singleLevel"/>
    <w:tmpl w:val="8F0B32E2"/>
    <w:lvl w:ilvl="0" w:tentative="0">
      <w:start w:val="1"/>
      <w:numFmt w:val="chineseCounting"/>
      <w:suff w:val="nothing"/>
      <w:lvlText w:val="%1、"/>
      <w:lvlJc w:val="left"/>
      <w:rPr>
        <w:rFonts w:hint="eastAsia"/>
      </w:rPr>
    </w:lvl>
  </w:abstractNum>
  <w:abstractNum w:abstractNumId="1">
    <w:nsid w:val="97BE699C"/>
    <w:multiLevelType w:val="singleLevel"/>
    <w:tmpl w:val="97BE699C"/>
    <w:lvl w:ilvl="0" w:tentative="0">
      <w:start w:val="8"/>
      <w:numFmt w:val="chineseCounting"/>
      <w:suff w:val="nothing"/>
      <w:lvlText w:val="%1、"/>
      <w:lvlJc w:val="left"/>
      <w:rPr>
        <w:rFonts w:hint="eastAsia"/>
      </w:rPr>
    </w:lvl>
  </w:abstractNum>
  <w:abstractNum w:abstractNumId="2">
    <w:nsid w:val="ECD805EE"/>
    <w:multiLevelType w:val="singleLevel"/>
    <w:tmpl w:val="ECD805EE"/>
    <w:lvl w:ilvl="0" w:tentative="0">
      <w:start w:val="4"/>
      <w:numFmt w:val="chineseCounting"/>
      <w:suff w:val="nothing"/>
      <w:lvlText w:val="%1、"/>
      <w:lvlJc w:val="left"/>
      <w:rPr>
        <w:rFonts w:hint="eastAsia"/>
      </w:rPr>
    </w:lvl>
  </w:abstractNum>
  <w:abstractNum w:abstractNumId="3">
    <w:nsid w:val="F7FCE942"/>
    <w:multiLevelType w:val="singleLevel"/>
    <w:tmpl w:val="F7FCE942"/>
    <w:lvl w:ilvl="0" w:tentative="0">
      <w:start w:val="1"/>
      <w:numFmt w:val="decimal"/>
      <w:suff w:val="nothing"/>
      <w:lvlText w:val="%1、"/>
      <w:lvlJc w:val="left"/>
    </w:lvl>
  </w:abstractNum>
  <w:abstractNum w:abstractNumId="4">
    <w:nsid w:val="58EEF73E"/>
    <w:multiLevelType w:val="singleLevel"/>
    <w:tmpl w:val="58EEF73E"/>
    <w:lvl w:ilvl="0" w:tentative="0">
      <w:start w:val="2"/>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264F78B3"/>
    <w:rsid w:val="01F2171A"/>
    <w:rsid w:val="02D3032A"/>
    <w:rsid w:val="05EA4D7A"/>
    <w:rsid w:val="0A2F45DF"/>
    <w:rsid w:val="1893524B"/>
    <w:rsid w:val="264F78B3"/>
    <w:rsid w:val="36EF672E"/>
    <w:rsid w:val="3F132CD0"/>
    <w:rsid w:val="4AE54AAF"/>
    <w:rsid w:val="67AF2A90"/>
    <w:rsid w:val="7123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5484</Words>
  <Characters>5629</Characters>
  <Lines>0</Lines>
  <Paragraphs>0</Paragraphs>
  <TotalTime>0</TotalTime>
  <ScaleCrop>false</ScaleCrop>
  <LinksUpToDate>false</LinksUpToDate>
  <CharactersWithSpaces>5633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2023-07-14T06:08:00Z</dcterms:created>
  <dc:creator>芬 芬  </dc:creator>
  <cp:lastModifiedBy>们焉禄痴撤</cp:lastModifiedBy>
  <dcterms:modified xsi:type="dcterms:W3CDTF">2024-09-23T09:14:59Z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582E515C500F466384477C7FC5740997_13</vt:lpwstr>
  </property>
</Properties>
</file>