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AD65B">
      <w:pPr>
        <w:pStyle w:val="11"/>
        <w:framePr w:wrap="auto" w:vAnchor="margin" w:hAnchor="text" w:yAlign="inline"/>
        <w:jc w:val="center"/>
        <w:rPr>
          <w:sz w:val="56"/>
          <w:szCs w:val="56"/>
        </w:rPr>
      </w:pPr>
    </w:p>
    <w:p w14:paraId="6F9783A3">
      <w:pPr>
        <w:pStyle w:val="11"/>
        <w:framePr w:wrap="auto" w:vAnchor="margin" w:hAnchor="text" w:yAlign="inline"/>
        <w:jc w:val="center"/>
        <w:rPr>
          <w:sz w:val="56"/>
          <w:szCs w:val="56"/>
        </w:rPr>
      </w:pPr>
    </w:p>
    <w:p w14:paraId="34680974">
      <w:pPr>
        <w:pStyle w:val="11"/>
        <w:framePr w:wrap="auto" w:vAnchor="margin" w:hAnchor="text" w:yAlign="inline"/>
        <w:jc w:val="center"/>
        <w:rPr>
          <w:sz w:val="84"/>
          <w:szCs w:val="84"/>
        </w:rPr>
      </w:pPr>
    </w:p>
    <w:p w14:paraId="0A2EE047">
      <w:pPr>
        <w:pStyle w:val="11"/>
        <w:framePr w:wrap="auto" w:vAnchor="margin" w:hAnchor="text" w:yAlign="inline"/>
        <w:jc w:val="center"/>
        <w:rPr>
          <w:sz w:val="84"/>
          <w:szCs w:val="84"/>
        </w:rPr>
      </w:pPr>
    </w:p>
    <w:p w14:paraId="191DB020">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en-US"/>
        </w:rPr>
        <w:t>2023</w:t>
      </w:r>
      <w:r>
        <w:rPr>
          <w:rFonts w:ascii="方正小标宋_GBK" w:hAnsi="方正小标宋_GBK" w:eastAsia="方正小标宋_GBK" w:cs="方正小标宋_GBK"/>
          <w:sz w:val="84"/>
          <w:szCs w:val="84"/>
          <w:rtl w:val="0"/>
          <w:lang w:val="zh-TW" w:eastAsia="zh-TW"/>
        </w:rPr>
        <w:t>年度</w:t>
      </w:r>
    </w:p>
    <w:p w14:paraId="2E8B1C66">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zh-CN" w:eastAsia="zh-CN"/>
        </w:rPr>
        <w:t>岳阳市博物馆单位</w:t>
      </w:r>
      <w:r>
        <w:rPr>
          <w:rFonts w:ascii="方正小标宋_GBK" w:hAnsi="方正小标宋_GBK" w:eastAsia="方正小标宋_GBK" w:cs="方正小标宋_GBK"/>
          <w:sz w:val="84"/>
          <w:szCs w:val="84"/>
          <w:rtl w:val="0"/>
          <w:lang w:val="zh-TW" w:eastAsia="zh-TW"/>
        </w:rPr>
        <w:t>决算</w:t>
      </w:r>
    </w:p>
    <w:p w14:paraId="6096DF85">
      <w:pPr>
        <w:pStyle w:val="11"/>
        <w:framePr w:wrap="auto" w:vAnchor="margin" w:hAnchor="text" w:yAlign="inline"/>
        <w:jc w:val="center"/>
        <w:rPr>
          <w:rFonts w:ascii="方正小标宋_GBK" w:hAnsi="方正小标宋_GBK" w:eastAsia="方正小标宋_GBK" w:cs="方正小标宋_GBK"/>
          <w:sz w:val="56"/>
          <w:szCs w:val="56"/>
          <w:lang w:val="zh-TW" w:eastAsia="zh-TW"/>
        </w:rPr>
      </w:pPr>
    </w:p>
    <w:p w14:paraId="6F3562F4">
      <w:pPr>
        <w:pStyle w:val="11"/>
        <w:framePr w:wrap="auto" w:vAnchor="margin" w:hAnchor="text" w:yAlign="inline"/>
        <w:jc w:val="center"/>
        <w:rPr>
          <w:sz w:val="56"/>
          <w:szCs w:val="56"/>
        </w:rPr>
      </w:pPr>
    </w:p>
    <w:p w14:paraId="61F7FCAD">
      <w:pPr>
        <w:pStyle w:val="11"/>
        <w:framePr w:wrap="auto" w:vAnchor="margin" w:hAnchor="text" w:yAlign="inline"/>
        <w:jc w:val="center"/>
        <w:rPr>
          <w:sz w:val="56"/>
          <w:szCs w:val="56"/>
        </w:rPr>
      </w:pPr>
    </w:p>
    <w:p w14:paraId="41F8D275">
      <w:pPr>
        <w:pStyle w:val="11"/>
        <w:framePr w:wrap="auto" w:vAnchor="margin" w:hAnchor="text" w:yAlign="inline"/>
        <w:jc w:val="center"/>
        <w:rPr>
          <w:sz w:val="56"/>
          <w:szCs w:val="56"/>
        </w:rPr>
      </w:pPr>
    </w:p>
    <w:p w14:paraId="7BAED753">
      <w:pPr>
        <w:pStyle w:val="11"/>
        <w:framePr w:wrap="auto" w:vAnchor="margin" w:hAnchor="text" w:yAlign="inline"/>
        <w:jc w:val="center"/>
        <w:rPr>
          <w:sz w:val="32"/>
          <w:szCs w:val="32"/>
        </w:rPr>
      </w:pPr>
    </w:p>
    <w:p w14:paraId="2A2D3A41">
      <w:pPr>
        <w:pStyle w:val="11"/>
        <w:framePr w:wrap="auto" w:vAnchor="margin" w:hAnchor="text" w:yAlign="inline"/>
        <w:jc w:val="center"/>
        <w:rPr>
          <w:sz w:val="32"/>
          <w:szCs w:val="32"/>
        </w:rPr>
      </w:pPr>
    </w:p>
    <w:p w14:paraId="6DD4071E">
      <w:pPr>
        <w:pStyle w:val="11"/>
        <w:framePr w:wrap="auto" w:vAnchor="margin" w:hAnchor="text" w:yAlign="inline"/>
        <w:jc w:val="center"/>
        <w:rPr>
          <w:sz w:val="32"/>
          <w:szCs w:val="32"/>
        </w:rPr>
      </w:pPr>
    </w:p>
    <w:p w14:paraId="20927D31">
      <w:pPr>
        <w:pStyle w:val="11"/>
        <w:framePr w:wrap="auto" w:vAnchor="margin" w:hAnchor="text" w:yAlign="inline"/>
        <w:jc w:val="center"/>
        <w:rPr>
          <w:sz w:val="32"/>
          <w:szCs w:val="32"/>
        </w:rPr>
      </w:pPr>
    </w:p>
    <w:p w14:paraId="7FC9C00A">
      <w:pPr>
        <w:pStyle w:val="11"/>
        <w:framePr w:wrap="auto" w:vAnchor="margin" w:hAnchor="text" w:yAlign="inline"/>
        <w:jc w:val="center"/>
        <w:rPr>
          <w:sz w:val="32"/>
          <w:szCs w:val="32"/>
        </w:rPr>
      </w:pPr>
    </w:p>
    <w:p w14:paraId="3FA1705C">
      <w:pPr>
        <w:pStyle w:val="11"/>
        <w:framePr w:wrap="auto" w:vAnchor="margin" w:hAnchor="text" w:yAlign="inline"/>
        <w:spacing w:line="540" w:lineRule="exact"/>
        <w:jc w:val="center"/>
        <w:rPr>
          <w:sz w:val="56"/>
          <w:szCs w:val="56"/>
        </w:rPr>
      </w:pPr>
    </w:p>
    <w:p w14:paraId="7E5DA935">
      <w:pPr>
        <w:pStyle w:val="11"/>
        <w:framePr w:wrap="auto" w:vAnchor="margin" w:hAnchor="text" w:yAlign="inline"/>
        <w:spacing w:line="500" w:lineRule="exact"/>
        <w:rPr>
          <w:b/>
          <w:bCs/>
          <w:sz w:val="36"/>
          <w:szCs w:val="36"/>
        </w:rPr>
      </w:pPr>
    </w:p>
    <w:p w14:paraId="05F8B768">
      <w:pPr>
        <w:pStyle w:val="11"/>
        <w:framePr w:wrap="auto" w:vAnchor="margin" w:hAnchor="text" w:yAlign="inline"/>
        <w:spacing w:line="500" w:lineRule="exact"/>
        <w:jc w:val="center"/>
        <w:rPr>
          <w:b/>
          <w:bCs/>
          <w:sz w:val="36"/>
          <w:szCs w:val="36"/>
          <w:lang w:val="zh-TW" w:eastAsia="zh-TW"/>
        </w:rPr>
      </w:pPr>
      <w:r>
        <w:rPr>
          <w:b/>
          <w:bCs/>
          <w:sz w:val="36"/>
          <w:szCs w:val="36"/>
          <w:rtl w:val="0"/>
          <w:lang w:val="zh-TW" w:eastAsia="zh-TW"/>
        </w:rPr>
        <w:t>目录</w:t>
      </w:r>
    </w:p>
    <w:p w14:paraId="3AB1B44D">
      <w:pPr>
        <w:pStyle w:val="11"/>
        <w:framePr w:wrap="auto" w:vAnchor="margin" w:hAnchor="text" w:yAlign="inline"/>
        <w:spacing w:line="500" w:lineRule="exact"/>
        <w:rPr>
          <w:sz w:val="28"/>
          <w:szCs w:val="28"/>
        </w:rPr>
      </w:pPr>
      <w:r>
        <w:rPr>
          <w:sz w:val="28"/>
          <w:szCs w:val="28"/>
          <w:rtl w:val="0"/>
          <w:lang w:val="zh-TW" w:eastAsia="zh-TW"/>
        </w:rPr>
        <w:t>第一部分</w:t>
      </w:r>
      <w:r>
        <w:rPr>
          <w:sz w:val="28"/>
          <w:szCs w:val="28"/>
          <w:rtl w:val="0"/>
          <w:lang w:val="en-US"/>
        </w:rPr>
        <w:t xml:space="preserve"> </w:t>
      </w:r>
      <w:r>
        <w:rPr>
          <w:rtl w:val="0"/>
          <w:lang w:val="zh-CN" w:eastAsia="zh-CN"/>
        </w:rPr>
        <w:t>岳阳市博物馆</w:t>
      </w:r>
      <w:r>
        <w:rPr>
          <w:sz w:val="28"/>
          <w:szCs w:val="28"/>
          <w:rtl w:val="0"/>
          <w:lang w:val="zh-TW" w:eastAsia="zh-TW"/>
        </w:rPr>
        <w:t>单位概况</w:t>
      </w:r>
    </w:p>
    <w:p w14:paraId="05778F9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一、部门职责</w:t>
      </w:r>
    </w:p>
    <w:p w14:paraId="277E845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二、机构设置</w:t>
      </w:r>
    </w:p>
    <w:p w14:paraId="01BA4384">
      <w:pPr>
        <w:pStyle w:val="11"/>
        <w:framePr w:wrap="auto" w:vAnchor="margin" w:hAnchor="text" w:yAlign="inline"/>
        <w:spacing w:line="500" w:lineRule="exact"/>
        <w:rPr>
          <w:sz w:val="28"/>
          <w:szCs w:val="28"/>
        </w:rPr>
      </w:pPr>
      <w:r>
        <w:rPr>
          <w:sz w:val="28"/>
          <w:szCs w:val="28"/>
          <w:rtl w:val="0"/>
          <w:lang w:val="zh-TW" w:eastAsia="zh-TW"/>
        </w:rPr>
        <w:t>第二部分</w:t>
      </w:r>
      <w:r>
        <w:rPr>
          <w:sz w:val="28"/>
          <w:szCs w:val="28"/>
          <w:rtl w:val="0"/>
          <w:lang w:val="en-US"/>
        </w:rPr>
        <w:t xml:space="preserve"> </w:t>
      </w:r>
      <w:r>
        <w:rPr>
          <w:sz w:val="28"/>
          <w:szCs w:val="28"/>
          <w:rtl w:val="0"/>
          <w:lang w:val="zh-TW" w:eastAsia="zh-TW"/>
        </w:rPr>
        <w:t>部门决算表</w:t>
      </w:r>
    </w:p>
    <w:p w14:paraId="51013F36">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一、收入支出决算总表</w:t>
      </w:r>
    </w:p>
    <w:p w14:paraId="19A64302">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二、收入决算表</w:t>
      </w:r>
    </w:p>
    <w:p w14:paraId="4C6377A0">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三、支出决算表</w:t>
      </w:r>
    </w:p>
    <w:p w14:paraId="3DB7FE0A">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四、财政拨款收入支出决算总表</w:t>
      </w:r>
    </w:p>
    <w:p w14:paraId="17285E2F">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五、一般公共预算财政拨款支出决算表</w:t>
      </w:r>
    </w:p>
    <w:p w14:paraId="3A16EA35">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六、一般公共预算财政拨款基本支出决算明细表</w:t>
      </w:r>
    </w:p>
    <w:p w14:paraId="17241563">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七、政府性基金预算财政拨款收入支出决算表</w:t>
      </w:r>
    </w:p>
    <w:p w14:paraId="409F8B5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八、国有资本经营预算财政拨款支出决算表</w:t>
      </w:r>
    </w:p>
    <w:p w14:paraId="6B1BE775">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sz w:val="28"/>
          <w:szCs w:val="28"/>
          <w:rtl w:val="0"/>
          <w:lang w:val="zh-TW" w:eastAsia="zh-TW"/>
        </w:rPr>
        <w:t>九、财政拨款</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三公</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经费支出决算表</w:t>
      </w:r>
    </w:p>
    <w:p w14:paraId="09E18153">
      <w:pPr>
        <w:pStyle w:val="11"/>
        <w:framePr w:wrap="auto" w:vAnchor="margin" w:hAnchor="text" w:yAlign="inline"/>
        <w:spacing w:line="500" w:lineRule="exact"/>
        <w:rPr>
          <w:sz w:val="28"/>
          <w:szCs w:val="28"/>
        </w:rPr>
      </w:pPr>
      <w:r>
        <w:rPr>
          <w:sz w:val="28"/>
          <w:szCs w:val="28"/>
          <w:rtl w:val="0"/>
          <w:lang w:val="zh-TW" w:eastAsia="zh-TW"/>
        </w:rPr>
        <w:t>第三部分</w:t>
      </w:r>
      <w:r>
        <w:rPr>
          <w:sz w:val="28"/>
          <w:szCs w:val="28"/>
          <w:rtl w:val="0"/>
          <w:lang w:val="en-US"/>
        </w:rPr>
        <w:t xml:space="preserve"> </w:t>
      </w:r>
      <w:r>
        <w:rPr>
          <w:sz w:val="28"/>
          <w:szCs w:val="28"/>
          <w:rtl w:val="0"/>
          <w:lang w:val="zh-TW" w:eastAsia="zh-TW"/>
        </w:rPr>
        <w:t>部门决算情况说明</w:t>
      </w:r>
    </w:p>
    <w:p w14:paraId="0F7DA33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一、收入支出决算总体情况说明</w:t>
      </w:r>
    </w:p>
    <w:p w14:paraId="5959C215">
      <w:pPr>
        <w:framePr w:wrap="auto" w:vAnchor="margin" w:hAnchor="text" w:yAlign="inline"/>
        <w:spacing w:line="500" w:lineRule="exact"/>
        <w:ind w:firstLine="700"/>
        <w:jc w:val="left"/>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二、收入决算情况说明</w:t>
      </w:r>
    </w:p>
    <w:p w14:paraId="08566F3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三、支出决算情况说明</w:t>
      </w:r>
    </w:p>
    <w:p w14:paraId="7D392B0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四、财政拨款收入支出决算总体情况说明</w:t>
      </w:r>
    </w:p>
    <w:p w14:paraId="6E885B90">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五、一般公共预算财政拨款支出决算情况说明</w:t>
      </w:r>
    </w:p>
    <w:p w14:paraId="75621C97">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六、一般公共预算财政拨款基本支出决算情况说明</w:t>
      </w:r>
    </w:p>
    <w:p w14:paraId="20CE62FA">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七、政府性基金预算收入支出决算情况</w:t>
      </w:r>
    </w:p>
    <w:p w14:paraId="39C0EC1C">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八、</w:t>
      </w:r>
      <w:r>
        <w:rPr>
          <w:rFonts w:ascii="仿宋_GB2312" w:hAnsi="仿宋_GB2312" w:eastAsia="仿宋_GB2312" w:cs="仿宋_GB2312"/>
          <w:sz w:val="28"/>
          <w:szCs w:val="28"/>
          <w:rtl w:val="0"/>
          <w:lang w:val="zh-TW" w:eastAsia="zh-TW"/>
        </w:rPr>
        <w:t>国有资本经营预算财政拨款支出决算情况</w:t>
      </w:r>
    </w:p>
    <w:p w14:paraId="0557A676">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九、财政拨款三公经费支出决算情况说明</w:t>
      </w:r>
    </w:p>
    <w:p w14:paraId="3E5EFB8F">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十、关于机关运行经费支出说明</w:t>
      </w:r>
    </w:p>
    <w:p w14:paraId="5EA81A6B">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十一、一般性支出情况说明</w:t>
      </w:r>
    </w:p>
    <w:p w14:paraId="36F9AF35">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sz w:val="28"/>
          <w:szCs w:val="28"/>
          <w:rtl w:val="0"/>
          <w:lang w:val="zh-TW" w:eastAsia="zh-TW"/>
        </w:rPr>
        <w:t>十二、</w:t>
      </w:r>
      <w:r>
        <w:rPr>
          <w:rFonts w:ascii="仿宋_GB2312" w:hAnsi="仿宋_GB2312" w:eastAsia="仿宋_GB2312" w:cs="仿宋_GB2312"/>
          <w:color w:val="000000"/>
          <w:kern w:val="0"/>
          <w:sz w:val="28"/>
          <w:szCs w:val="28"/>
          <w:u w:color="000000"/>
          <w:rtl w:val="0"/>
          <w:lang w:val="zh-TW" w:eastAsia="zh-TW"/>
        </w:rPr>
        <w:t>关于政府采购支出说明</w:t>
      </w:r>
    </w:p>
    <w:p w14:paraId="09FE9359">
      <w:pPr>
        <w:framePr w:wrap="auto" w:vAnchor="margin" w:hAnchor="text" w:yAlign="inline"/>
        <w:spacing w:line="480" w:lineRule="exact"/>
        <w:ind w:firstLine="700"/>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十三、关于国有资产占用情况说明</w:t>
      </w:r>
    </w:p>
    <w:p w14:paraId="66CA8C53">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color w:val="000000"/>
          <w:kern w:val="0"/>
          <w:sz w:val="28"/>
          <w:szCs w:val="28"/>
          <w:u w:color="000000"/>
          <w:rtl w:val="0"/>
          <w:lang w:val="zh-TW" w:eastAsia="zh-TW"/>
        </w:rPr>
        <w:t>十四、</w:t>
      </w:r>
      <w:r>
        <w:rPr>
          <w:rFonts w:ascii="仿宋_GB2312" w:hAnsi="仿宋_GB2312" w:eastAsia="仿宋_GB2312" w:cs="仿宋_GB2312"/>
          <w:sz w:val="28"/>
          <w:szCs w:val="28"/>
          <w:rtl w:val="0"/>
          <w:lang w:val="zh-TW" w:eastAsia="zh-TW"/>
        </w:rPr>
        <w:t>关于</w:t>
      </w:r>
      <w:r>
        <w:rPr>
          <w:rFonts w:ascii="Times New Roman" w:hAnsi="Times New Roman"/>
          <w:sz w:val="28"/>
          <w:szCs w:val="28"/>
          <w:rtl w:val="0"/>
          <w:lang w:val="en-US"/>
        </w:rPr>
        <w:t>2023</w:t>
      </w:r>
      <w:r>
        <w:rPr>
          <w:rFonts w:ascii="仿宋_GB2312" w:hAnsi="仿宋_GB2312" w:eastAsia="仿宋_GB2312" w:cs="仿宋_GB2312"/>
          <w:sz w:val="28"/>
          <w:szCs w:val="28"/>
          <w:rtl w:val="0"/>
          <w:lang w:val="zh-TW" w:eastAsia="zh-TW"/>
        </w:rPr>
        <w:t>年度预算绩效情况的说明</w:t>
      </w:r>
    </w:p>
    <w:p w14:paraId="6394BA68">
      <w:pPr>
        <w:pStyle w:val="11"/>
        <w:framePr w:wrap="auto" w:vAnchor="margin" w:hAnchor="text" w:yAlign="inline"/>
        <w:spacing w:line="500" w:lineRule="exact"/>
        <w:rPr>
          <w:sz w:val="28"/>
          <w:szCs w:val="28"/>
        </w:rPr>
      </w:pPr>
      <w:r>
        <w:rPr>
          <w:sz w:val="28"/>
          <w:szCs w:val="28"/>
          <w:rtl w:val="0"/>
          <w:lang w:val="zh-TW" w:eastAsia="zh-TW"/>
        </w:rPr>
        <w:t>第四部分</w:t>
      </w:r>
      <w:r>
        <w:rPr>
          <w:sz w:val="28"/>
          <w:szCs w:val="28"/>
          <w:rtl w:val="0"/>
          <w:lang w:val="en-US"/>
        </w:rPr>
        <w:t xml:space="preserve"> </w:t>
      </w:r>
      <w:r>
        <w:rPr>
          <w:sz w:val="28"/>
          <w:szCs w:val="28"/>
          <w:rtl w:val="0"/>
          <w:lang w:val="zh-TW" w:eastAsia="zh-TW"/>
        </w:rPr>
        <w:t>名词解释</w:t>
      </w:r>
    </w:p>
    <w:p w14:paraId="39330D25">
      <w:pPr>
        <w:pStyle w:val="11"/>
        <w:framePr w:wrap="auto" w:vAnchor="margin" w:hAnchor="text" w:yAlign="inline"/>
        <w:spacing w:line="500" w:lineRule="exact"/>
        <w:rPr>
          <w:sz w:val="28"/>
          <w:szCs w:val="28"/>
        </w:rPr>
      </w:pPr>
      <w:r>
        <w:rPr>
          <w:sz w:val="28"/>
          <w:szCs w:val="28"/>
          <w:rtl w:val="0"/>
          <w:lang w:val="zh-TW" w:eastAsia="zh-TW"/>
        </w:rPr>
        <w:t>第五部分</w:t>
      </w:r>
      <w:r>
        <w:rPr>
          <w:sz w:val="28"/>
          <w:szCs w:val="28"/>
          <w:rtl w:val="0"/>
          <w:lang w:val="en-US"/>
        </w:rPr>
        <w:t xml:space="preserve"> </w:t>
      </w:r>
      <w:r>
        <w:rPr>
          <w:sz w:val="28"/>
          <w:szCs w:val="28"/>
          <w:rtl w:val="0"/>
          <w:lang w:val="zh-TW" w:eastAsia="zh-TW"/>
        </w:rPr>
        <w:t>附件</w:t>
      </w:r>
    </w:p>
    <w:p w14:paraId="7F57B75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032DFEA">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32A728">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 xml:space="preserve">第一部分 </w:t>
      </w:r>
    </w:p>
    <w:p w14:paraId="79AA1038">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AB88AB6">
      <w:pPr>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b w:val="0"/>
          <w:bCs w:val="0"/>
          <w:i w:val="0"/>
          <w:iCs w:val="0"/>
          <w:caps w:val="0"/>
          <w:smallCaps w:val="0"/>
          <w:strike w:val="0"/>
          <w:dstrike w:val="0"/>
          <w:outline w:val="0"/>
          <w:emboss w:val="0"/>
          <w:imprint w:val="0"/>
          <w:vanish w:val="0"/>
          <w:sz w:val="84"/>
          <w:szCs w:val="84"/>
          <w:rtl w:val="0"/>
          <w:lang w:val="zh-CN" w:eastAsia="zh-CN"/>
        </w:rPr>
        <w:t>岳阳市博物馆</w:t>
      </w:r>
      <w:r>
        <w:rPr>
          <w:rFonts w:ascii="方正小标宋_GBK" w:hAnsi="方正小标宋_GBK" w:eastAsia="方正小标宋_GBK" w:cs="方正小标宋_GBK"/>
          <w:sz w:val="84"/>
          <w:szCs w:val="84"/>
          <w:rtl w:val="0"/>
          <w:lang w:val="zh-TW" w:eastAsia="zh-TW"/>
        </w:rPr>
        <w:t>单位概况</w:t>
      </w:r>
    </w:p>
    <w:p w14:paraId="1334BF8A">
      <w:pPr>
        <w:pStyle w:val="4"/>
        <w:framePr w:wrap="auto" w:vAnchor="margin" w:hAnchor="text" w:yAlign="inline"/>
        <w:rPr>
          <w:rFonts w:ascii="方正小标宋_GBK" w:hAnsi="方正小标宋_GBK" w:eastAsia="方正小标宋_GBK" w:cs="方正小标宋_GBK"/>
          <w:sz w:val="84"/>
          <w:szCs w:val="84"/>
          <w:lang w:val="zh-TW" w:eastAsia="zh-TW"/>
        </w:rPr>
      </w:pPr>
    </w:p>
    <w:p w14:paraId="2BB0AD65">
      <w:pPr>
        <w:pStyle w:val="5"/>
        <w:framePr w:wrap="auto" w:vAnchor="margin" w:hAnchor="text" w:yAlign="inline"/>
        <w:rPr>
          <w:rFonts w:ascii="方正小标宋_GBK" w:hAnsi="方正小标宋_GBK" w:eastAsia="方正小标宋_GBK" w:cs="方正小标宋_GBK"/>
          <w:sz w:val="84"/>
          <w:szCs w:val="84"/>
          <w:lang w:val="zh-TW" w:eastAsia="zh-TW"/>
        </w:rPr>
      </w:pPr>
    </w:p>
    <w:p w14:paraId="1A0A60D1">
      <w:pPr>
        <w:framePr w:wrap="auto" w:vAnchor="margin" w:hAnchor="text" w:yAlign="inline"/>
        <w:rPr>
          <w:rFonts w:ascii="方正小标宋_GBK" w:hAnsi="方正小标宋_GBK" w:eastAsia="方正小标宋_GBK" w:cs="方正小标宋_GBK"/>
          <w:sz w:val="84"/>
          <w:szCs w:val="84"/>
          <w:lang w:val="zh-TW" w:eastAsia="zh-TW"/>
        </w:rPr>
      </w:pPr>
    </w:p>
    <w:p w14:paraId="30B95F01">
      <w:pPr>
        <w:pStyle w:val="4"/>
        <w:framePr w:wrap="auto" w:vAnchor="margin" w:hAnchor="text" w:yAlign="inline"/>
        <w:rPr>
          <w:rFonts w:ascii="方正小标宋_GBK" w:hAnsi="方正小标宋_GBK" w:eastAsia="方正小标宋_GBK" w:cs="方正小标宋_GBK"/>
          <w:sz w:val="84"/>
          <w:szCs w:val="84"/>
          <w:lang w:val="zh-TW" w:eastAsia="zh-TW"/>
        </w:rPr>
      </w:pPr>
    </w:p>
    <w:p w14:paraId="46863C52">
      <w:pPr>
        <w:pStyle w:val="5"/>
        <w:framePr w:wrap="auto" w:vAnchor="margin" w:hAnchor="text" w:yAlign="inline"/>
        <w:rPr>
          <w:rFonts w:ascii="方正小标宋_GBK" w:hAnsi="方正小标宋_GBK" w:eastAsia="方正小标宋_GBK" w:cs="方正小标宋_GBK"/>
          <w:sz w:val="84"/>
          <w:szCs w:val="84"/>
          <w:lang w:val="zh-TW" w:eastAsia="zh-TW"/>
        </w:rPr>
      </w:pPr>
    </w:p>
    <w:p w14:paraId="1078F001">
      <w:pPr>
        <w:pStyle w:val="12"/>
        <w:framePr w:wrap="auto" w:vAnchor="margin" w:hAnchor="text" w:yAlign="inline"/>
        <w:numPr>
          <w:ilvl w:val="0"/>
          <w:numId w:val="1"/>
        </w:numPr>
        <w:bidi w:val="0"/>
        <w:ind w:right="0"/>
        <w:jc w:val="left"/>
        <w:rPr>
          <w:rFonts w:ascii="黑体" w:hAnsi="黑体" w:eastAsia="黑体" w:cs="黑体"/>
          <w:sz w:val="32"/>
          <w:szCs w:val="32"/>
          <w:rtl w:val="0"/>
          <w:lang w:val="zh-TW" w:eastAsia="zh-TW"/>
        </w:rPr>
      </w:pPr>
      <w:r>
        <w:rPr>
          <w:rFonts w:ascii="黑体" w:hAnsi="黑体" w:eastAsia="黑体" w:cs="黑体"/>
          <w:sz w:val="32"/>
          <w:szCs w:val="32"/>
          <w:rtl w:val="0"/>
          <w:lang w:val="zh-TW" w:eastAsia="zh-TW"/>
        </w:rPr>
        <w:t>部门职责</w:t>
      </w:r>
    </w:p>
    <w:p w14:paraId="3F0A4943">
      <w:pPr>
        <w:framePr w:wrap="auto" w:vAnchor="margin" w:hAnchor="text" w:yAlign="inline"/>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w:t>
      </w:r>
      <w:r>
        <w:rPr>
          <w:rFonts w:ascii="仿宋_GB2312" w:hAnsi="仿宋_GB2312" w:eastAsia="仿宋_GB2312" w:cs="仿宋_GB2312"/>
          <w:kern w:val="0"/>
          <w:sz w:val="32"/>
          <w:szCs w:val="32"/>
          <w:rtl w:val="0"/>
          <w:lang w:val="zh-TW" w:eastAsia="zh-TW"/>
        </w:rPr>
        <w:t>负责岳阳博物馆的日常管理和运营工作，组织开展馆藏文物、博物馆学术研究。</w:t>
      </w:r>
    </w:p>
    <w:p w14:paraId="697F9DA8">
      <w:pPr>
        <w:framePr w:wrap="auto" w:vAnchor="margin" w:hAnchor="text" w:yAlign="inline"/>
        <w:ind w:firstLine="800"/>
        <w:jc w:val="left"/>
        <w:rPr>
          <w:rFonts w:ascii="Times New Roman" w:hAnsi="Times New Roman" w:eastAsia="Times New Roman" w:cs="Times New Roman"/>
          <w:kern w:val="0"/>
          <w:sz w:val="32"/>
          <w:szCs w:val="32"/>
          <w:lang w:val="zh-TW" w:eastAsia="zh-TW"/>
        </w:rPr>
      </w:pPr>
      <w:r>
        <w:rPr>
          <w:rFonts w:ascii="仿宋_GB2312" w:hAnsi="仿宋_GB2312" w:eastAsia="仿宋_GB2312" w:cs="仿宋_GB2312"/>
          <w:sz w:val="32"/>
          <w:szCs w:val="32"/>
          <w:rtl w:val="0"/>
          <w:lang w:val="zh-TW" w:eastAsia="zh-TW"/>
        </w:rPr>
        <w:t>（二）</w:t>
      </w:r>
      <w:r>
        <w:rPr>
          <w:rFonts w:ascii="仿宋_GB2312" w:hAnsi="仿宋_GB2312" w:eastAsia="仿宋_GB2312" w:cs="仿宋_GB2312"/>
          <w:kern w:val="0"/>
          <w:sz w:val="32"/>
          <w:szCs w:val="32"/>
          <w:rtl w:val="0"/>
          <w:lang w:val="zh-TW" w:eastAsia="zh-TW"/>
        </w:rPr>
        <w:t>对馆藏文物按有关规定进行妥善保管，举办陈列展览，负责本地区文物征集、文物资料和档案的搜集和研究。</w:t>
      </w:r>
    </w:p>
    <w:p w14:paraId="30EE5A95">
      <w:pPr>
        <w:pStyle w:val="13"/>
        <w:framePr w:wrap="auto" w:vAnchor="margin" w:hAnchor="text" w:yAlign="inline"/>
        <w:widowControl/>
        <w:jc w:val="left"/>
        <w:rPr>
          <w:rFonts w:ascii="仿宋_GB2312" w:hAnsi="仿宋_GB2312" w:eastAsia="仿宋_GB2312" w:cs="仿宋_GB2312"/>
          <w:color w:val="000000"/>
          <w:kern w:val="0"/>
          <w:sz w:val="32"/>
          <w:szCs w:val="32"/>
          <w:u w:color="000000"/>
          <w:lang w:val="zh-TW" w:eastAsia="zh-TW"/>
        </w:rPr>
      </w:pPr>
      <w:r>
        <w:rPr>
          <w:rFonts w:ascii="Times New Roman" w:hAnsi="Times New Roman"/>
          <w:kern w:val="0"/>
          <w:sz w:val="32"/>
          <w:szCs w:val="32"/>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（三）配合本地区基本建设进行考古调查、勘探和发掘，并对出土文物及古建筑进行保护管理和考古研究。</w:t>
      </w:r>
    </w:p>
    <w:p w14:paraId="247A602E">
      <w:pPr>
        <w:pStyle w:val="13"/>
        <w:framePr w:wrap="auto" w:vAnchor="margin" w:hAnchor="text" w:yAlign="inline"/>
        <w:widowControl/>
        <w:jc w:val="left"/>
        <w:rPr>
          <w:rFonts w:ascii="仿宋_GB2312" w:hAnsi="仿宋_GB2312" w:eastAsia="仿宋_GB2312" w:cs="仿宋_GB2312"/>
          <w:sz w:val="32"/>
          <w:szCs w:val="32"/>
          <w:lang w:val="zh-TW" w:eastAsia="zh-TW"/>
        </w:rPr>
      </w:pPr>
      <w:r>
        <w:rPr>
          <w:rFonts w:ascii="仿宋_GB2312" w:hAnsi="仿宋_GB2312" w:eastAsia="仿宋_GB2312" w:cs="仿宋_GB2312"/>
          <w:color w:val="000000"/>
          <w:kern w:val="0"/>
          <w:sz w:val="32"/>
          <w:szCs w:val="32"/>
          <w:u w:color="000000"/>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 xml:space="preserve">（四）承办市委、市政府和上级主管部门交办的其他事项。 </w:t>
      </w:r>
    </w:p>
    <w:p w14:paraId="6A75B7F1">
      <w:pPr>
        <w:framePr w:wrap="auto" w:vAnchor="margin" w:hAnchor="text" w:yAlign="inline"/>
        <w:widowControl/>
        <w:spacing w:line="600" w:lineRule="exact"/>
        <w:rPr>
          <w:rFonts w:ascii="黑体" w:hAnsi="黑体" w:eastAsia="黑体" w:cs="黑体"/>
          <w:kern w:val="0"/>
          <w:sz w:val="32"/>
          <w:szCs w:val="32"/>
          <w:lang w:val="zh-TW" w:eastAsia="zh-TW"/>
        </w:rPr>
      </w:pPr>
      <w:r>
        <w:rPr>
          <w:rFonts w:ascii="黑体" w:hAnsi="黑体" w:eastAsia="黑体" w:cs="黑体"/>
          <w:kern w:val="0"/>
          <w:sz w:val="32"/>
          <w:szCs w:val="32"/>
          <w:rtl w:val="0"/>
          <w:lang w:val="zh-TW" w:eastAsia="zh-TW"/>
        </w:rPr>
        <w:t>二、机构设置及决算单位构成</w:t>
      </w:r>
    </w:p>
    <w:p w14:paraId="5961F5AB">
      <w:pPr>
        <w:framePr w:wrap="auto" w:vAnchor="margin" w:hAnchor="text" w:yAlign="inline"/>
        <w:widowControl/>
        <w:spacing w:line="600" w:lineRule="exact"/>
        <w:rPr>
          <w:rFonts w:ascii="Times New Roman" w:hAnsi="Times New Roman" w:eastAsia="Times New Roman" w:cs="Times New Roman"/>
          <w:kern w:val="0"/>
          <w:sz w:val="32"/>
          <w:szCs w:val="32"/>
          <w:lang w:val="en-US"/>
        </w:rPr>
      </w:pPr>
      <w:r>
        <w:rPr>
          <w:rFonts w:ascii="仿宋_GB2312" w:hAnsi="仿宋_GB2312" w:eastAsia="仿宋_GB2312" w:cs="仿宋_GB2312"/>
          <w:kern w:val="0"/>
          <w:sz w:val="32"/>
          <w:szCs w:val="32"/>
          <w:rtl w:val="0"/>
          <w:lang w:val="zh-TW" w:eastAsia="zh-TW"/>
        </w:rPr>
        <w:t>（一）内设机构设置。</w:t>
      </w:r>
    </w:p>
    <w:p w14:paraId="53BE93B1">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根据</w:t>
      </w:r>
      <w:r>
        <w:rPr>
          <w:rFonts w:ascii="Times New Roman" w:hAnsi="Times New Roman"/>
          <w:color w:val="000000"/>
          <w:kern w:val="0"/>
          <w:sz w:val="32"/>
          <w:szCs w:val="32"/>
          <w:u w:color="000000"/>
          <w:rtl w:val="0"/>
          <w:lang w:val="en-US"/>
        </w:rPr>
        <w:t>2021</w:t>
      </w:r>
      <w:r>
        <w:rPr>
          <w:rFonts w:ascii="仿宋_GB2312" w:hAnsi="仿宋_GB2312" w:eastAsia="仿宋_GB2312" w:cs="仿宋_GB2312"/>
          <w:color w:val="000000"/>
          <w:kern w:val="0"/>
          <w:sz w:val="32"/>
          <w:szCs w:val="32"/>
          <w:u w:color="000000"/>
          <w:rtl w:val="0"/>
          <w:lang w:val="zh-TW" w:eastAsia="zh-TW"/>
        </w:rPr>
        <w:t>年</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月</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日市委机构编制委员会办公室下发了岳编办函</w:t>
      </w:r>
      <w:r>
        <w:rPr>
          <w:rFonts w:ascii="Times New Roman" w:hAnsi="Times New Roman"/>
          <w:color w:val="000000"/>
          <w:kern w:val="0"/>
          <w:sz w:val="32"/>
          <w:szCs w:val="32"/>
          <w:u w:color="000000"/>
          <w:rtl w:val="0"/>
          <w:lang w:val="en-US"/>
        </w:rPr>
        <w:t>[2021]284</w:t>
      </w:r>
      <w:r>
        <w:rPr>
          <w:rFonts w:ascii="仿宋_GB2312" w:hAnsi="仿宋_GB2312" w:eastAsia="仿宋_GB2312" w:cs="仿宋_GB2312"/>
          <w:color w:val="000000"/>
          <w:kern w:val="0"/>
          <w:sz w:val="32"/>
          <w:szCs w:val="32"/>
          <w:u w:color="000000"/>
          <w:rtl w:val="0"/>
          <w:lang w:val="zh-TW" w:eastAsia="zh-TW"/>
        </w:rPr>
        <w:t>号文件，重新明确市博物馆（市文物考古研究所）机构编制，核定事业编制</w:t>
      </w:r>
      <w:r>
        <w:rPr>
          <w:rFonts w:ascii="Times New Roman" w:hAnsi="Times New Roman"/>
          <w:color w:val="000000"/>
          <w:kern w:val="0"/>
          <w:sz w:val="32"/>
          <w:szCs w:val="32"/>
          <w:u w:color="000000"/>
          <w:rtl w:val="0"/>
          <w:lang w:val="en-US"/>
        </w:rPr>
        <w:t>1</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名，核定馆长（乡科级）</w:t>
      </w:r>
      <w:r>
        <w:rPr>
          <w:rFonts w:ascii="Times New Roman" w:hAnsi="Times New Roman"/>
          <w:color w:val="000000"/>
          <w:kern w:val="0"/>
          <w:sz w:val="32"/>
          <w:szCs w:val="32"/>
          <w:u w:color="000000"/>
          <w:rtl w:val="0"/>
          <w:lang w:val="en-US"/>
        </w:rPr>
        <w:t>1</w:t>
      </w:r>
      <w:r>
        <w:rPr>
          <w:rFonts w:ascii="仿宋_GB2312" w:hAnsi="仿宋_GB2312" w:eastAsia="仿宋_GB2312" w:cs="仿宋_GB2312"/>
          <w:color w:val="000000"/>
          <w:kern w:val="0"/>
          <w:sz w:val="32"/>
          <w:szCs w:val="32"/>
          <w:u w:color="000000"/>
          <w:rtl w:val="0"/>
          <w:lang w:val="zh-TW" w:eastAsia="zh-TW"/>
        </w:rPr>
        <w:t>名，核定副馆长（副科级）</w:t>
      </w:r>
      <w:r>
        <w:rPr>
          <w:rFonts w:ascii="Times New Roman" w:hAnsi="Times New Roman"/>
          <w:color w:val="000000"/>
          <w:kern w:val="0"/>
          <w:sz w:val="32"/>
          <w:szCs w:val="32"/>
          <w:u w:color="000000"/>
          <w:rtl w:val="0"/>
          <w:lang w:val="en-US"/>
        </w:rPr>
        <w:t>2</w:t>
      </w:r>
      <w:r>
        <w:rPr>
          <w:rFonts w:ascii="仿宋_GB2312" w:hAnsi="仿宋_GB2312" w:eastAsia="仿宋_GB2312" w:cs="仿宋_GB2312"/>
          <w:color w:val="000000"/>
          <w:kern w:val="0"/>
          <w:sz w:val="32"/>
          <w:szCs w:val="32"/>
          <w:u w:color="000000"/>
          <w:rtl w:val="0"/>
          <w:lang w:val="zh-TW" w:eastAsia="zh-TW"/>
        </w:rPr>
        <w:t>名，另核定临时用工计划数（讲解员）</w:t>
      </w:r>
      <w:r>
        <w:rPr>
          <w:rFonts w:ascii="Times New Roman" w:hAnsi="Times New Roman"/>
          <w:color w:val="000000"/>
          <w:kern w:val="0"/>
          <w:sz w:val="32"/>
          <w:szCs w:val="32"/>
          <w:u w:color="000000"/>
          <w:rtl w:val="0"/>
          <w:lang w:val="en-US"/>
        </w:rPr>
        <w:t>4</w:t>
      </w:r>
      <w:r>
        <w:rPr>
          <w:rFonts w:ascii="仿宋_GB2312" w:hAnsi="仿宋_GB2312" w:eastAsia="仿宋_GB2312" w:cs="仿宋_GB2312"/>
          <w:color w:val="000000"/>
          <w:kern w:val="0"/>
          <w:sz w:val="32"/>
          <w:szCs w:val="32"/>
          <w:u w:color="000000"/>
          <w:rtl w:val="0"/>
          <w:lang w:val="zh-TW" w:eastAsia="zh-TW"/>
        </w:rPr>
        <w:t>名，其</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三定</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规定另行制定。内设机构包括办公室，考古部，征集保管部，展览教育部，文创办。</w:t>
      </w:r>
    </w:p>
    <w:p w14:paraId="6B340C20">
      <w:pPr>
        <w:framePr w:wrap="auto" w:vAnchor="margin" w:hAnchor="text" w:yAlign="inline"/>
        <w:widowControl/>
        <w:spacing w:line="600" w:lineRule="exact"/>
        <w:rPr>
          <w:rFonts w:ascii="仿宋_GB2312" w:hAnsi="仿宋_GB2312" w:eastAsia="仿宋_GB2312" w:cs="仿宋_GB2312"/>
          <w:kern w:val="0"/>
          <w:sz w:val="32"/>
          <w:szCs w:val="32"/>
          <w:lang w:val="zh-TW" w:eastAsia="zh-TW"/>
        </w:rPr>
      </w:pPr>
      <w:r>
        <w:rPr>
          <w:rFonts w:ascii="仿宋_GB2312" w:hAnsi="仿宋_GB2312" w:eastAsia="仿宋_GB2312" w:cs="仿宋_GB2312"/>
          <w:kern w:val="0"/>
          <w:sz w:val="32"/>
          <w:szCs w:val="32"/>
          <w:rtl w:val="0"/>
          <w:lang w:val="zh-TW" w:eastAsia="zh-TW"/>
        </w:rPr>
        <w:t>（二）决算单位构成。</w:t>
      </w:r>
    </w:p>
    <w:p w14:paraId="662B21CF">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岳阳市博物馆</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年部门决算汇总公开单位构成包括：岳阳市博物馆本级。本单位无独立核算的下属单位，</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年度部门决算汇总公开单位仅包括岳阳市博物馆本级。</w:t>
      </w:r>
    </w:p>
    <w:p w14:paraId="07600688">
      <w:pPr>
        <w:pStyle w:val="4"/>
        <w:framePr w:wrap="auto" w:vAnchor="margin" w:hAnchor="text" w:yAlign="inline"/>
      </w:pPr>
    </w:p>
    <w:p w14:paraId="5E3D2AA1">
      <w:pPr>
        <w:pStyle w:val="5"/>
        <w:framePr w:wrap="auto" w:vAnchor="margin" w:hAnchor="text" w:yAlign="inline"/>
      </w:pPr>
    </w:p>
    <w:p w14:paraId="1C1A754A">
      <w:pPr>
        <w:framePr w:wrap="auto" w:vAnchor="margin" w:hAnchor="text" w:yAlign="inline"/>
      </w:pPr>
    </w:p>
    <w:p w14:paraId="2F080C6C">
      <w:pPr>
        <w:pStyle w:val="4"/>
        <w:framePr w:wrap="auto" w:vAnchor="margin" w:hAnchor="text" w:yAlign="inline"/>
      </w:pPr>
    </w:p>
    <w:p w14:paraId="4321D4AC">
      <w:pPr>
        <w:pStyle w:val="5"/>
        <w:framePr w:wrap="auto" w:vAnchor="margin" w:hAnchor="text" w:yAlign="inline"/>
      </w:pPr>
    </w:p>
    <w:p w14:paraId="21DDFFF6">
      <w:pPr>
        <w:framePr w:wrap="auto" w:vAnchor="margin" w:hAnchor="text" w:yAlign="inline"/>
      </w:pPr>
    </w:p>
    <w:p w14:paraId="7B72AD44">
      <w:pPr>
        <w:pStyle w:val="4"/>
        <w:framePr w:wrap="auto" w:vAnchor="margin" w:hAnchor="text" w:yAlign="inline"/>
      </w:pPr>
    </w:p>
    <w:p w14:paraId="08708067">
      <w:pPr>
        <w:pStyle w:val="5"/>
        <w:framePr w:wrap="auto" w:vAnchor="margin" w:hAnchor="text" w:yAlign="inline"/>
      </w:pPr>
    </w:p>
    <w:p w14:paraId="158DB537">
      <w:pPr>
        <w:framePr w:wrap="auto" w:vAnchor="margin" w:hAnchor="text" w:yAlign="inline"/>
      </w:pPr>
    </w:p>
    <w:p w14:paraId="1E0E237C">
      <w:pPr>
        <w:pStyle w:val="4"/>
        <w:framePr w:wrap="auto" w:vAnchor="margin" w:hAnchor="text" w:yAlign="inline"/>
      </w:pPr>
    </w:p>
    <w:p w14:paraId="0E742427">
      <w:pPr>
        <w:pStyle w:val="5"/>
        <w:framePr w:wrap="auto" w:vAnchor="margin" w:hAnchor="text" w:yAlign="inline"/>
      </w:pPr>
    </w:p>
    <w:p w14:paraId="1DAAC32B">
      <w:pPr>
        <w:framePr w:wrap="auto" w:vAnchor="margin" w:hAnchor="text" w:yAlign="inline"/>
      </w:pPr>
    </w:p>
    <w:p w14:paraId="549FF168">
      <w:pPr>
        <w:pStyle w:val="4"/>
        <w:framePr w:wrap="auto" w:vAnchor="margin" w:hAnchor="text" w:yAlign="inline"/>
      </w:pPr>
    </w:p>
    <w:p w14:paraId="5E9EF652">
      <w:pPr>
        <w:pStyle w:val="5"/>
        <w:framePr w:wrap="auto" w:vAnchor="margin" w:hAnchor="text" w:yAlign="inline"/>
      </w:pPr>
    </w:p>
    <w:p w14:paraId="2D4317D8">
      <w:pPr>
        <w:framePr w:wrap="auto" w:vAnchor="margin" w:hAnchor="text" w:yAlign="inline"/>
      </w:pPr>
    </w:p>
    <w:p w14:paraId="3588D9CD">
      <w:pPr>
        <w:pStyle w:val="4"/>
        <w:framePr w:wrap="auto" w:vAnchor="margin" w:hAnchor="text" w:yAlign="inline"/>
      </w:pPr>
    </w:p>
    <w:p w14:paraId="0006523D">
      <w:pPr>
        <w:pStyle w:val="5"/>
        <w:framePr w:wrap="auto" w:vAnchor="margin" w:hAnchor="text" w:yAlign="inline"/>
      </w:pPr>
    </w:p>
    <w:p w14:paraId="02A0C622">
      <w:pPr>
        <w:framePr w:wrap="auto" w:vAnchor="margin" w:hAnchor="text" w:yAlign="inline"/>
      </w:pPr>
    </w:p>
    <w:p w14:paraId="51C95AEE">
      <w:pPr>
        <w:pStyle w:val="4"/>
        <w:framePr w:wrap="auto" w:vAnchor="margin" w:hAnchor="text" w:yAlign="inline"/>
      </w:pPr>
    </w:p>
    <w:p w14:paraId="116202C6">
      <w:pPr>
        <w:pStyle w:val="5"/>
        <w:framePr w:wrap="auto" w:vAnchor="margin" w:hAnchor="text" w:yAlign="inline"/>
      </w:pPr>
    </w:p>
    <w:p w14:paraId="5CB3C630">
      <w:pPr>
        <w:framePr w:wrap="auto" w:vAnchor="margin" w:hAnchor="text" w:yAlign="inline"/>
      </w:pPr>
    </w:p>
    <w:p w14:paraId="660E6C24">
      <w:pPr>
        <w:pStyle w:val="4"/>
        <w:framePr w:wrap="auto" w:vAnchor="margin" w:hAnchor="text" w:yAlign="inline"/>
      </w:pPr>
    </w:p>
    <w:p w14:paraId="24FFD628">
      <w:pPr>
        <w:pStyle w:val="5"/>
        <w:framePr w:wrap="auto" w:vAnchor="margin" w:hAnchor="text" w:yAlign="inline"/>
      </w:pPr>
    </w:p>
    <w:p w14:paraId="5E01B42B">
      <w:pPr>
        <w:framePr w:wrap="auto" w:vAnchor="margin" w:hAnchor="text" w:yAlign="inline"/>
      </w:pPr>
    </w:p>
    <w:p w14:paraId="73335CD5">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9851EC">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080A81B6">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第二部分</w:t>
      </w:r>
    </w:p>
    <w:p w14:paraId="103A6C2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5D22AA4">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部门决算表</w:t>
      </w:r>
    </w:p>
    <w:p w14:paraId="7CF49300">
      <w:pPr>
        <w:pStyle w:val="11"/>
        <w:framePr w:wrap="auto" w:vAnchor="margin" w:hAnchor="text" w:yAlign="inline"/>
        <w:jc w:val="center"/>
        <w:rPr>
          <w:rFonts w:ascii="仿宋_GB2312" w:hAnsi="仿宋_GB2312" w:eastAsia="仿宋_GB2312" w:cs="仿宋_GB2312"/>
          <w:sz w:val="72"/>
          <w:szCs w:val="72"/>
          <w:lang w:val="zh-TW" w:eastAsia="zh-TW"/>
        </w:rPr>
      </w:pPr>
      <w:r>
        <w:rPr>
          <w:rFonts w:ascii="仿宋_GB2312" w:hAnsi="仿宋_GB2312" w:eastAsia="仿宋_GB2312" w:cs="仿宋_GB2312"/>
          <w:sz w:val="72"/>
          <w:szCs w:val="72"/>
          <w:rtl w:val="0"/>
          <w:lang w:val="zh-TW" w:eastAsia="zh-TW"/>
        </w:rPr>
        <w:t>（见附件）</w:t>
      </w:r>
    </w:p>
    <w:p w14:paraId="4EC0F36D">
      <w:pPr>
        <w:pStyle w:val="11"/>
        <w:framePr w:wrap="auto" w:vAnchor="margin" w:hAnchor="text" w:yAlign="inline"/>
        <w:jc w:val="center"/>
        <w:rPr>
          <w:rFonts w:ascii="仿宋_GB2312" w:hAnsi="仿宋_GB2312" w:eastAsia="仿宋_GB2312" w:cs="仿宋_GB2312"/>
          <w:sz w:val="72"/>
          <w:szCs w:val="72"/>
          <w:lang w:val="zh-TW" w:eastAsia="zh-TW"/>
        </w:rPr>
      </w:pPr>
    </w:p>
    <w:p w14:paraId="789FB056">
      <w:pPr>
        <w:pStyle w:val="11"/>
        <w:framePr w:wrap="auto" w:vAnchor="margin" w:hAnchor="text" w:yAlign="inline"/>
        <w:jc w:val="center"/>
        <w:rPr>
          <w:rFonts w:ascii="仿宋_GB2312" w:hAnsi="仿宋_GB2312" w:eastAsia="仿宋_GB2312" w:cs="仿宋_GB2312"/>
          <w:sz w:val="72"/>
          <w:szCs w:val="72"/>
          <w:lang w:val="zh-TW" w:eastAsia="zh-TW"/>
        </w:rPr>
      </w:pPr>
    </w:p>
    <w:p w14:paraId="6F44D9CC">
      <w:pPr>
        <w:pStyle w:val="11"/>
        <w:framePr w:wrap="auto" w:vAnchor="margin" w:hAnchor="text" w:yAlign="inline"/>
        <w:jc w:val="center"/>
        <w:rPr>
          <w:rFonts w:ascii="仿宋_GB2312" w:hAnsi="仿宋_GB2312" w:eastAsia="仿宋_GB2312" w:cs="仿宋_GB2312"/>
          <w:sz w:val="72"/>
          <w:szCs w:val="72"/>
          <w:lang w:val="zh-TW" w:eastAsia="zh-TW"/>
        </w:rPr>
      </w:pPr>
    </w:p>
    <w:p w14:paraId="7C09450B">
      <w:pPr>
        <w:pStyle w:val="11"/>
        <w:framePr w:wrap="auto" w:vAnchor="margin" w:hAnchor="text" w:yAlign="inline"/>
        <w:jc w:val="center"/>
        <w:rPr>
          <w:rFonts w:ascii="仿宋_GB2312" w:hAnsi="仿宋_GB2312" w:eastAsia="仿宋_GB2312" w:cs="仿宋_GB2312"/>
          <w:sz w:val="72"/>
          <w:szCs w:val="72"/>
          <w:lang w:val="zh-TW" w:eastAsia="zh-TW"/>
        </w:rPr>
      </w:pPr>
    </w:p>
    <w:p w14:paraId="3FE5539C">
      <w:pPr>
        <w:pStyle w:val="11"/>
        <w:framePr w:wrap="auto" w:vAnchor="margin" w:hAnchor="text" w:yAlign="inline"/>
        <w:jc w:val="center"/>
        <w:rPr>
          <w:rFonts w:ascii="仿宋_GB2312" w:hAnsi="仿宋_GB2312" w:eastAsia="仿宋_GB2312" w:cs="仿宋_GB2312"/>
          <w:sz w:val="72"/>
          <w:szCs w:val="72"/>
          <w:lang w:val="zh-TW" w:eastAsia="zh-TW"/>
        </w:rPr>
      </w:pPr>
    </w:p>
    <w:p w14:paraId="6C149A8A">
      <w:pPr>
        <w:pStyle w:val="11"/>
        <w:framePr w:wrap="auto" w:vAnchor="margin" w:hAnchor="text" w:yAlign="inline"/>
        <w:jc w:val="center"/>
        <w:rPr>
          <w:rFonts w:ascii="仿宋_GB2312" w:hAnsi="仿宋_GB2312" w:eastAsia="仿宋_GB2312" w:cs="仿宋_GB2312"/>
          <w:sz w:val="72"/>
          <w:szCs w:val="72"/>
          <w:lang w:val="zh-TW" w:eastAsia="zh-TW"/>
        </w:rPr>
      </w:pPr>
    </w:p>
    <w:p w14:paraId="6F523210">
      <w:pPr>
        <w:pStyle w:val="11"/>
        <w:framePr w:wrap="auto" w:vAnchor="margin" w:hAnchor="text" w:yAlign="inline"/>
        <w:jc w:val="center"/>
        <w:rPr>
          <w:rFonts w:ascii="仿宋_GB2312" w:hAnsi="仿宋_GB2312" w:eastAsia="仿宋_GB2312" w:cs="仿宋_GB2312"/>
          <w:sz w:val="72"/>
          <w:szCs w:val="72"/>
          <w:lang w:val="zh-TW" w:eastAsia="zh-TW"/>
        </w:rPr>
      </w:pPr>
    </w:p>
    <w:p w14:paraId="1BCB87BE">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79218B43">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16085120">
      <w:pPr>
        <w:pStyle w:val="11"/>
        <w:framePr w:wrap="auto" w:vAnchor="margin" w:hAnchor="text" w:yAlign="inline"/>
        <w:rPr>
          <w:rFonts w:ascii="方正小标宋_GBK" w:hAnsi="方正小标宋_GBK" w:eastAsia="方正小标宋_GBK" w:cs="方正小标宋_GBK"/>
          <w:sz w:val="72"/>
          <w:szCs w:val="72"/>
          <w:lang w:val="zh-TW" w:eastAsia="zh-TW"/>
        </w:rPr>
      </w:pPr>
    </w:p>
    <w:p w14:paraId="489A53B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第三部分</w:t>
      </w:r>
    </w:p>
    <w:p w14:paraId="27096C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435B4F1">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en-US"/>
        </w:rPr>
        <w:t>2023</w:t>
      </w:r>
      <w:r>
        <w:rPr>
          <w:rFonts w:ascii="方正小标宋_GBK" w:hAnsi="方正小标宋_GBK" w:eastAsia="方正小标宋_GBK" w:cs="方正小标宋_GBK"/>
          <w:sz w:val="70"/>
          <w:szCs w:val="70"/>
          <w:rtl w:val="0"/>
          <w:lang w:val="zh-TW" w:eastAsia="zh-TW"/>
        </w:rPr>
        <w:t>年度部门决算情况说明</w:t>
      </w:r>
    </w:p>
    <w:p w14:paraId="46F73861">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006FA169">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C3FA567">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A024FBE">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F102874">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0237B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B7DD45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一、收入支出决算总体情况说明</w:t>
      </w:r>
    </w:p>
    <w:p w14:paraId="71D554C4">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年度收、支总计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181.15</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，主要是因为根据财政要求一般商品和服务支出要缩减</w:t>
      </w:r>
      <w:r>
        <w:rPr>
          <w:rFonts w:ascii="仿宋_GB2312" w:hAnsi="仿宋_GB2312" w:eastAsia="仿宋_GB2312" w:cs="仿宋_GB2312"/>
          <w:sz w:val="32"/>
          <w:szCs w:val="32"/>
          <w:rtl w:val="0"/>
          <w:lang w:val="zh-CN" w:eastAsia="zh-CN"/>
        </w:rPr>
        <w:t>。</w:t>
      </w:r>
    </w:p>
    <w:p w14:paraId="1CE7F199">
      <w:pPr>
        <w:framePr w:wrap="auto" w:vAnchor="margin" w:hAnchor="text" w:yAlign="inline"/>
        <w:ind w:firstLine="640"/>
        <w:rPr>
          <w:sz w:val="32"/>
          <w:szCs w:val="32"/>
          <w:lang w:val="zh-TW" w:eastAsia="zh-TW"/>
        </w:rPr>
      </w:pPr>
      <w:r>
        <w:rPr>
          <w:sz w:val="32"/>
          <w:szCs w:val="32"/>
          <w:rtl w:val="0"/>
          <w:lang w:val="zh-TW" w:eastAsia="zh-TW"/>
        </w:rPr>
        <w:t>二、收入决算情况说明</w:t>
      </w:r>
    </w:p>
    <w:p w14:paraId="577D515A">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年度收入合计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万元，其中：财政拨款收入</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93.06</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；上级补助收入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；事业收入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；附属单位上缴收入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；其他收入</w:t>
      </w:r>
      <w:r>
        <w:rPr>
          <w:rFonts w:ascii="仿宋_GB2312" w:hAnsi="仿宋_GB2312" w:eastAsia="仿宋_GB2312" w:cs="仿宋_GB2312"/>
          <w:sz w:val="32"/>
          <w:szCs w:val="32"/>
          <w:rtl w:val="0"/>
          <w:lang w:val="zh-CN" w:eastAsia="zh-CN"/>
        </w:rPr>
        <w:t>63.84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6.94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E1A38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三、支出决算情况说明</w:t>
      </w:r>
    </w:p>
    <w:p w14:paraId="002B78F4">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年度支出合计</w:t>
      </w:r>
      <w:r>
        <w:rPr>
          <w:rFonts w:ascii="仿宋_GB2312" w:hAnsi="仿宋_GB2312" w:eastAsia="仿宋_GB2312" w:cs="仿宋_GB2312"/>
          <w:sz w:val="32"/>
          <w:szCs w:val="32"/>
          <w:rtl w:val="0"/>
          <w:lang w:val="zh-CN" w:eastAsia="zh-CN"/>
        </w:rPr>
        <w:t>894.70</w:t>
      </w:r>
      <w:r>
        <w:rPr>
          <w:rFonts w:ascii="仿宋_GB2312" w:hAnsi="仿宋_GB2312" w:eastAsia="仿宋_GB2312" w:cs="仿宋_GB2312"/>
          <w:sz w:val="32"/>
          <w:szCs w:val="32"/>
          <w:rtl w:val="0"/>
          <w:lang w:val="zh-TW" w:eastAsia="zh-TW"/>
        </w:rPr>
        <w:t>万元，其中：基本支出</w:t>
      </w:r>
      <w:r>
        <w:rPr>
          <w:rFonts w:ascii="仿宋_GB2312" w:hAnsi="仿宋_GB2312" w:eastAsia="仿宋_GB2312" w:cs="仿宋_GB2312"/>
          <w:sz w:val="32"/>
          <w:szCs w:val="32"/>
          <w:rtl w:val="0"/>
          <w:lang w:val="zh-CN" w:eastAsia="zh-CN"/>
        </w:rPr>
        <w:t>334.54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37.39</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；项目支出</w:t>
      </w:r>
      <w:r>
        <w:rPr>
          <w:rFonts w:ascii="仿宋_GB2312" w:hAnsi="仿宋_GB2312" w:eastAsia="仿宋_GB2312" w:cs="仿宋_GB2312"/>
          <w:sz w:val="32"/>
          <w:szCs w:val="32"/>
          <w:rtl w:val="0"/>
          <w:lang w:val="zh-CN" w:eastAsia="zh-CN"/>
        </w:rPr>
        <w:t>560.16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62.61</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；上缴上级支出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；对附属单位补助支出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87520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四、财政拨款收入支出决算总体情况说明</w:t>
      </w:r>
    </w:p>
    <w:p w14:paraId="0E110706">
      <w:pPr>
        <w:pStyle w:val="11"/>
        <w:framePr w:wrap="auto" w:vAnchor="margin" w:hAnchor="text" w:yAlign="inline"/>
        <w:spacing w:line="600" w:lineRule="exact"/>
        <w:jc w:val="left"/>
        <w:rPr>
          <w:rFonts w:ascii="仿宋_GB2312" w:hAnsi="仿宋_GB2312" w:eastAsia="仿宋_GB2312" w:cs="仿宋_GB2312"/>
          <w:sz w:val="32"/>
          <w:szCs w:val="32"/>
        </w:rPr>
      </w:pPr>
      <w:r>
        <w:rPr>
          <w:rFonts w:ascii="Times New Roman" w:hAnsi="Times New Roman"/>
          <w:sz w:val="32"/>
          <w:szCs w:val="32"/>
          <w:rtl w:val="0"/>
          <w:lang w:val="en-US"/>
        </w:rPr>
        <w:t xml:space="preserve">   </w:t>
      </w:r>
      <w:r>
        <w:rPr>
          <w:rFonts w:ascii="仿宋_GB2312" w:hAnsi="仿宋_GB2312" w:eastAsia="仿宋_GB2312" w:cs="仿宋_GB2312"/>
          <w:sz w:val="32"/>
          <w:szCs w:val="32"/>
          <w:rtl w:val="0"/>
          <w:lang w:val="en-US"/>
        </w:rPr>
        <w:t xml:space="preserve"> 2023</w:t>
      </w:r>
      <w:r>
        <w:rPr>
          <w:rFonts w:ascii="仿宋_GB2312" w:hAnsi="仿宋_GB2312" w:eastAsia="仿宋_GB2312" w:cs="仿宋_GB2312"/>
          <w:sz w:val="32"/>
          <w:szCs w:val="32"/>
          <w:rtl w:val="0"/>
          <w:lang w:val="zh-TW" w:eastAsia="zh-TW"/>
        </w:rPr>
        <w:t>年度财政拨款收、支总计</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，主要是因为</w:t>
      </w:r>
      <w:r>
        <w:rPr>
          <w:rFonts w:ascii="仿宋_GB2312" w:hAnsi="仿宋_GB2312" w:eastAsia="仿宋_GB2312" w:cs="仿宋_GB2312"/>
          <w:sz w:val="32"/>
          <w:szCs w:val="32"/>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5AA6F61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五、一般公共预算财政拨款支出决算情况说明</w:t>
      </w:r>
    </w:p>
    <w:p w14:paraId="1CC8C710">
      <w:pPr>
        <w:pStyle w:val="11"/>
        <w:framePr w:wrap="auto" w:vAnchor="margin" w:hAnchor="text" w:yAlign="inline"/>
        <w:spacing w:line="600" w:lineRule="exact"/>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（一）一般公共预算财政拨款支出决算总体情况</w:t>
      </w:r>
    </w:p>
    <w:p w14:paraId="30AF589F">
      <w:pPr>
        <w:pStyle w:val="11"/>
        <w:framePr w:wrap="auto" w:vAnchor="margin" w:hAnchor="text" w:yAlign="inline"/>
        <w:spacing w:line="600" w:lineRule="exact"/>
        <w:ind w:firstLine="800"/>
        <w:jc w:val="left"/>
        <w:rPr>
          <w:rFonts w:ascii="仿宋_GB2312" w:hAnsi="仿宋_GB2312" w:eastAsia="仿宋_GB2312" w:cs="仿宋_GB2312"/>
          <w:i/>
          <w:iCs/>
          <w:color w:val="FF0000"/>
          <w:sz w:val="32"/>
          <w:szCs w:val="32"/>
          <w:u w:color="FF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万元，占本年支出合计的</w:t>
      </w:r>
      <w:r>
        <w:rPr>
          <w:rFonts w:ascii="仿宋_GB2312" w:hAnsi="仿宋_GB2312" w:eastAsia="仿宋_GB2312" w:cs="仿宋_GB2312"/>
          <w:sz w:val="32"/>
          <w:szCs w:val="32"/>
          <w:rtl w:val="0"/>
          <w:lang w:val="zh-CN" w:eastAsia="zh-CN"/>
        </w:rPr>
        <w:t>95.72</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，与上年相比，财政拨款支出减少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w:t>
      </w:r>
      <w:r>
        <w:rPr>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40C749E6">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（二）一般公共预算财政拨款支出决算结构情况</w:t>
      </w:r>
    </w:p>
    <w:p w14:paraId="7B776470">
      <w:pPr>
        <w:pStyle w:val="11"/>
        <w:framePr w:wrap="auto" w:vAnchor="margin" w:hAnchor="text" w:yAlign="inline"/>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万元，主要用于以下方面</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794.98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92.83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社会保障和就业</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35.59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4.16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卫生健康（类）支出11.84万元，占1.38%；住房保障（类）支出13.97万元，占1.63%。</w:t>
      </w:r>
    </w:p>
    <w:p w14:paraId="1FC5F4A0">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（三）一般公共预算财政拨款支出决算具体情况</w:t>
      </w:r>
    </w:p>
    <w:p w14:paraId="566365B7">
      <w:pPr>
        <w:pStyle w:val="11"/>
        <w:framePr w:wrap="auto" w:vAnchor="margin" w:hAnchor="text" w:yAlign="inline"/>
        <w:spacing w:line="600" w:lineRule="exact"/>
        <w:ind w:firstLine="80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年度财政拨款支出年初预算数为</w:t>
      </w:r>
      <w:r>
        <w:rPr>
          <w:rFonts w:ascii="仿宋_GB2312" w:hAnsi="仿宋_GB2312" w:eastAsia="仿宋_GB2312" w:cs="仿宋_GB2312"/>
          <w:sz w:val="32"/>
          <w:szCs w:val="32"/>
          <w:rtl w:val="0"/>
          <w:lang w:val="zh-CN" w:eastAsia="zh-CN"/>
        </w:rPr>
        <w:t>253.78</w:t>
      </w:r>
      <w:r>
        <w:rPr>
          <w:rFonts w:ascii="仿宋_GB2312" w:hAnsi="仿宋_GB2312" w:eastAsia="仿宋_GB2312" w:cs="仿宋_GB2312"/>
          <w:sz w:val="32"/>
          <w:szCs w:val="32"/>
          <w:rtl w:val="0"/>
          <w:lang w:val="zh-TW" w:eastAsia="zh-TW"/>
        </w:rPr>
        <w:t>万元，支出决算数为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337.45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473CF289">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文化和旅游</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一般行政管理事务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4D8CEDE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0.85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万元，决算数大于年初预算数的主要原因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是：非税收入弥补了日常公用经费</w:t>
      </w:r>
    </w:p>
    <w:p w14:paraId="41144B1F">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sz w:val="32"/>
          <w:szCs w:val="32"/>
          <w:rtl w:val="0"/>
          <w:lang w:val="en-US"/>
        </w:rPr>
        <w:t>文化和旅游</w:t>
      </w:r>
      <w:r>
        <w:rPr>
          <w:rFonts w:ascii="仿宋_GB2312" w:hAnsi="仿宋_GB2312" w:eastAsia="仿宋_GB2312" w:cs="仿宋_GB2312"/>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其他文化和旅游支出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30360D35">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52.94</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35C1560D">
      <w:pPr>
        <w:pStyle w:val="11"/>
        <w:framePr w:wrap="auto" w:vAnchor="margin" w:hAnchor="text" w:yAlign="inline"/>
        <w:spacing w:line="600" w:lineRule="exact"/>
        <w:ind w:firstLine="800"/>
        <w:jc w:val="left"/>
      </w:pPr>
      <w:r>
        <w:rPr>
          <w:rFonts w:ascii="仿宋_GB2312" w:hAnsi="仿宋_GB2312" w:eastAsia="仿宋_GB2312" w:cs="仿宋_GB2312"/>
          <w:sz w:val="32"/>
          <w:szCs w:val="32"/>
          <w:rtl w:val="0"/>
          <w:lang w:val="zh-CN" w:eastAsia="zh-CN"/>
        </w:rPr>
        <w:t>3.</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文物（款）文物保护（项）</w:t>
      </w:r>
    </w:p>
    <w:p w14:paraId="3B1BF344">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98.46</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2023年文物保护项目增加</w:t>
      </w:r>
    </w:p>
    <w:p w14:paraId="67B1CBFD">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CN" w:eastAsia="zh-CN"/>
        </w:rPr>
        <w:t>4.</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文物（款）博物馆（项）</w:t>
      </w:r>
    </w:p>
    <w:p w14:paraId="74FAA56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187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591.21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上一年未完工的项目资金，在2023年支付</w:t>
      </w:r>
    </w:p>
    <w:p w14:paraId="34E66F3E">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文物（款）其他文物支出（项）</w:t>
      </w:r>
    </w:p>
    <w:p w14:paraId="63E0DCDB">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51.52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7DCA933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6.社会保障和就业支出（类）行政事业单位养老支出（款）事业单位离退休（项）</w:t>
      </w:r>
    </w:p>
    <w:p w14:paraId="1EDC302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15.30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占年初预算数的112.42%。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新增了退休人员</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w:t>
      </w:r>
    </w:p>
    <w:p w14:paraId="0C0FE41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社会保障和就业支出（类）行政事业单位养老支出（款）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机关事业单位基本养老保险缴费支出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（项）</w:t>
      </w:r>
    </w:p>
    <w:p w14:paraId="4E759DAA">
      <w:pPr>
        <w:pStyle w:val="11"/>
        <w:framePr w:wrap="auto" w:vAnchor="margin" w:hAnchor="text" w:yAlign="inline"/>
        <w:shd w:val="clear" w:color="auto" w:fill="auto"/>
        <w:spacing w:line="600" w:lineRule="exact"/>
        <w:ind w:firstLine="640"/>
        <w:jc w:val="left"/>
        <w:rPr>
          <w:rFonts w:hint="default"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CN"/>
        </w:rPr>
        <w:t>，</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占年初预算数的100%。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决算数</w:t>
      </w:r>
      <w:r>
        <w:rPr>
          <w:rFonts w:hint="eastAsia" w:ascii="仿宋_GB2312" w:hAnsi="仿宋_GB2312" w:eastAsia="仿宋_GB2312" w:cs="仿宋_GB2312"/>
          <w:b w:val="0"/>
          <w:bCs w:val="0"/>
          <w:i w:val="0"/>
          <w:iCs w:val="0"/>
          <w:caps w:val="0"/>
          <w:smallCaps w:val="0"/>
          <w:strike w:val="0"/>
          <w:dstrike w:val="0"/>
          <w:vanish w:val="0"/>
          <w:sz w:val="32"/>
          <w:szCs w:val="32"/>
          <w:rtl w:val="0"/>
          <w:lang w:val="en-US"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新增了退休人员</w:t>
      </w:r>
      <w:r>
        <w:rPr>
          <w:rFonts w:hint="eastAsia" w:ascii="仿宋_GB2312" w:hAnsi="仿宋_GB2312" w:eastAsia="仿宋_GB2312" w:cs="仿宋_GB2312"/>
          <w:b w:val="0"/>
          <w:bCs w:val="0"/>
          <w:i w:val="0"/>
          <w:iCs w:val="0"/>
          <w:caps w:val="0"/>
          <w:smallCaps w:val="0"/>
          <w:strike w:val="0"/>
          <w:dstrike w:val="0"/>
          <w:vanish w:val="0"/>
          <w:sz w:val="32"/>
          <w:szCs w:val="32"/>
          <w:rtl w:val="0"/>
          <w:lang w:val="zh-CN" w:eastAsia="zh-CN"/>
        </w:rPr>
        <w:t>，</w:t>
      </w:r>
      <w:r>
        <w:rPr>
          <w:rFonts w:hint="eastAsia" w:ascii="仿宋_GB2312" w:hAnsi="仿宋_GB2312" w:eastAsia="仿宋_GB2312" w:cs="仿宋_GB2312"/>
          <w:b w:val="0"/>
          <w:bCs w:val="0"/>
          <w:i w:val="0"/>
          <w:iCs w:val="0"/>
          <w:caps w:val="0"/>
          <w:smallCaps w:val="0"/>
          <w:strike w:val="0"/>
          <w:dstrike w:val="0"/>
          <w:vanish w:val="0"/>
          <w:sz w:val="32"/>
          <w:szCs w:val="32"/>
          <w:rtl w:val="0"/>
          <w:lang w:val="en-US" w:eastAsia="zh-CN"/>
        </w:rPr>
        <w:t>多余部分由其他资金支付</w:t>
      </w:r>
      <w:r>
        <w:rPr>
          <w:rFonts w:hint="eastAsia" w:ascii="仿宋_GB2312" w:hAnsi="仿宋_GB2312" w:eastAsia="仿宋_GB2312" w:cs="仿宋_GB2312"/>
          <w:b w:val="0"/>
          <w:bCs w:val="0"/>
          <w:i w:val="0"/>
          <w:iCs w:val="0"/>
          <w:caps w:val="0"/>
          <w:smallCaps w:val="0"/>
          <w:strike w:val="0"/>
          <w:dstrike w:val="0"/>
          <w:vanish w:val="0"/>
          <w:sz w:val="32"/>
          <w:szCs w:val="32"/>
          <w:rtl w:val="0"/>
          <w:lang w:val="zh-CN" w:eastAsia="zh-CN"/>
        </w:rPr>
        <w:t>。</w:t>
      </w:r>
    </w:p>
    <w:p w14:paraId="1E7E23DD">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p>
    <w:p w14:paraId="65A165F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占年初预算数的94.44%。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26783C2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9.卫生健康支出（类）行政事业单位医疗（款）事业单位医疗（项）</w:t>
      </w:r>
    </w:p>
    <w:p w14:paraId="1BF07463">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11.84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占年初预算数的76.19%。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有人员退休</w:t>
      </w:r>
    </w:p>
    <w:p w14:paraId="2E604BE4">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10.住房保障支出（类）住房改革支出（款）住房公积金（项）</w:t>
      </w:r>
    </w:p>
    <w:p w14:paraId="3E29BB7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17.37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13.97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占年初预算数的80.43%。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年初预算数的主因是：有人员退休</w:t>
      </w:r>
    </w:p>
    <w:p w14:paraId="2892687C">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p>
    <w:p w14:paraId="393E11F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六、一般公共预算财政拨款基本支出决算情况说明</w:t>
      </w:r>
    </w:p>
    <w:p w14:paraId="7BB1D206">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年度财政拨款基本支出</w:t>
      </w:r>
      <w:r>
        <w:rPr>
          <w:rFonts w:ascii="仿宋_GB2312" w:hAnsi="仿宋_GB2312" w:eastAsia="仿宋_GB2312" w:cs="仿宋_GB2312"/>
          <w:sz w:val="32"/>
          <w:szCs w:val="32"/>
          <w:rtl w:val="0"/>
          <w:lang w:val="zh-CN" w:eastAsia="zh-CN"/>
        </w:rPr>
        <w:t>296.22</w:t>
      </w:r>
      <w:r>
        <w:rPr>
          <w:rFonts w:ascii="仿宋_GB2312" w:hAnsi="仿宋_GB2312" w:eastAsia="仿宋_GB2312" w:cs="仿宋_GB2312"/>
          <w:sz w:val="32"/>
          <w:szCs w:val="32"/>
          <w:rtl w:val="0"/>
          <w:lang w:val="zh-TW" w:eastAsia="zh-TW"/>
        </w:rPr>
        <w:t>万元，其中：</w:t>
      </w:r>
    </w:p>
    <w:p w14:paraId="74159486">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人员经费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215.75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72.83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主要包括基本工资、津贴补贴、奖金、伙食补助费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、绩效工资、机关事业单位基本养老保险缴费、、职工基本医疗保险缴费、其他社会保障缴费、住房公积金、医疗费、退休费、医疗费补助、其他对个人和家庭的补助</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6AD32B0">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公用经费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80.47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7.17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，主要包括办公费、印刷费、咨询费、手续费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、水费、邮电费、物业管理费、差旅费、维修费、会议费、培训费、公务接待费、专用材料费、劳务费、委托业务费、工会经费、其他交通费用、其他商品和服务支出、资本性支出和办公设备购置</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42BE6754">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七、政府性基金预算收入支出决算情况</w:t>
      </w:r>
    </w:p>
    <w:p w14:paraId="1DE37A44">
      <w:pPr>
        <w:pStyle w:val="11"/>
        <w:framePr w:wrap="auto" w:vAnchor="margin" w:hAnchor="text" w:yAlign="inline"/>
        <w:spacing w:line="600" w:lineRule="exact"/>
        <w:jc w:val="left"/>
        <w:rPr>
          <w:rFonts w:ascii="仿宋_GB2312" w:hAnsi="仿宋_GB2312" w:eastAsia="仿宋_GB2312" w:cs="仿宋_GB2312"/>
          <w:b w:val="0"/>
          <w:bCs w:val="0"/>
          <w:i/>
          <w:iCs/>
          <w:color w:val="000000" w:themeColor="text1"/>
          <w:kern w:val="0"/>
          <w:sz w:val="32"/>
          <w:szCs w:val="32"/>
          <w:u w:color="000000"/>
          <w14:textFill>
            <w14:solidFill>
              <w14:schemeClr w14:val="tx1"/>
            </w14:solidFill>
          </w14:textFill>
        </w:rPr>
      </w:pPr>
      <w:r>
        <w:rPr>
          <w:rFonts w:ascii="Times New Roman" w:hAnsi="Times New Roman"/>
          <w:sz w:val="32"/>
          <w:szCs w:val="32"/>
          <w:rtl w:val="0"/>
          <w:lang w:val="en-US"/>
        </w:rPr>
        <w:t xml:space="preserve">     </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 xml:space="preserve"> </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2023</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年度政府性基金预算财政拨款收入</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万元；年初结转和结余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万元，其中基本支出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万元，项目支出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万元；年末结转和结余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w:t>
      </w:r>
    </w:p>
    <w:p w14:paraId="0F70B0A6">
      <w:pPr>
        <w:framePr w:wrap="auto" w:vAnchor="margin" w:hAnchor="text" w:yAlign="inline"/>
        <w:spacing w:line="600" w:lineRule="exact"/>
        <w:ind w:firstLine="640"/>
        <w:rPr>
          <w:rFonts w:ascii="黑体" w:hAnsi="黑体" w:eastAsia="黑体" w:cs="黑体"/>
          <w:color w:val="000000"/>
          <w:kern w:val="0"/>
          <w:sz w:val="32"/>
          <w:szCs w:val="32"/>
          <w:u w:color="000000"/>
          <w:lang w:val="zh-TW" w:eastAsia="zh-TW"/>
        </w:rPr>
      </w:pPr>
      <w:r>
        <w:rPr>
          <w:rFonts w:ascii="黑体" w:hAnsi="黑体" w:eastAsia="黑体" w:cs="黑体"/>
          <w:color w:val="000000"/>
          <w:kern w:val="0"/>
          <w:sz w:val="32"/>
          <w:szCs w:val="32"/>
          <w:u w:color="000000"/>
          <w:rtl w:val="0"/>
          <w:lang w:val="zh-TW" w:eastAsia="zh-TW"/>
        </w:rPr>
        <w:t>八、国有资本经营预算财政拨款支出决算情况</w:t>
      </w:r>
    </w:p>
    <w:p w14:paraId="23693E2A">
      <w:pPr>
        <w:framePr w:wrap="auto" w:vAnchor="margin" w:hAnchor="text" w:yAlign="inline"/>
        <w:ind w:firstLine="640"/>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年度国有资本经营预算财政拨款收入</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万元；年初结转和结余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万元，其中：基本支出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万元，项目支出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万元；年末结转和结余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w:t>
      </w:r>
    </w:p>
    <w:p w14:paraId="7DC0FF3D">
      <w:pPr>
        <w:framePr w:wrap="auto" w:vAnchor="margin" w:hAnchor="text" w:yAlign="inline"/>
        <w:ind w:firstLine="640"/>
        <w:rPr>
          <w:rFonts w:ascii="Times New Roman" w:hAnsi="Times New Roman" w:eastAsia="Times New Roman" w:cs="Times New Roman"/>
          <w:b/>
          <w:bCs/>
          <w:sz w:val="32"/>
          <w:szCs w:val="32"/>
        </w:rPr>
      </w:pPr>
      <w:r>
        <w:rPr>
          <w:b/>
          <w:bCs/>
          <w:sz w:val="32"/>
          <w:szCs w:val="32"/>
          <w:rtl w:val="0"/>
          <w:lang w:val="zh-TW" w:eastAsia="zh-TW"/>
        </w:rPr>
        <w:t>九、财政拨款三公经费支出决算情况说明</w:t>
      </w:r>
    </w:p>
    <w:p w14:paraId="7D579A46">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（一）</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经费财政拨款支出决算总体情况说明</w:t>
      </w:r>
    </w:p>
    <w:p w14:paraId="7676EB9C">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经费财政拨款支出预算为</w:t>
      </w:r>
      <w:r>
        <w:rPr>
          <w:rFonts w:hint="eastAsia" w:ascii="仿宋_GB2312" w:hAnsi="仿宋_GB2312" w:eastAsia="仿宋_GB2312" w:cs="仿宋_GB2312"/>
          <w:sz w:val="32"/>
          <w:szCs w:val="32"/>
          <w:rtl w:val="0"/>
          <w:lang w:val="en-US" w:eastAsia="zh-CN"/>
        </w:rPr>
        <w:t>0.6</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万元，完成预算的</w:t>
      </w:r>
      <w:r>
        <w:rPr>
          <w:rFonts w:hint="eastAsia" w:ascii="仿宋_GB2312" w:hAnsi="仿宋_GB2312" w:eastAsia="仿宋_GB2312" w:cs="仿宋_GB2312"/>
          <w:sz w:val="32"/>
          <w:szCs w:val="32"/>
          <w:rtl w:val="0"/>
          <w:lang w:val="en-US" w:eastAsia="zh-CN"/>
        </w:rPr>
        <w:t>10</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，决算数</w:t>
      </w:r>
      <w:r>
        <w:rPr>
          <w:rFonts w:hint="eastAsia" w:ascii="仿宋_GB2312" w:hAnsi="仿宋_GB2312" w:eastAsia="仿宋_GB2312" w:cs="仿宋_GB2312"/>
          <w:sz w:val="32"/>
          <w:szCs w:val="32"/>
          <w:rtl w:val="0"/>
          <w:lang w:val="en-US" w:eastAsia="zh-CN"/>
        </w:rPr>
        <w:t>等于</w:t>
      </w:r>
      <w:r>
        <w:rPr>
          <w:rFonts w:ascii="仿宋_GB2312" w:hAnsi="仿宋_GB2312" w:eastAsia="仿宋_GB2312" w:cs="仿宋_GB2312"/>
          <w:sz w:val="32"/>
          <w:szCs w:val="32"/>
          <w:rtl w:val="0"/>
          <w:lang w:val="zh-TW" w:eastAsia="zh-TW"/>
        </w:rPr>
        <w:t>预算数的主要原因是</w:t>
      </w:r>
      <w:r>
        <w:rPr>
          <w:rFonts w:hint="eastAsia" w:ascii="仿宋_GB2312" w:hAnsi="仿宋_GB2312" w:eastAsia="仿宋_GB2312" w:cs="仿宋_GB2312"/>
          <w:sz w:val="32"/>
          <w:szCs w:val="32"/>
          <w:rtl w:val="0"/>
          <w:lang w:val="en-US" w:eastAsia="zh-CN"/>
        </w:rPr>
        <w:t>厉行节约</w:t>
      </w:r>
      <w:r>
        <w:rPr>
          <w:rFonts w:ascii="仿宋_GB2312" w:hAnsi="仿宋_GB2312" w:eastAsia="仿宋_GB2312" w:cs="仿宋_GB2312"/>
          <w:sz w:val="32"/>
          <w:szCs w:val="32"/>
          <w:rtl w:val="0"/>
          <w:lang w:val="zh-TW" w:eastAsia="zh-TW"/>
        </w:rPr>
        <w:t>，与上年相比增加</w:t>
      </w:r>
      <w:r>
        <w:rPr>
          <w:rFonts w:ascii="仿宋_GB2312" w:hAnsi="仿宋_GB2312" w:eastAsia="仿宋_GB2312" w:cs="仿宋_GB2312"/>
          <w:sz w:val="32"/>
          <w:szCs w:val="32"/>
          <w:rtl w:val="0"/>
          <w:lang w:val="zh-CN" w:eastAsia="zh-CN"/>
        </w:rPr>
        <w:t>0.01</w:t>
      </w:r>
      <w:r>
        <w:rPr>
          <w:rFonts w:ascii="仿宋_GB2312" w:hAnsi="仿宋_GB2312" w:eastAsia="仿宋_GB2312" w:cs="仿宋_GB2312"/>
          <w:sz w:val="32"/>
          <w:szCs w:val="32"/>
          <w:rtl w:val="0"/>
          <w:lang w:val="zh-TW" w:eastAsia="zh-TW"/>
        </w:rPr>
        <w:t>万元，增长</w:t>
      </w:r>
      <w:r>
        <w:rPr>
          <w:rFonts w:ascii="仿宋_GB2312" w:hAnsi="仿宋_GB2312" w:eastAsia="仿宋_GB2312" w:cs="仿宋_GB2312"/>
          <w:sz w:val="32"/>
          <w:szCs w:val="32"/>
          <w:rtl w:val="0"/>
          <w:lang w:val="zh-CN" w:eastAsia="zh-CN"/>
        </w:rPr>
        <w:t>1.6</w:t>
      </w:r>
      <w:r>
        <w:rPr>
          <w:rFonts w:hint="eastAsia" w:ascii="仿宋_GB2312" w:hAnsi="仿宋_GB2312" w:eastAsia="仿宋_GB2312" w:cs="仿宋_GB2312"/>
          <w:sz w:val="32"/>
          <w:szCs w:val="32"/>
          <w:rtl w:val="0"/>
          <w:lang w:val="en-US" w:eastAsia="zh-CN"/>
        </w:rPr>
        <w:t>7</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。其中：</w:t>
      </w:r>
    </w:p>
    <w:p w14:paraId="339485D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因公出国（境）费支出预算为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预算数的主要原因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是：本单位无出国（境）公务。</w:t>
      </w:r>
    </w:p>
    <w:p w14:paraId="4167D7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公务接待费支出预算为</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万元，完成预算的</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，决算数小于预算数的主要原因是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厉行节俭</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，与上年相比增加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0.01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增长1.6</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2047C8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TW" w:eastAsia="zh-TW"/>
        </w:rPr>
        <w:t>公务用车购置费支出预算为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万元，决算数大于</w:t>
      </w:r>
      <w:r>
        <w:rPr>
          <w:rtl w:val="0"/>
          <w:lang w:val="zh-CN" w:eastAsia="zh-CN"/>
        </w:rPr>
        <w:t>等于</w:t>
      </w:r>
      <w:r>
        <w:rPr>
          <w:rFonts w:ascii="仿宋_GB2312" w:hAnsi="仿宋_GB2312" w:eastAsia="仿宋_GB2312" w:cs="仿宋_GB2312"/>
          <w:sz w:val="32"/>
          <w:szCs w:val="32"/>
          <w:rtl w:val="0"/>
          <w:lang w:val="zh-TW" w:eastAsia="zh-TW"/>
        </w:rPr>
        <w:t>预算数的主要</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：本单位没有购置公务车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100D96B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公务用车运行维护费支出预算为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预算数的主要原因是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：本单位没有公务用车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5E9EBAB4">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（二）</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经费财政拨款支出决算具体情况说明</w:t>
      </w:r>
    </w:p>
    <w:p w14:paraId="38E99983">
      <w:pPr>
        <w:pStyle w:val="11"/>
        <w:framePr w:wrap="auto" w:vAnchor="margin" w:hAnchor="text" w:yAlign="inline"/>
        <w:spacing w:line="600" w:lineRule="exact"/>
        <w:ind w:firstLine="640"/>
        <w:jc w:val="left"/>
        <w:rPr>
          <w:rFonts w:ascii="仿宋_GB2312" w:hAnsi="仿宋_GB2312" w:eastAsia="仿宋_GB2312" w:cs="仿宋_GB2312"/>
          <w:sz w:val="32"/>
          <w:szCs w:val="32"/>
          <w:rtl w:val="0"/>
          <w:lang w:val="zh-TW" w:eastAsia="zh-TW"/>
        </w:rPr>
      </w:pPr>
      <w:r>
        <w:rPr>
          <w:rFonts w:ascii="Times New Roman" w:hAnsi="Times New Roman"/>
          <w:sz w:val="32"/>
          <w:szCs w:val="32"/>
          <w:rtl w:val="0"/>
          <w:lang w:val="en-US"/>
        </w:rPr>
        <w:t>2</w:t>
      </w:r>
      <w:r>
        <w:rPr>
          <w:rFonts w:ascii="仿宋_GB2312" w:hAnsi="仿宋_GB2312" w:eastAsia="仿宋_GB2312" w:cs="仿宋_GB2312"/>
          <w:sz w:val="32"/>
          <w:szCs w:val="32"/>
          <w:rtl w:val="0"/>
          <w:lang w:val="en-US"/>
        </w:rPr>
        <w:t>023</w:t>
      </w:r>
      <w:r>
        <w:rPr>
          <w:rFonts w:ascii="仿宋_GB2312" w:hAnsi="仿宋_GB2312" w:eastAsia="仿宋_GB2312" w:cs="仿宋_GB2312"/>
          <w:sz w:val="32"/>
          <w:szCs w:val="32"/>
          <w:rtl w:val="0"/>
          <w:lang w:val="zh-TW" w:eastAsia="zh-TW"/>
        </w:rPr>
        <w:t>年度</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经费财政拨款支出决算中，公务接待费支出决算</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因公出国（境）费支出决算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公务用车购置费及运行维护费支出决算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0447BD0B">
      <w:pPr>
        <w:pStyle w:val="11"/>
        <w:framePr w:wrap="auto" w:vAnchor="margin" w:hAnchor="text" w:yAlign="inline"/>
        <w:spacing w:line="600" w:lineRule="exact"/>
        <w:ind w:firstLine="640"/>
        <w:jc w:val="left"/>
        <w:rPr>
          <w:rFonts w:ascii="仿宋_GB2312" w:hAnsi="仿宋_GB2312" w:eastAsia="仿宋_GB2312" w:cs="仿宋_GB2312"/>
          <w:sz w:val="32"/>
          <w:szCs w:val="32"/>
          <w:rtl w:val="0"/>
          <w:lang w:val="zh-TW" w:eastAsia="zh-TW"/>
        </w:rPr>
      </w:pP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因公出国（境）费支出预算为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预算数的主要原因</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是：本单位无出国（境）公务。</w:t>
      </w:r>
    </w:p>
    <w:p w14:paraId="41AF48F9">
      <w:pPr>
        <w:pStyle w:val="11"/>
        <w:framePr w:wrap="auto" w:vAnchor="margin" w:hAnchor="text" w:yAlign="inline"/>
        <w:spacing w:line="600" w:lineRule="exact"/>
        <w:ind w:firstLine="800"/>
        <w:jc w:val="left"/>
        <w:rPr>
          <w:rFonts w:ascii="仿宋_GB2312" w:hAnsi="仿宋_GB2312" w:eastAsia="仿宋_GB2312" w:cs="仿宋_GB2312"/>
          <w:sz w:val="32"/>
          <w:szCs w:val="32"/>
          <w:rtl w:val="0"/>
          <w:lang w:val="zh-TW" w:eastAsia="zh-TW"/>
        </w:rPr>
      </w:pPr>
      <w:r>
        <w:rPr>
          <w:rFonts w:ascii="仿宋_GB2312" w:hAnsi="仿宋_GB2312" w:eastAsia="仿宋_GB2312" w:cs="仿宋_GB2312"/>
          <w:sz w:val="32"/>
          <w:szCs w:val="32"/>
          <w:rtl w:val="0"/>
          <w:lang w:val="zh-TW" w:eastAsia="zh-TW"/>
        </w:rPr>
        <w:t>公务接待费支出决算为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万元，全年共接待来访团组</w:t>
      </w:r>
      <w:r>
        <w:rPr>
          <w:rFonts w:ascii="仿宋_GB2312" w:hAnsi="仿宋_GB2312" w:eastAsia="仿宋_GB2312" w:cs="仿宋_GB2312"/>
          <w:sz w:val="32"/>
          <w:szCs w:val="32"/>
          <w:rtl w:val="0"/>
          <w:lang w:val="zh-CN" w:eastAsia="zh-CN"/>
        </w:rPr>
        <w:t>6</w:t>
      </w:r>
      <w:r>
        <w:rPr>
          <w:rFonts w:ascii="仿宋_GB2312" w:hAnsi="仿宋_GB2312" w:eastAsia="仿宋_GB2312" w:cs="仿宋_GB2312"/>
          <w:sz w:val="32"/>
          <w:szCs w:val="32"/>
          <w:rtl w:val="0"/>
          <w:lang w:val="zh-TW" w:eastAsia="zh-TW"/>
        </w:rPr>
        <w:t>个、来宾</w:t>
      </w:r>
      <w:r>
        <w:rPr>
          <w:rFonts w:ascii="仿宋_GB2312" w:hAnsi="仿宋_GB2312" w:eastAsia="仿宋_GB2312" w:cs="仿宋_GB2312"/>
          <w:sz w:val="32"/>
          <w:szCs w:val="32"/>
          <w:rtl w:val="0"/>
          <w:lang w:val="zh-CN" w:eastAsia="zh-CN"/>
        </w:rPr>
        <w:t>38</w:t>
      </w:r>
      <w:r>
        <w:rPr>
          <w:rFonts w:ascii="仿宋_GB2312" w:hAnsi="仿宋_GB2312" w:eastAsia="仿宋_GB2312" w:cs="仿宋_GB2312"/>
          <w:sz w:val="32"/>
          <w:szCs w:val="32"/>
          <w:rtl w:val="0"/>
          <w:lang w:val="zh-TW" w:eastAsia="zh-TW"/>
        </w:rPr>
        <w:t>人次，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其他市、县博物馆来单位参观学习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发生的接待支出</w:t>
      </w:r>
      <w:r>
        <w:rPr>
          <w:rFonts w:ascii="仿宋_GB2312" w:hAnsi="仿宋_GB2312" w:eastAsia="仿宋_GB2312" w:cs="仿宋_GB2312"/>
          <w:sz w:val="32"/>
          <w:szCs w:val="32"/>
          <w:rtl w:val="0"/>
          <w:lang w:val="zh-TW" w:eastAsia="zh-TW"/>
        </w:rPr>
        <w:t>。</w:t>
      </w:r>
    </w:p>
    <w:p w14:paraId="63376B3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vanish w:val="0"/>
          <w:sz w:val="32"/>
          <w:szCs w:val="32"/>
          <w:rtl w:val="0"/>
          <w:lang w:val="zh-TW" w:eastAsia="zh-TW"/>
        </w:rPr>
      </w:pPr>
      <w:r>
        <w:rPr>
          <w:rFonts w:ascii="仿宋_GB2312" w:hAnsi="仿宋_GB2312" w:eastAsia="仿宋_GB2312" w:cs="仿宋_GB2312"/>
          <w:sz w:val="32"/>
          <w:szCs w:val="32"/>
          <w:rtl w:val="0"/>
          <w:lang w:val="zh-TW" w:eastAsia="zh-TW"/>
        </w:rPr>
        <w:t>公务用车购置费支出预算为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万元，决算数大于</w:t>
      </w:r>
      <w:r>
        <w:rPr>
          <w:rtl w:val="0"/>
          <w:lang w:val="zh-CN" w:eastAsia="zh-CN"/>
        </w:rPr>
        <w:t>等于</w:t>
      </w:r>
      <w:r>
        <w:rPr>
          <w:rFonts w:ascii="仿宋_GB2312" w:hAnsi="仿宋_GB2312" w:eastAsia="仿宋_GB2312" w:cs="仿宋_GB2312"/>
          <w:sz w:val="32"/>
          <w:szCs w:val="32"/>
          <w:rtl w:val="0"/>
          <w:lang w:val="zh-TW" w:eastAsia="zh-TW"/>
        </w:rPr>
        <w:t>预算数的主要</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原因是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：本单位没有购置公务车</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w:t>
      </w:r>
    </w:p>
    <w:p w14:paraId="3BD64CD6">
      <w:pPr>
        <w:pStyle w:val="11"/>
        <w:framePr w:wrap="auto" w:vAnchor="margin" w:hAnchor="text" w:yAlign="inline"/>
        <w:shd w:val="clear" w:color="auto" w:fill="auto"/>
        <w:spacing w:line="600" w:lineRule="exact"/>
        <w:ind w:firstLine="800"/>
        <w:jc w:val="left"/>
        <w:rPr>
          <w:rFonts w:ascii="仿宋_GB2312" w:hAnsi="仿宋_GB2312" w:eastAsia="仿宋_GB2312" w:cs="仿宋_GB2312"/>
          <w:sz w:val="32"/>
          <w:szCs w:val="32"/>
          <w:rtl w:val="0"/>
          <w:lang w:val="zh-TW" w:eastAsia="zh-TW"/>
        </w:rPr>
      </w:pP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公务用车运行维护费支出预算为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预算数的主要原因是</w:t>
      </w:r>
      <w:r>
        <w:rPr>
          <w:rFonts w:ascii="仿宋_GB2312" w:hAnsi="仿宋_GB2312" w:eastAsia="仿宋_GB2312" w:cs="仿宋_GB2312"/>
          <w:b w:val="0"/>
          <w:bCs w:val="0"/>
          <w:i w:val="0"/>
          <w:iCs w:val="0"/>
          <w:caps w:val="0"/>
          <w:smallCaps w:val="0"/>
          <w:strike w:val="0"/>
          <w:dstrike w:val="0"/>
          <w:vanish w:val="0"/>
          <w:sz w:val="32"/>
          <w:szCs w:val="32"/>
          <w:rtl w:val="0"/>
          <w:lang w:val="zh-CN" w:eastAsia="zh-CN"/>
        </w:rPr>
        <w:t>：本单位没有公务用车</w:t>
      </w:r>
      <w:r>
        <w:rPr>
          <w:rFonts w:ascii="仿宋_GB2312" w:hAnsi="仿宋_GB2312" w:eastAsia="仿宋_GB2312" w:cs="仿宋_GB2312"/>
          <w:b w:val="0"/>
          <w:bCs w:val="0"/>
          <w:i w:val="0"/>
          <w:iCs w:val="0"/>
          <w:caps w:val="0"/>
          <w:smallCaps w:val="0"/>
          <w:strike w:val="0"/>
          <w:dstrike w:val="0"/>
          <w:vanish w:val="0"/>
          <w:sz w:val="32"/>
          <w:szCs w:val="32"/>
          <w:rtl w:val="0"/>
          <w:lang w:val="zh-TW" w:eastAsia="zh-TW"/>
        </w:rPr>
        <w:t>。</w:t>
      </w:r>
    </w:p>
    <w:p w14:paraId="0C7C85EB">
      <w:pPr>
        <w:pStyle w:val="11"/>
        <w:framePr w:wrap="auto" w:vAnchor="margin" w:hAnchor="text" w:yAlign="inline"/>
        <w:spacing w:line="600" w:lineRule="exact"/>
        <w:ind w:firstLine="640"/>
        <w:jc w:val="left"/>
        <w:rPr>
          <w:rFonts w:ascii="Times New Roman" w:hAnsi="Times New Roman" w:eastAsia="Times New Roman" w:cs="Times New Roman"/>
          <w:b/>
          <w:bCs/>
          <w:color w:val="000000"/>
          <w:sz w:val="32"/>
          <w:szCs w:val="32"/>
          <w:u w:color="000000"/>
          <w:lang w:val="zh-TW" w:eastAsia="zh-TW"/>
        </w:rPr>
      </w:pPr>
      <w:r>
        <w:rPr>
          <w:rFonts w:ascii="仿宋_GB2312" w:hAnsi="仿宋_GB2312" w:eastAsia="仿宋_GB2312" w:cs="仿宋_GB2312"/>
          <w:b/>
          <w:bCs/>
          <w:color w:val="000000"/>
          <w:sz w:val="32"/>
          <w:szCs w:val="32"/>
          <w:u w:color="000000"/>
          <w:rtl w:val="0"/>
          <w:lang w:val="zh-TW" w:eastAsia="zh-TW"/>
        </w:rPr>
        <w:t>十、关于机关运行经费支出说明</w:t>
      </w:r>
    </w:p>
    <w:p w14:paraId="2C401203">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本部门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年度机关运行经费支出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万元，比年初上年决算数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无增减</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岳阳市博物馆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为事业单位，机关运行经费为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FA5BD32">
      <w:pPr>
        <w:pStyle w:val="11"/>
        <w:framePr w:wrap="auto" w:vAnchor="margin" w:hAnchor="text" w:yAlign="inline"/>
        <w:ind w:firstLine="640"/>
        <w:rPr>
          <w:sz w:val="32"/>
          <w:szCs w:val="32"/>
          <w:lang w:val="zh-TW" w:eastAsia="zh-TW"/>
        </w:rPr>
      </w:pPr>
      <w:r>
        <w:rPr>
          <w:sz w:val="32"/>
          <w:szCs w:val="32"/>
          <w:rtl w:val="0"/>
          <w:lang w:val="zh-TW" w:eastAsia="zh-TW"/>
        </w:rPr>
        <w:t>十一、一般性支出情况说明</w:t>
      </w:r>
    </w:p>
    <w:p w14:paraId="03891345">
      <w:pPr>
        <w:pStyle w:val="11"/>
        <w:framePr w:wrap="auto" w:vAnchor="margin" w:hAnchor="text" w:yAlign="inline"/>
        <w:ind w:firstLine="640"/>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年年度，会议费年初预算</w:t>
      </w:r>
      <w:r>
        <w:rPr>
          <w:rFonts w:ascii="仿宋_GB2312" w:hAnsi="仿宋_GB2312" w:eastAsia="仿宋_GB2312" w:cs="仿宋_GB2312"/>
          <w:sz w:val="32"/>
          <w:szCs w:val="32"/>
          <w:rtl w:val="0"/>
          <w:lang w:val="zh-CN" w:eastAsia="zh-CN"/>
        </w:rPr>
        <w:t>0.10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0.1</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hint="eastAsia" w:ascii="Times New Roman" w:hAnsi="Times New Roman" w:eastAsia="仿宋_GB2312"/>
          <w:sz w:val="32"/>
          <w:szCs w:val="32"/>
        </w:rPr>
        <w:t>用于召开</w:t>
      </w:r>
      <w:r>
        <w:rPr>
          <w:rFonts w:hint="eastAsia" w:ascii="Times New Roman" w:hAnsi="Times New Roman" w:eastAsia="仿宋_GB2312"/>
          <w:sz w:val="32"/>
          <w:szCs w:val="32"/>
          <w:lang w:eastAsia="zh-CN"/>
        </w:rPr>
        <w:t>博物馆考古所实施的长江流域文物资源调查工作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长江流域（湖南段）文物资源调查工作推进</w:t>
      </w:r>
      <w:r>
        <w:rPr>
          <w:rFonts w:ascii="仿宋_GB2312" w:hAnsi="仿宋_GB2312" w:eastAsia="仿宋_GB2312" w:cs="仿宋_GB2312"/>
          <w:sz w:val="32"/>
          <w:szCs w:val="32"/>
          <w:rtl w:val="0"/>
          <w:lang w:val="zh-TW" w:eastAsia="zh-TW"/>
        </w:rPr>
        <w:t>。</w:t>
      </w:r>
    </w:p>
    <w:p w14:paraId="4BCB9548">
      <w:pPr>
        <w:framePr w:wrap="auto" w:vAnchor="margin" w:hAnchor="text" w:yAlign="inline"/>
        <w:ind w:firstLine="640"/>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培训费年初预算</w:t>
      </w:r>
      <w:r>
        <w:rPr>
          <w:rFonts w:ascii="仿宋_GB2312" w:hAnsi="仿宋_GB2312" w:eastAsia="仿宋_GB2312" w:cs="仿宋_GB2312"/>
          <w:kern w:val="0"/>
          <w:sz w:val="32"/>
          <w:szCs w:val="32"/>
          <w:rtl w:val="0"/>
          <w:lang w:val="zh-CN" w:eastAsia="zh-CN"/>
        </w:rPr>
        <w:t>0.10</w:t>
      </w:r>
      <w:r>
        <w:rPr>
          <w:rFonts w:ascii="仿宋_GB2312" w:hAnsi="仿宋_GB2312" w:eastAsia="仿宋_GB2312" w:cs="仿宋_GB2312"/>
          <w:color w:val="000000"/>
          <w:kern w:val="0"/>
          <w:sz w:val="32"/>
          <w:szCs w:val="32"/>
          <w:u w:color="000000"/>
          <w:rtl w:val="0"/>
          <w:lang w:val="zh-TW" w:eastAsia="zh-TW"/>
        </w:rPr>
        <w:t>万元，支出决算为</w:t>
      </w:r>
      <w:r>
        <w:rPr>
          <w:rFonts w:ascii="仿宋_GB2312" w:hAnsi="仿宋_GB2312" w:eastAsia="仿宋_GB2312" w:cs="仿宋_GB2312"/>
          <w:kern w:val="0"/>
          <w:sz w:val="32"/>
          <w:szCs w:val="32"/>
          <w:rtl w:val="0"/>
          <w:lang w:val="zh-CN" w:eastAsia="zh-CN"/>
        </w:rPr>
        <w:t>1.45</w:t>
      </w:r>
      <w:r>
        <w:rPr>
          <w:rFonts w:ascii="仿宋_GB2312" w:hAnsi="仿宋_GB2312" w:eastAsia="仿宋_GB2312" w:cs="仿宋_GB2312"/>
          <w:color w:val="000000"/>
          <w:kern w:val="0"/>
          <w:sz w:val="32"/>
          <w:szCs w:val="32"/>
          <w:u w:color="000000"/>
          <w:rtl w:val="0"/>
          <w:lang w:val="zh-TW" w:eastAsia="zh-TW"/>
        </w:rPr>
        <w:t>万元，完成年初预算的</w:t>
      </w:r>
      <w:r>
        <w:rPr>
          <w:rFonts w:ascii="仿宋_GB2312" w:hAnsi="仿宋_GB2312" w:eastAsia="仿宋_GB2312" w:cs="仿宋_GB2312"/>
          <w:color w:val="000000"/>
          <w:kern w:val="0"/>
          <w:sz w:val="32"/>
          <w:szCs w:val="32"/>
          <w:u w:color="000000"/>
          <w:rtl w:val="0"/>
          <w:lang w:val="zh-CN" w:eastAsia="zh-CN"/>
        </w:rPr>
        <w:t>1450</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eastAsia="zh-CN"/>
        </w:rPr>
        <w:t>业务提升</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考古现场出土文物保护技术线上培训、全国博物馆讲解员高级讲习班培训、智慧博物馆展览策划高级线上研修班培训</w:t>
      </w:r>
      <w:r>
        <w:rPr>
          <w:rFonts w:ascii="仿宋_GB2312" w:hAnsi="仿宋_GB2312" w:eastAsia="仿宋_GB2312" w:cs="仿宋_GB2312"/>
          <w:color w:val="000000"/>
          <w:kern w:val="0"/>
          <w:sz w:val="32"/>
          <w:szCs w:val="32"/>
          <w:u w:color="000000"/>
          <w:rtl w:val="0"/>
          <w:lang w:val="zh-TW" w:eastAsia="zh-TW"/>
        </w:rPr>
        <w:t>。</w:t>
      </w:r>
    </w:p>
    <w:p w14:paraId="44322273">
      <w:pPr>
        <w:framePr w:wrap="auto" w:vAnchor="margin" w:hAnchor="text" w:yAlign="inline"/>
        <w:ind w:firstLine="640"/>
        <w:rPr>
          <w:rFonts w:ascii="楷体" w:hAnsi="楷体" w:eastAsia="楷体" w:cs="楷体"/>
          <w:b/>
          <w:bCs/>
          <w:color w:val="FF0000"/>
          <w:kern w:val="0"/>
          <w:sz w:val="40"/>
          <w:szCs w:val="40"/>
          <w:u w:color="FF0000"/>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本单位无举办节庆、晚会、论坛、赛事等活动的预算和支出决算数</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CN" w:eastAsia="zh-CN"/>
        </w:rPr>
        <w:t>。</w:t>
      </w:r>
    </w:p>
    <w:p w14:paraId="7584295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十二、关于政府采购支出说明</w:t>
      </w:r>
    </w:p>
    <w:p w14:paraId="281621D9">
      <w:pPr>
        <w:pStyle w:val="11"/>
        <w:framePr w:wrap="auto" w:vAnchor="margin" w:hAnchor="text" w:yAlign="inline"/>
        <w:spacing w:line="600" w:lineRule="exact"/>
        <w:ind w:firstLine="640"/>
        <w:jc w:val="left"/>
        <w:rPr>
          <w:rFonts w:ascii="仿宋_GB2312" w:hAnsi="仿宋_GB2312" w:eastAsia="仿宋_GB2312" w:cs="仿宋_GB2312"/>
          <w:color w:val="000000"/>
          <w:sz w:val="32"/>
          <w:szCs w:val="32"/>
          <w:u w:color="000000"/>
        </w:rPr>
      </w:pPr>
      <w:r>
        <w:rPr>
          <w:rFonts w:ascii="仿宋_GB2312" w:hAnsi="仿宋_GB2312" w:eastAsia="仿宋_GB2312" w:cs="仿宋_GB2312"/>
          <w:sz w:val="32"/>
          <w:szCs w:val="32"/>
          <w:rtl w:val="0"/>
          <w:lang w:val="zh-TW" w:eastAsia="zh-TW"/>
        </w:rPr>
        <w:t>本部门</w:t>
      </w: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年度政府采购支出总额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万元，其中：政府采购货物支出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万元、政府采购工程支出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万元、政府采购服务支出</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万元。授予中小企业合同金额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万元，占政府采购支出总额的</w:t>
      </w:r>
      <w:r>
        <w:rPr>
          <w:rFonts w:hint="eastAsia" w:ascii="仿宋_GB2312" w:hAnsi="仿宋_GB2312" w:eastAsia="仿宋_GB2312" w:cs="仿宋_GB2312"/>
          <w:sz w:val="32"/>
          <w:szCs w:val="32"/>
          <w:rtl w:val="0"/>
          <w:lang w:val="en-US"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，其中：授予小微企业合同金额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color w:val="000000"/>
          <w:sz w:val="32"/>
          <w:szCs w:val="32"/>
          <w:u w:color="000000"/>
          <w:rtl w:val="0"/>
          <w:lang w:val="zh-TW" w:eastAsia="zh-TW"/>
        </w:rPr>
        <w:t>占授予中小企业合同金额的</w:t>
      </w:r>
      <w:r>
        <w:rPr>
          <w:rFonts w:hint="eastAsia" w:ascii="仿宋_GB2312" w:hAnsi="仿宋_GB2312" w:eastAsia="仿宋_GB2312" w:cs="仿宋_GB2312"/>
          <w:color w:val="000000"/>
          <w:sz w:val="32"/>
          <w:szCs w:val="32"/>
          <w:u w:color="000000"/>
          <w:rtl w:val="0"/>
          <w:lang w:val="en-US" w:eastAsia="zh-CN"/>
        </w:rPr>
        <w:t>100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。货物采购授予中小企业合同金额占货物支出金额的</w:t>
      </w:r>
      <w:r>
        <w:rPr>
          <w:rFonts w:hint="eastAsia" w:ascii="仿宋_GB2312" w:hAnsi="仿宋_GB2312" w:eastAsia="仿宋_GB2312" w:cs="仿宋_GB2312"/>
          <w:color w:val="000000"/>
          <w:sz w:val="32"/>
          <w:szCs w:val="32"/>
          <w:u w:color="000000"/>
          <w:rtl w:val="0"/>
          <w:lang w:val="en-US" w:eastAsia="zh-CN"/>
        </w:rPr>
        <w:t>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，工程采购授予中小企业合同金额占工程支出金额的</w:t>
      </w:r>
      <w:r>
        <w:rPr>
          <w:rFonts w:hint="eastAsia" w:ascii="仿宋_GB2312" w:hAnsi="仿宋_GB2312" w:eastAsia="仿宋_GB2312" w:cs="仿宋_GB2312"/>
          <w:color w:val="000000"/>
          <w:sz w:val="32"/>
          <w:szCs w:val="32"/>
          <w:u w:color="000000"/>
          <w:rtl w:val="0"/>
          <w:lang w:val="en-US" w:eastAsia="zh-CN"/>
        </w:rPr>
        <w:t>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，服务采购授予中小企业合同金额占服务支出金额的</w:t>
      </w:r>
      <w:r>
        <w:rPr>
          <w:rFonts w:hint="eastAsia" w:ascii="仿宋_GB2312" w:hAnsi="仿宋_GB2312" w:eastAsia="仿宋_GB2312" w:cs="仿宋_GB2312"/>
          <w:color w:val="000000"/>
          <w:sz w:val="32"/>
          <w:szCs w:val="32"/>
          <w:u w:color="000000"/>
          <w:rtl w:val="0"/>
          <w:lang w:val="en-US" w:eastAsia="zh-CN"/>
        </w:rPr>
        <w:t>100</w:t>
      </w:r>
      <w:r>
        <w:rPr>
          <w:rFonts w:ascii="仿宋_GB2312" w:hAnsi="仿宋_GB2312" w:eastAsia="仿宋_GB2312" w:cs="仿宋_GB2312"/>
          <w:color w:val="000000"/>
          <w:sz w:val="32"/>
          <w:szCs w:val="32"/>
          <w:u w:color="000000"/>
          <w:rtl w:val="0"/>
          <w:lang w:val="en-US"/>
        </w:rPr>
        <w:t>%</w:t>
      </w:r>
      <w:r>
        <w:rPr>
          <w:rFonts w:hint="eastAsia" w:ascii="仿宋_GB2312" w:hAnsi="仿宋_GB2312" w:eastAsia="仿宋_GB2312" w:cs="仿宋_GB2312"/>
          <w:color w:val="000000"/>
          <w:sz w:val="32"/>
          <w:szCs w:val="32"/>
          <w:u w:color="000000"/>
          <w:rtl w:val="0"/>
          <w:lang w:val="en-US" w:eastAsia="zh-CN"/>
        </w:rPr>
        <w:t>，</w:t>
      </w:r>
      <w:r>
        <w:rPr>
          <w:rFonts w:ascii="仿宋_GB2312" w:hAnsi="宋体" w:eastAsia="仿宋_GB2312" w:cs="仿宋_GB2312"/>
          <w:color w:val="000000"/>
          <w:sz w:val="32"/>
          <w:szCs w:val="32"/>
        </w:rPr>
        <w:t>由于各项预算数为0，故无法计算各项占比</w:t>
      </w:r>
      <w:r>
        <w:rPr>
          <w:rFonts w:ascii="仿宋_GB2312" w:hAnsi="仿宋_GB2312" w:eastAsia="仿宋_GB2312" w:cs="仿宋_GB2312"/>
          <w:color w:val="000000"/>
          <w:sz w:val="32"/>
          <w:szCs w:val="32"/>
          <w:u w:color="000000"/>
          <w:rtl w:val="0"/>
          <w:lang w:val="zh-TW" w:eastAsia="zh-TW"/>
        </w:rPr>
        <w:t>。</w:t>
      </w:r>
    </w:p>
    <w:p w14:paraId="4DC86A9F">
      <w:pPr>
        <w:pStyle w:val="11"/>
        <w:framePr w:wrap="auto" w:vAnchor="margin" w:hAnchor="text" w:yAlign="inline"/>
        <w:spacing w:line="580" w:lineRule="exact"/>
        <w:ind w:firstLine="640"/>
        <w:jc w:val="left"/>
        <w:rPr>
          <w:color w:val="000000"/>
          <w:sz w:val="32"/>
          <w:szCs w:val="32"/>
          <w:u w:color="000000"/>
          <w:lang w:val="zh-TW" w:eastAsia="zh-TW"/>
        </w:rPr>
      </w:pPr>
      <w:r>
        <w:rPr>
          <w:color w:val="000000"/>
          <w:sz w:val="32"/>
          <w:szCs w:val="32"/>
          <w:u w:color="000000"/>
          <w:rtl w:val="0"/>
          <w:lang w:val="zh-TW" w:eastAsia="zh-TW"/>
        </w:rPr>
        <w:t>十三、关于国有资产占用情况说明</w:t>
      </w:r>
    </w:p>
    <w:p w14:paraId="245C0AD1">
      <w:pPr>
        <w:pStyle w:val="11"/>
        <w:framePr w:wrap="auto" w:vAnchor="margin" w:hAnchor="text" w:yAlign="inline"/>
        <w:shd w:val="clear" w:color="auto" w:fill="auto"/>
        <w:ind w:firstLine="640"/>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截至</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月</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31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日，本单位共有车辆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辆，其中，副部（省）级及以上领导用车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辆、主要负责人用车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辆、机要通信用车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辆、应急保障用车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辆、执法执勤用车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辆、特种专业技术用车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辆、离退休干部服务用车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辆、其他用车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辆；单位价值</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100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万元以上设备（不含车辆）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台（套）</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CN"/>
        </w:rPr>
        <w:t>。</w:t>
      </w:r>
    </w:p>
    <w:p w14:paraId="59FEC97A">
      <w:pPr>
        <w:pStyle w:val="11"/>
        <w:framePr w:wrap="auto" w:vAnchor="margin" w:hAnchor="text" w:yAlign="inline"/>
        <w:spacing w:line="580" w:lineRule="exact"/>
        <w:ind w:firstLine="640"/>
        <w:jc w:val="left"/>
        <w:rPr>
          <w:color w:val="000000"/>
          <w:sz w:val="32"/>
          <w:szCs w:val="32"/>
          <w:u w:color="000000"/>
        </w:rPr>
      </w:pPr>
      <w:r>
        <w:rPr>
          <w:color w:val="000000"/>
          <w:sz w:val="32"/>
          <w:szCs w:val="32"/>
          <w:u w:color="000000"/>
          <w:rtl w:val="0"/>
          <w:lang w:val="zh-TW" w:eastAsia="zh-TW"/>
        </w:rPr>
        <w:t>十四、关于</w:t>
      </w:r>
      <w:r>
        <w:rPr>
          <w:rFonts w:ascii="Times New Roman" w:hAnsi="Times New Roman"/>
          <w:color w:val="000000"/>
          <w:sz w:val="32"/>
          <w:szCs w:val="32"/>
          <w:u w:color="000000"/>
          <w:rtl w:val="0"/>
          <w:lang w:val="en-US"/>
        </w:rPr>
        <w:t>2023</w:t>
      </w:r>
      <w:r>
        <w:rPr>
          <w:color w:val="000000"/>
          <w:sz w:val="32"/>
          <w:szCs w:val="32"/>
          <w:u w:color="000000"/>
          <w:rtl w:val="0"/>
          <w:lang w:val="zh-TW" w:eastAsia="zh-TW"/>
        </w:rPr>
        <w:t>年度预算绩效情况的说明</w:t>
      </w:r>
    </w:p>
    <w:p w14:paraId="3678F7C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（一）绩效管理工作开展情况</w:t>
      </w:r>
    </w:p>
    <w:p w14:paraId="3F404E39">
      <w:pPr>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根据预算绩效管理要求，我们组织对</w:t>
      </w:r>
      <w:r>
        <w:rPr>
          <w:rFonts w:ascii="仿宋_GB2312" w:hAnsi="仿宋_GB2312" w:eastAsia="仿宋_GB2312" w:cs="仿宋_GB2312"/>
          <w:color w:val="000000"/>
          <w:kern w:val="0"/>
          <w:sz w:val="32"/>
          <w:szCs w:val="32"/>
          <w:u w:color="000000"/>
          <w:rtl w:val="0"/>
          <w:lang w:val="en-US"/>
        </w:rPr>
        <w:t>2023</w:t>
      </w:r>
      <w:r>
        <w:rPr>
          <w:rFonts w:ascii="仿宋_GB2312" w:hAnsi="仿宋_GB2312" w:eastAsia="仿宋_GB2312" w:cs="仿宋_GB2312"/>
          <w:color w:val="000000"/>
          <w:kern w:val="0"/>
          <w:sz w:val="32"/>
          <w:szCs w:val="32"/>
          <w:u w:color="000000"/>
          <w:rtl w:val="0"/>
          <w:lang w:val="zh-TW" w:eastAsia="zh-TW"/>
        </w:rPr>
        <w:t>年度整体支出和项目资金实施了全覆盖性的绩效评价，撰写了绩效自评报告。</w:t>
      </w:r>
    </w:p>
    <w:p w14:paraId="76922E92">
      <w:pPr>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组织开展整体支出绩效评价，涉及一般公共预算支出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万元，政府性基金预算支出</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万元，国有资本经营预算支出</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万元。从评价情况来看，整体支出绩效评价中，</w:t>
      </w:r>
      <w:r>
        <w:rPr>
          <w:rFonts w:ascii="仿宋_GB2312" w:hAnsi="仿宋_GB2312" w:eastAsia="仿宋_GB2312" w:cs="仿宋_GB2312"/>
          <w:color w:val="000000"/>
          <w:kern w:val="0"/>
          <w:sz w:val="32"/>
          <w:szCs w:val="32"/>
          <w:u w:color="000000"/>
          <w:rtl w:val="0"/>
          <w:lang w:val="en-US"/>
        </w:rPr>
        <w:t>2023</w:t>
      </w:r>
      <w:r>
        <w:rPr>
          <w:rFonts w:ascii="仿宋_GB2312" w:hAnsi="仿宋_GB2312" w:eastAsia="仿宋_GB2312" w:cs="仿宋_GB2312"/>
          <w:color w:val="000000"/>
          <w:kern w:val="0"/>
          <w:sz w:val="32"/>
          <w:szCs w:val="32"/>
          <w:u w:color="000000"/>
          <w:rtl w:val="0"/>
          <w:lang w:val="zh-TW" w:eastAsia="zh-TW"/>
        </w:rPr>
        <w:t>年整体支出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万元，其中：基本支出</w:t>
      </w:r>
      <w:r>
        <w:rPr>
          <w:rFonts w:hint="eastAsia" w:ascii="仿宋_GB2312" w:hAnsi="仿宋_GB2312" w:eastAsia="仿宋_GB2312" w:cs="仿宋_GB2312"/>
          <w:kern w:val="0"/>
          <w:sz w:val="32"/>
          <w:szCs w:val="32"/>
          <w:rtl w:val="0"/>
          <w:lang w:val="en-US" w:eastAsia="zh-CN"/>
        </w:rPr>
        <w:t>856.38</w:t>
      </w:r>
      <w:r>
        <w:rPr>
          <w:rFonts w:ascii="仿宋_GB2312" w:hAnsi="仿宋_GB2312" w:eastAsia="仿宋_GB2312" w:cs="仿宋_GB2312"/>
          <w:color w:val="000000"/>
          <w:kern w:val="0"/>
          <w:sz w:val="32"/>
          <w:szCs w:val="32"/>
          <w:u w:color="000000"/>
          <w:rtl w:val="0"/>
          <w:lang w:val="zh-TW" w:eastAsia="zh-TW"/>
        </w:rPr>
        <w:t>万元，项目支出</w:t>
      </w:r>
      <w:r>
        <w:rPr>
          <w:rFonts w:hint="eastAsia" w:ascii="仿宋_GB2312" w:hAnsi="仿宋_GB2312" w:eastAsia="仿宋_GB2312" w:cs="仿宋_GB2312"/>
          <w:kern w:val="0"/>
          <w:sz w:val="32"/>
          <w:szCs w:val="32"/>
          <w:rtl w:val="0"/>
          <w:lang w:val="en-US" w:eastAsia="zh-CN"/>
        </w:rPr>
        <w:t>0</w:t>
      </w:r>
      <w:r>
        <w:rPr>
          <w:rFonts w:ascii="仿宋_GB2312" w:hAnsi="仿宋_GB2312" w:eastAsia="仿宋_GB2312" w:cs="仿宋_GB2312"/>
          <w:color w:val="000000"/>
          <w:kern w:val="0"/>
          <w:sz w:val="32"/>
          <w:szCs w:val="32"/>
          <w:u w:color="000000"/>
          <w:rtl w:val="0"/>
          <w:lang w:val="zh-TW" w:eastAsia="zh-TW"/>
        </w:rPr>
        <w:t>万元，本单位整体支出绩效自评综合评分</w:t>
      </w:r>
      <w:r>
        <w:rPr>
          <w:rFonts w:hint="eastAsia" w:ascii="仿宋_GB2312" w:hAnsi="仿宋_GB2312" w:eastAsia="仿宋_GB2312" w:cs="仿宋_GB2312"/>
          <w:color w:val="000000"/>
          <w:kern w:val="0"/>
          <w:sz w:val="32"/>
          <w:szCs w:val="32"/>
          <w:u w:color="000000"/>
          <w:rtl w:val="0"/>
          <w:lang w:val="en-US" w:eastAsia="zh-CN"/>
        </w:rPr>
        <w:t>99</w:t>
      </w:r>
      <w:r>
        <w:rPr>
          <w:rFonts w:ascii="仿宋_GB2312" w:hAnsi="仿宋_GB2312" w:eastAsia="仿宋_GB2312" w:cs="仿宋_GB2312"/>
          <w:color w:val="000000"/>
          <w:kern w:val="0"/>
          <w:sz w:val="32"/>
          <w:szCs w:val="32"/>
          <w:u w:color="000000"/>
          <w:rtl w:val="0"/>
          <w:lang w:val="zh-TW" w:eastAsia="zh-TW"/>
        </w:rPr>
        <w:t>分，评价结果等</w:t>
      </w:r>
      <w:r>
        <w:rPr>
          <w:rFonts w:hint="eastAsia" w:ascii="仿宋_GB2312" w:hAnsi="仿宋_GB2312" w:eastAsia="仿宋_GB2312" w:cs="仿宋_GB2312"/>
          <w:color w:val="000000"/>
          <w:kern w:val="0"/>
          <w:sz w:val="32"/>
          <w:szCs w:val="32"/>
          <w:u w:color="000000"/>
          <w:rtl w:val="0"/>
          <w:lang w:val="en-US" w:eastAsia="zh-CN"/>
        </w:rPr>
        <w:t>级</w:t>
      </w:r>
      <w:r>
        <w:rPr>
          <w:rFonts w:ascii="仿宋_GB2312" w:hAnsi="仿宋_GB2312" w:eastAsia="仿宋_GB2312" w:cs="仿宋_GB2312"/>
          <w:color w:val="000000"/>
          <w:kern w:val="0"/>
          <w:sz w:val="32"/>
          <w:szCs w:val="32"/>
          <w:u w:color="000000"/>
          <w:rtl w:val="0"/>
          <w:lang w:val="zh-TW" w:eastAsia="zh-TW"/>
        </w:rPr>
        <w:t>为</w:t>
      </w:r>
      <w:r>
        <w:rPr>
          <w:rFonts w:ascii="仿宋_GB2312" w:hAnsi="仿宋_GB2312" w:eastAsia="仿宋_GB2312" w:cs="仿宋_GB2312"/>
          <w:b w:val="0"/>
          <w:bCs w:val="0"/>
          <w:i w:val="0"/>
          <w:iCs w:val="0"/>
          <w:caps w:val="0"/>
          <w:smallCaps w:val="0"/>
          <w:strike w:val="0"/>
          <w:dstrike w:val="0"/>
          <w:outline w:val="0"/>
          <w:emboss w:val="0"/>
          <w:imprint w:val="0"/>
          <w:vanish w:val="0"/>
          <w:color w:val="000000"/>
          <w:kern w:val="0"/>
          <w:sz w:val="32"/>
          <w:szCs w:val="32"/>
          <w:u w:color="000000"/>
          <w:rtl w:val="0"/>
          <w:lang w:val="zh-CN" w:eastAsia="zh-CN"/>
        </w:rPr>
        <w:t>优</w:t>
      </w:r>
      <w:r>
        <w:rPr>
          <w:rFonts w:ascii="仿宋_GB2312" w:hAnsi="仿宋_GB2312" w:eastAsia="仿宋_GB2312" w:cs="仿宋_GB2312"/>
          <w:color w:val="000000"/>
          <w:kern w:val="0"/>
          <w:sz w:val="32"/>
          <w:szCs w:val="32"/>
          <w:u w:color="000000"/>
          <w:rtl w:val="0"/>
          <w:lang w:val="zh-TW" w:eastAsia="zh-TW"/>
        </w:rPr>
        <w:t>。</w:t>
      </w:r>
    </w:p>
    <w:p w14:paraId="0F1B9DF1">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bookmarkStart w:id="0" w:name="_GoBack"/>
      <w:bookmarkEnd w:id="0"/>
      <w:r>
        <w:rPr>
          <w:rFonts w:ascii="楷体" w:hAnsi="楷体" w:eastAsia="楷体" w:cs="楷体"/>
          <w:b/>
          <w:bCs/>
          <w:sz w:val="32"/>
          <w:szCs w:val="32"/>
          <w:rtl w:val="0"/>
          <w:lang w:val="zh-TW" w:eastAsia="zh-TW"/>
        </w:rPr>
        <w:t>（二）部门（单位）整体支出绩效情况</w:t>
      </w:r>
    </w:p>
    <w:p w14:paraId="3B0DC8DE">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ascii="仿宋_GB2312" w:hAnsi="仿宋_GB2312" w:eastAsia="仿宋_GB2312" w:cs="仿宋_GB2312"/>
          <w:color w:val="000000"/>
          <w:kern w:val="0"/>
          <w:sz w:val="32"/>
          <w:szCs w:val="32"/>
          <w:u w:color="000000"/>
          <w:rtl w:val="0"/>
          <w:lang w:val="zh-TW" w:eastAsia="zh-TW"/>
        </w:rPr>
        <w:t>根据年初设定的绩效目标，绩效自评得分为</w:t>
      </w:r>
      <w:r>
        <w:rPr>
          <w:rFonts w:ascii="仿宋_GB2312" w:hAnsi="仿宋_GB2312" w:eastAsia="仿宋_GB2312" w:cs="仿宋_GB2312"/>
          <w:kern w:val="0"/>
          <w:sz w:val="32"/>
          <w:szCs w:val="32"/>
          <w:rtl w:val="0"/>
          <w:lang w:val="zh-CN" w:eastAsia="zh-CN"/>
        </w:rPr>
        <w:t>99</w:t>
      </w:r>
      <w:r>
        <w:rPr>
          <w:rFonts w:ascii="仿宋_GB2312" w:hAnsi="仿宋_GB2312" w:eastAsia="仿宋_GB2312" w:cs="仿宋_GB2312"/>
          <w:color w:val="000000"/>
          <w:kern w:val="0"/>
          <w:sz w:val="32"/>
          <w:szCs w:val="32"/>
          <w:u w:color="000000"/>
          <w:rtl w:val="0"/>
          <w:lang w:val="zh-TW" w:eastAsia="zh-TW"/>
        </w:rPr>
        <w:t>分。全年预算数为</w:t>
      </w:r>
      <w:r>
        <w:rPr>
          <w:rFonts w:ascii="仿宋_GB2312" w:hAnsi="仿宋_GB2312" w:eastAsia="仿宋_GB2312" w:cs="仿宋_GB2312"/>
          <w:kern w:val="0"/>
          <w:sz w:val="32"/>
          <w:szCs w:val="32"/>
          <w:rtl w:val="0"/>
          <w:lang w:val="zh-CN" w:eastAsia="zh-CN"/>
        </w:rPr>
        <w:t>253.78</w:t>
      </w:r>
      <w:r>
        <w:rPr>
          <w:rFonts w:ascii="仿宋_GB2312" w:hAnsi="仿宋_GB2312" w:eastAsia="仿宋_GB2312" w:cs="仿宋_GB2312"/>
          <w:color w:val="000000"/>
          <w:kern w:val="0"/>
          <w:sz w:val="32"/>
          <w:szCs w:val="32"/>
          <w:u w:color="000000"/>
          <w:rtl w:val="0"/>
          <w:lang w:val="zh-TW" w:eastAsia="zh-TW"/>
        </w:rPr>
        <w:t>万元，执行数为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万元，完成预算的</w:t>
      </w:r>
      <w:r>
        <w:rPr>
          <w:rFonts w:ascii="仿宋_GB2312" w:hAnsi="仿宋_GB2312" w:eastAsia="仿宋_GB2312" w:cs="仿宋_GB2312"/>
          <w:color w:val="000000"/>
          <w:kern w:val="0"/>
          <w:sz w:val="32"/>
          <w:szCs w:val="32"/>
          <w:u w:color="000000"/>
          <w:rtl w:val="0"/>
          <w:lang w:val="zh-CN" w:eastAsia="zh-CN"/>
        </w:rPr>
        <w:t>337.45</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。绩效目标完成情况：</w:t>
      </w:r>
      <w:r>
        <w:rPr>
          <w:rFonts w:hint="eastAsia" w:ascii="Times New Roman" w:hAnsi="Times New Roman" w:eastAsia="仿宋_GB2312" w:cs="黑体"/>
          <w:color w:val="000000"/>
          <w:kern w:val="0"/>
          <w:sz w:val="32"/>
          <w:szCs w:val="32"/>
          <w:highlight w:val="none"/>
          <w:lang w:val="en-US" w:eastAsia="zh-CN" w:bidi="ar-SA"/>
        </w:rPr>
        <w:t>一是履职尽责，党风廉政建设工作稳步推进。党支部于1月召开了2023年度博物馆党风廉政建设工作部署会，对全年的党风廉政建设工作进行分析讨论，明确工作思路，部署工作任务。制定了市博物馆2023年度党风廉政建设“一岗双责”工作制度和实施办法。明确一把手为“第一责任人”，各班子成员对职责范围内的党风廉政建设和反腐败工作负直接领导责任，根据职责分工，逐级分解责任认真履行“一岗双责”，主动督促、主动检查。支部书记与班子成员、班子成员与科部室主任签订《履行党风廉政建设主体责任承诺书》，支部全年共开展班子成员及党员主体责任廉政谈心谈话8次、工作提醒谈话3次，真正做到了将党风廉政建设“一岗双责”工作落实到班子、落实到部门、落实到个人。始终坚持民主集中，严格落实“三重一大”决策制度。单位重要事项决策，始终坚持班子集体讨论研究的政策，并严格执行“一把手”末位表态制度。同时严格履行“三重一大”程序申报，重大项目实施、重大资金使用等均按文旅广电局“三重一大”相关规定依法、依规、依程序逐级报批。</w:t>
      </w:r>
    </w:p>
    <w:p w14:paraId="7CC1822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二是狠抓项目落实，争资争项成效显著。严格依照市纪委监委和局党组相关要求，有序开展各项目申报及实施工作。</w:t>
      </w:r>
    </w:p>
    <w:p w14:paraId="6276060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三是免费开放工作井然有序，研学社教活动有声有色。截至目前，博物馆全年共计免费开放313天，接待游客40万人次，完成讲解任务432场/次。组织开展“雷锋家乡学雷锋·向雷锋同志学习”、博物馆暑期公益研学课、“小小考古家”考古探秘活动、时光碎片之狩猎达人等研学、社教活动33场/次。举办“5.18国际博物馆日”系列宣传活动、蒲月飘香·五彩端午—传统节日活动、“洞庭赊明月·岳博奇妙夜”中秋传统节日活动等大型文化宣传活动6场/次。联合湖南民族职业学院、湖南理工学院中文学院在文化志愿服务上深度合作，开展文化志愿者服务活动56场/次，吸收志愿者137人，志愿者服务时间281天，服务时间达1242小时。</w:t>
      </w:r>
    </w:p>
    <w:p w14:paraId="337CD847">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四是文物征集保管工作成果丰硕，保护利用再上台阶。配备环境检测、文物保护相关仪器、设备71台，中心文物库房形成了集文物藏品保护管理、协调、监测、分析、处理、预案等一系列风险预控机制，大大提升了我馆文物预防性保护水平。</w:t>
      </w:r>
    </w:p>
    <w:p w14:paraId="3E4C9D1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五是文物考古工作进展顺利，学术研究水平显著提升。</w:t>
      </w:r>
    </w:p>
    <w:p w14:paraId="39CC379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六是狠抓队伍建设，淬火提质业务能力水平。为全面加强博物馆队伍建设水平，着力提升博物馆的管理运营水平、专业技术力量和服务品质，我馆大力推荐、鼓励、组织干部职工，尤其是年青同志积极参加各类业务培训。全年本单位共计开展“以学促知·以知促行”提升履职能力工作礼仪专业培训、消防安全知识技能培训等业务培训4场次，组织干部职工参加全国第十届博博会、湖南省文物保护工程业务培训、2023全国博物馆讲解员高级讲习班等学术论坛、线上线下业务培训班20余场/次。</w:t>
      </w:r>
    </w:p>
    <w:p w14:paraId="51A755C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七是防微杜渐，严格约束言行我馆班子成员皆做到谨言慎行，时刻保持清醒的头脑，做到自尊、自主、自爱、自律、自重，加强领导干部的廉洁自律，防微杜渐，严守“诱惑关”，做到“勿以善小而不为，勿以恶小而为之”，不侥幸、不任性，始终按照一名合格党员标准严格要求自已，始终牢记党的宗旨，牢固树立全心全意为人民服务的思想，踏踏实实做事，清清白白做人，不辜负组织的信任和群众的厚爱。</w:t>
      </w:r>
    </w:p>
    <w:p w14:paraId="7217EE1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（三）存在的问题及原因分析</w:t>
      </w:r>
    </w:p>
    <w:p w14:paraId="0B2363A0">
      <w:pPr>
        <w:framePr w:wrap="auto" w:vAnchor="margin" w:hAnchor="text" w:yAlign="inline"/>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预算绩效管理开展情况、绩效目标和绩效评价报告等，已在市政府部门财政预决算公开平台上向社会公开，详见附件。</w:t>
      </w:r>
    </w:p>
    <w:p w14:paraId="4EAFB5B7">
      <w:pPr>
        <w:framePr w:wrap="auto" w:vAnchor="margin" w:hAnchor="text" w:yAlign="inline"/>
        <w:jc w:val="left"/>
        <w:rPr>
          <w:rFonts w:ascii="楷体" w:hAnsi="楷体" w:eastAsia="楷体" w:cs="楷体"/>
          <w:b/>
          <w:bCs/>
          <w:color w:val="FF0000"/>
          <w:kern w:val="0"/>
          <w:sz w:val="36"/>
          <w:szCs w:val="36"/>
          <w:u w:color="FF0000"/>
          <w:lang w:val="zh-TW" w:eastAsia="zh-TW"/>
        </w:rPr>
      </w:pPr>
    </w:p>
    <w:p w14:paraId="4A8EFCB8">
      <w:pPr>
        <w:pStyle w:val="11"/>
        <w:framePr w:wrap="auto" w:vAnchor="margin" w:hAnchor="text" w:yAlign="inline"/>
        <w:rPr>
          <w:sz w:val="72"/>
          <w:szCs w:val="72"/>
        </w:rPr>
      </w:pPr>
    </w:p>
    <w:p w14:paraId="5860F930">
      <w:pPr>
        <w:pStyle w:val="11"/>
        <w:framePr w:wrap="auto" w:vAnchor="margin" w:hAnchor="text" w:yAlign="inline"/>
        <w:jc w:val="center"/>
        <w:rPr>
          <w:sz w:val="72"/>
          <w:szCs w:val="72"/>
        </w:rPr>
      </w:pPr>
    </w:p>
    <w:p w14:paraId="1D4E521F">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B3BE6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810BDB6">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102E8C8">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EDCFAD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第四部分</w:t>
      </w:r>
    </w:p>
    <w:p w14:paraId="29C45C89">
      <w:pPr>
        <w:framePr w:wrap="auto" w:vAnchor="margin" w:hAnchor="text" w:yAlign="inline"/>
        <w:jc w:val="center"/>
        <w:rPr>
          <w:rFonts w:ascii="方正小标宋_GBK" w:hAnsi="方正小标宋_GBK" w:eastAsia="方正小标宋_GBK" w:cs="方正小标宋_GBK"/>
          <w:color w:val="000000"/>
          <w:kern w:val="0"/>
          <w:sz w:val="70"/>
          <w:szCs w:val="70"/>
          <w:u w:color="000000"/>
          <w:lang w:val="zh-TW" w:eastAsia="zh-TW"/>
        </w:rPr>
      </w:pPr>
    </w:p>
    <w:p w14:paraId="0B9D41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color w:val="000000"/>
          <w:kern w:val="0"/>
          <w:sz w:val="70"/>
          <w:szCs w:val="70"/>
          <w:u w:color="000000"/>
          <w:rtl w:val="0"/>
          <w:lang w:val="zh-TW" w:eastAsia="zh-TW"/>
        </w:rPr>
        <w:t>名词解释</w:t>
      </w:r>
    </w:p>
    <w:p w14:paraId="3D60ABFF">
      <w:pPr>
        <w:pStyle w:val="4"/>
        <w:framePr w:wrap="auto" w:vAnchor="margin" w:hAnchor="text" w:yAlign="inline"/>
      </w:pPr>
    </w:p>
    <w:p w14:paraId="2E85F29D">
      <w:pPr>
        <w:pStyle w:val="5"/>
        <w:framePr w:wrap="auto" w:vAnchor="margin" w:hAnchor="text" w:yAlign="inline"/>
      </w:pPr>
    </w:p>
    <w:p w14:paraId="30DE8FA9">
      <w:pPr>
        <w:framePr w:wrap="auto" w:vAnchor="margin" w:hAnchor="text" w:yAlign="inline"/>
      </w:pPr>
    </w:p>
    <w:p w14:paraId="78B2DBBB">
      <w:pPr>
        <w:pStyle w:val="4"/>
        <w:framePr w:wrap="auto" w:vAnchor="margin" w:hAnchor="text" w:yAlign="inline"/>
      </w:pPr>
    </w:p>
    <w:p w14:paraId="43729665">
      <w:pPr>
        <w:pStyle w:val="5"/>
        <w:framePr w:wrap="auto" w:vAnchor="margin" w:hAnchor="text" w:yAlign="inline"/>
      </w:pPr>
    </w:p>
    <w:p w14:paraId="7D574FBB">
      <w:pPr>
        <w:framePr w:wrap="auto" w:vAnchor="margin" w:hAnchor="text" w:yAlign="inline"/>
      </w:pPr>
    </w:p>
    <w:p w14:paraId="3B16532B">
      <w:pPr>
        <w:pStyle w:val="4"/>
        <w:framePr w:wrap="auto" w:vAnchor="margin" w:hAnchor="text" w:yAlign="inline"/>
      </w:pPr>
    </w:p>
    <w:p w14:paraId="0EC8B113">
      <w:pPr>
        <w:pStyle w:val="5"/>
        <w:framePr w:wrap="auto" w:vAnchor="margin" w:hAnchor="text" w:yAlign="inline"/>
      </w:pPr>
    </w:p>
    <w:p w14:paraId="249ED65A">
      <w:pPr>
        <w:framePr w:wrap="auto" w:vAnchor="margin" w:hAnchor="text" w:yAlign="inline"/>
      </w:pPr>
    </w:p>
    <w:p w14:paraId="2347D9E0">
      <w:pPr>
        <w:pStyle w:val="4"/>
        <w:framePr w:wrap="auto" w:vAnchor="margin" w:hAnchor="text" w:yAlign="inline"/>
      </w:pPr>
    </w:p>
    <w:p w14:paraId="2DB47D23">
      <w:pPr>
        <w:pStyle w:val="5"/>
        <w:framePr w:wrap="auto" w:vAnchor="margin" w:hAnchor="text" w:yAlign="inline"/>
      </w:pPr>
    </w:p>
    <w:p w14:paraId="1C424559">
      <w:pPr>
        <w:framePr w:wrap="auto" w:vAnchor="margin" w:hAnchor="text" w:yAlign="inline"/>
      </w:pPr>
    </w:p>
    <w:p w14:paraId="3488F4F3">
      <w:pPr>
        <w:pStyle w:val="4"/>
        <w:framePr w:wrap="auto" w:vAnchor="margin" w:hAnchor="text" w:yAlign="inline"/>
      </w:pPr>
    </w:p>
    <w:p w14:paraId="378D0665">
      <w:pPr>
        <w:pStyle w:val="5"/>
        <w:framePr w:wrap="auto" w:vAnchor="margin" w:hAnchor="text" w:yAlign="inline"/>
      </w:pPr>
    </w:p>
    <w:p w14:paraId="3709B4A3">
      <w:pPr>
        <w:framePr w:wrap="auto" w:vAnchor="margin" w:hAnchor="text" w:yAlign="inline"/>
      </w:pPr>
    </w:p>
    <w:p w14:paraId="42217E80">
      <w:pPr>
        <w:pStyle w:val="4"/>
        <w:framePr w:wrap="auto" w:vAnchor="margin" w:hAnchor="text" w:yAlign="inline"/>
      </w:pPr>
    </w:p>
    <w:p w14:paraId="249AF113">
      <w:pPr>
        <w:pStyle w:val="5"/>
        <w:framePr w:wrap="auto" w:vAnchor="margin" w:hAnchor="text" w:yAlign="inline"/>
      </w:pPr>
    </w:p>
    <w:p w14:paraId="2CD1A488">
      <w:pPr>
        <w:framePr w:wrap="auto" w:vAnchor="margin" w:hAnchor="text" w:yAlign="inline"/>
      </w:pPr>
    </w:p>
    <w:p w14:paraId="03448514">
      <w:pPr>
        <w:pStyle w:val="4"/>
        <w:framePr w:wrap="auto" w:vAnchor="margin" w:hAnchor="text" w:yAlign="inline"/>
      </w:pPr>
    </w:p>
    <w:p w14:paraId="19276FA5">
      <w:pPr>
        <w:pStyle w:val="5"/>
        <w:framePr w:wrap="auto" w:vAnchor="margin" w:hAnchor="text" w:yAlign="inline"/>
      </w:pPr>
    </w:p>
    <w:p w14:paraId="06D0662F">
      <w:pPr>
        <w:framePr w:wrap="auto" w:vAnchor="margin" w:hAnchor="text" w:yAlign="inline"/>
      </w:pPr>
    </w:p>
    <w:p w14:paraId="5C33403A">
      <w:pPr>
        <w:pStyle w:val="4"/>
        <w:framePr w:wrap="auto" w:vAnchor="margin" w:hAnchor="text" w:yAlign="inline"/>
      </w:pPr>
    </w:p>
    <w:p w14:paraId="2FDB06B3">
      <w:pPr>
        <w:pStyle w:val="5"/>
        <w:framePr w:wrap="auto" w:vAnchor="margin" w:hAnchor="text" w:yAlign="inline"/>
      </w:pPr>
    </w:p>
    <w:p w14:paraId="37C0CECE">
      <w:pPr>
        <w:framePr w:wrap="auto" w:vAnchor="margin" w:hAnchor="text" w:yAlign="inline"/>
      </w:pPr>
    </w:p>
    <w:p w14:paraId="58B33AE0">
      <w:pPr>
        <w:pStyle w:val="4"/>
        <w:framePr w:wrap="auto" w:vAnchor="margin" w:hAnchor="text" w:yAlign="inline"/>
      </w:pPr>
    </w:p>
    <w:p w14:paraId="39C6A8DE">
      <w:pPr>
        <w:pStyle w:val="5"/>
        <w:framePr w:wrap="auto" w:vAnchor="margin" w:hAnchor="text" w:yAlign="inline"/>
      </w:pPr>
    </w:p>
    <w:p w14:paraId="0D6BB353">
      <w:pPr>
        <w:framePr w:wrap="auto" w:vAnchor="margin" w:hAnchor="text" w:yAlign="inline"/>
      </w:pPr>
    </w:p>
    <w:p w14:paraId="303F2BC6">
      <w:pPr>
        <w:pStyle w:val="4"/>
        <w:framePr w:wrap="auto" w:vAnchor="margin" w:hAnchor="text" w:yAlign="inline"/>
      </w:pPr>
    </w:p>
    <w:p w14:paraId="4100FA35">
      <w:pPr>
        <w:pStyle w:val="5"/>
        <w:framePr w:wrap="auto" w:vAnchor="margin" w:hAnchor="text" w:yAlign="inline"/>
      </w:pPr>
    </w:p>
    <w:p w14:paraId="71CAA916">
      <w:pPr>
        <w:framePr w:wrap="auto" w:vAnchor="margin" w:hAnchor="text" w:yAlign="inline"/>
      </w:pPr>
    </w:p>
    <w:p w14:paraId="688EBF6B">
      <w:pPr>
        <w:pStyle w:val="4"/>
        <w:framePr w:wrap="auto" w:vAnchor="margin" w:hAnchor="text" w:yAlign="inline"/>
      </w:pPr>
    </w:p>
    <w:p w14:paraId="420471BD">
      <w:pPr>
        <w:pStyle w:val="5"/>
        <w:framePr w:wrap="auto" w:vAnchor="margin" w:hAnchor="text" w:yAlign="inline"/>
      </w:pPr>
    </w:p>
    <w:p w14:paraId="291DA4ED">
      <w:pPr>
        <w:pStyle w:val="5"/>
        <w:framePr w:wrap="auto" w:vAnchor="margin" w:hAnchor="text" w:yAlign="inline"/>
      </w:pPr>
    </w:p>
    <w:p w14:paraId="0F03D4C8">
      <w:pPr>
        <w:framePr w:wrap="auto" w:vAnchor="margin" w:hAnchor="text" w:yAlign="inline"/>
      </w:pPr>
    </w:p>
    <w:p w14:paraId="36125A0E">
      <w:pPr>
        <w:pStyle w:val="4"/>
        <w:framePr w:wrap="auto" w:vAnchor="margin" w:hAnchor="text" w:yAlign="inline"/>
      </w:pPr>
    </w:p>
    <w:p w14:paraId="4E8A9E91">
      <w:pPr>
        <w:framePr w:wrap="auto" w:vAnchor="margin" w:hAnchor="text" w:yAlign="inline"/>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一、</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三公</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782364">
      <w:pPr>
        <w:framePr w:wrap="auto" w:vAnchor="margin" w:hAnchor="text" w:yAlign="inline"/>
        <w:ind w:firstLine="640"/>
        <w:jc w:val="left"/>
        <w:rPr>
          <w:rFonts w:ascii="仿宋_GB2312" w:hAnsi="仿宋_GB2312" w:eastAsia="仿宋_GB2312" w:cs="仿宋_GB2312"/>
          <w:color w:val="000000"/>
          <w:kern w:val="0"/>
          <w:sz w:val="32"/>
          <w:szCs w:val="32"/>
          <w:u w:color="000000"/>
          <w:lang w:val="zh-TW" w:eastAsia="zh-TW"/>
        </w:rPr>
      </w:pPr>
      <w:r>
        <w:rPr>
          <w:rFonts w:ascii="仿宋_GB2312" w:hAnsi="仿宋_GB2312" w:eastAsia="仿宋_GB2312" w:cs="仿宋_GB2312"/>
          <w:color w:val="000000"/>
          <w:kern w:val="0"/>
          <w:sz w:val="32"/>
          <w:szCs w:val="32"/>
          <w:u w:color="000000"/>
          <w:rtl w:val="0"/>
          <w:lang w:val="zh-TW" w:eastAsia="zh-TW"/>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1897844A">
      <w:pPr>
        <w:framePr w:wrap="auto" w:vAnchor="margin" w:hAnchor="text" w:yAlign="inline"/>
      </w:pPr>
    </w:p>
    <w:p w14:paraId="0E5ACADA">
      <w:pPr>
        <w:pStyle w:val="4"/>
        <w:framePr w:wrap="auto" w:vAnchor="margin" w:hAnchor="text" w:yAlign="inline"/>
      </w:pPr>
    </w:p>
    <w:p w14:paraId="3CFD3790">
      <w:pPr>
        <w:pStyle w:val="5"/>
        <w:framePr w:wrap="auto" w:vAnchor="margin" w:hAnchor="text" w:yAlign="inline"/>
      </w:pPr>
    </w:p>
    <w:p w14:paraId="59BC1274">
      <w:pPr>
        <w:framePr w:wrap="auto" w:vAnchor="margin" w:hAnchor="text" w:yAlign="inline"/>
      </w:pPr>
    </w:p>
    <w:p w14:paraId="0A930F32">
      <w:pPr>
        <w:pStyle w:val="4"/>
        <w:framePr w:wrap="auto" w:vAnchor="margin" w:hAnchor="text" w:yAlign="inline"/>
      </w:pPr>
    </w:p>
    <w:p w14:paraId="61A6970F">
      <w:pPr>
        <w:pStyle w:val="5"/>
        <w:framePr w:wrap="auto" w:vAnchor="margin" w:hAnchor="text" w:yAlign="inline"/>
      </w:pPr>
    </w:p>
    <w:p w14:paraId="6380FFFC">
      <w:pPr>
        <w:framePr w:wrap="auto" w:vAnchor="margin" w:hAnchor="text" w:yAlign="inline"/>
      </w:pPr>
    </w:p>
    <w:p w14:paraId="5736DC10">
      <w:pPr>
        <w:pStyle w:val="4"/>
        <w:framePr w:wrap="auto" w:vAnchor="margin" w:hAnchor="text" w:yAlign="inline"/>
      </w:pPr>
    </w:p>
    <w:p w14:paraId="34E8F493">
      <w:pPr>
        <w:pStyle w:val="5"/>
        <w:framePr w:wrap="auto" w:vAnchor="margin" w:hAnchor="text" w:yAlign="inline"/>
      </w:pPr>
    </w:p>
    <w:p w14:paraId="030A9A02">
      <w:pPr>
        <w:framePr w:wrap="auto" w:vAnchor="margin" w:hAnchor="text" w:yAlign="inline"/>
      </w:pPr>
    </w:p>
    <w:p w14:paraId="2DF7611E">
      <w:pPr>
        <w:pStyle w:val="4"/>
        <w:framePr w:wrap="auto" w:vAnchor="margin" w:hAnchor="text" w:yAlign="inline"/>
      </w:pPr>
    </w:p>
    <w:p w14:paraId="4EA4771A">
      <w:pPr>
        <w:pStyle w:val="5"/>
        <w:framePr w:wrap="auto" w:vAnchor="margin" w:hAnchor="text" w:yAlign="inline"/>
      </w:pPr>
    </w:p>
    <w:p w14:paraId="6FFD773A">
      <w:pPr>
        <w:framePr w:wrap="auto" w:vAnchor="margin" w:hAnchor="text" w:yAlign="inline"/>
      </w:pPr>
    </w:p>
    <w:p w14:paraId="30BA744A">
      <w:pPr>
        <w:pStyle w:val="4"/>
        <w:framePr w:wrap="auto" w:vAnchor="margin" w:hAnchor="text" w:yAlign="inline"/>
      </w:pPr>
    </w:p>
    <w:p w14:paraId="7EE6BDB5">
      <w:pPr>
        <w:pStyle w:val="5"/>
        <w:framePr w:wrap="auto" w:vAnchor="margin" w:hAnchor="text" w:yAlign="inline"/>
      </w:pPr>
    </w:p>
    <w:p w14:paraId="25CBACD6">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sz w:val="72"/>
          <w:szCs w:val="72"/>
          <w:rtl w:val="0"/>
          <w:lang w:val="zh-TW" w:eastAsia="zh-TW"/>
        </w:rPr>
        <w:t>第五部分</w:t>
      </w:r>
    </w:p>
    <w:p w14:paraId="3EAB57AB">
      <w:pPr>
        <w:pStyle w:val="11"/>
        <w:framePr w:wrap="auto" w:vAnchor="margin" w:hAnchor="text" w:yAlign="inline"/>
        <w:rPr>
          <w:rFonts w:ascii="方正小标宋_GBK" w:hAnsi="方正小标宋_GBK" w:eastAsia="方正小标宋_GBK" w:cs="方正小标宋_GBK"/>
          <w:sz w:val="70"/>
          <w:szCs w:val="70"/>
          <w:lang w:val="zh-TW" w:eastAsia="zh-TW"/>
        </w:rPr>
      </w:pPr>
    </w:p>
    <w:p w14:paraId="22D5296C">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zh-TW" w:eastAsia="zh-TW"/>
        </w:rPr>
        <w:t>附</w:t>
      </w:r>
      <w:r>
        <w:rPr>
          <w:rFonts w:ascii="方正小标宋_GBK" w:hAnsi="方正小标宋_GBK" w:eastAsia="方正小标宋_GBK" w:cs="方正小标宋_GBK"/>
          <w:sz w:val="70"/>
          <w:szCs w:val="70"/>
          <w:rtl w:val="0"/>
          <w:lang w:val="en-US"/>
        </w:rPr>
        <w:t xml:space="preserve"> </w:t>
      </w:r>
      <w:r>
        <w:rPr>
          <w:rFonts w:ascii="方正小标宋_GBK" w:hAnsi="方正小标宋_GBK" w:eastAsia="方正小标宋_GBK" w:cs="方正小标宋_GBK"/>
          <w:sz w:val="70"/>
          <w:szCs w:val="70"/>
          <w:rtl w:val="0"/>
          <w:lang w:val="zh-TW" w:eastAsia="zh-TW"/>
        </w:rPr>
        <w:t>件</w:t>
      </w:r>
    </w:p>
    <w:p w14:paraId="762C899C">
      <w:pPr>
        <w:framePr w:wrap="auto" w:vAnchor="margin" w:hAnchor="text" w:yAlign="inline"/>
        <w:ind w:firstLine="640"/>
        <w:jc w:val="left"/>
        <w:rPr>
          <w:rFonts w:ascii="宋体" w:hAnsi="宋体" w:eastAsia="宋体" w:cs="宋体"/>
          <w:b/>
          <w:bCs/>
          <w:color w:val="000000"/>
          <w:kern w:val="0"/>
          <w:sz w:val="32"/>
          <w:szCs w:val="32"/>
          <w:u w:color="000000"/>
          <w:lang w:val="zh-TW" w:eastAsia="zh-TW"/>
        </w:rPr>
      </w:pPr>
    </w:p>
    <w:p w14:paraId="06085194">
      <w:pPr>
        <w:framePr w:wrap="auto" w:vAnchor="margin" w:hAnchor="text" w:yAlign="inline"/>
        <w:ind w:firstLine="640"/>
        <w:jc w:val="left"/>
        <w:rPr>
          <w:rFonts w:ascii="宋体" w:hAnsi="宋体" w:eastAsia="宋体" w:cs="宋体"/>
          <w:b/>
          <w:bCs/>
          <w:color w:val="000000"/>
          <w:kern w:val="0"/>
          <w:sz w:val="32"/>
          <w:szCs w:val="32"/>
          <w:u w:color="000000"/>
        </w:rPr>
      </w:pPr>
      <w:r>
        <w:rPr>
          <w:rFonts w:ascii="宋体" w:hAnsi="宋体" w:eastAsia="宋体" w:cs="宋体"/>
          <w:b/>
          <w:bCs/>
          <w:color w:val="000000"/>
          <w:kern w:val="0"/>
          <w:sz w:val="32"/>
          <w:szCs w:val="32"/>
          <w:u w:color="000000"/>
          <w:rtl w:val="0"/>
          <w:lang w:val="en-US"/>
        </w:rPr>
        <w:t>1</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年部门决算公开表格</w:t>
      </w:r>
    </w:p>
    <w:p w14:paraId="5C19C34F">
      <w:pPr>
        <w:framePr w:wrap="auto" w:vAnchor="margin" w:hAnchor="text" w:yAlign="inline"/>
        <w:ind w:firstLine="640"/>
        <w:jc w:val="left"/>
      </w:pPr>
      <w:r>
        <w:rPr>
          <w:rFonts w:ascii="宋体" w:hAnsi="宋体" w:eastAsia="宋体" w:cs="宋体"/>
          <w:b/>
          <w:bCs/>
          <w:color w:val="000000"/>
          <w:kern w:val="0"/>
          <w:sz w:val="32"/>
          <w:szCs w:val="32"/>
          <w:u w:color="000000"/>
          <w:rtl w:val="0"/>
          <w:lang w:val="en-US"/>
        </w:rPr>
        <w:t>2</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年度部门整体支出绩效评价报告</w:t>
      </w:r>
    </w:p>
    <w:sectPr>
      <w:headerReference r:id="rId5" w:type="default"/>
      <w:footerReference r:id="rId6" w:type="default"/>
      <w:pgSz w:w="11900" w:h="16840"/>
      <w:pgMar w:top="720" w:right="720" w:bottom="720" w:left="72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方正小标宋_GBK">
    <w:altName w:val="Arial Unicode MS"/>
    <w:panose1 w:val="02000000000000000000"/>
    <w:charset w:val="86"/>
    <w:family w:val="roman"/>
    <w:pitch w:val="default"/>
    <w:sig w:usb0="00000000" w:usb1="00000000" w:usb2="00082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9433">
    <w:pPr>
      <w:pStyle w:val="10"/>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A3CB">
    <w:pPr>
      <w:pStyle w:val="10"/>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一、"/>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一、"/>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一、"/>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一、"/>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一、"/>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一、"/>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一、"/>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一、"/>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一、"/>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docVars>
    <w:docVar w:name="commondata" w:val="eyJoZGlkIjoiYjUzMmE1NWMzMDhjNzY2M2ZiYTBkMGEyMDZmZjExMGYifQ=="/>
  </w:docVars>
  <w:rsids>
    <w:rsidRoot w:val="00000000"/>
    <w:rsid w:val="071206ED"/>
    <w:rsid w:val="09E36E2D"/>
    <w:rsid w:val="10F92E7E"/>
    <w:rsid w:val="11D64649"/>
    <w:rsid w:val="1C914686"/>
    <w:rsid w:val="2E8753AB"/>
    <w:rsid w:val="32AB65BD"/>
    <w:rsid w:val="35E34606"/>
    <w:rsid w:val="46413407"/>
    <w:rsid w:val="59A427AB"/>
    <w:rsid w:val="66A332F3"/>
    <w:rsid w:val="6F007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note text"/>
    <w:next w:val="5"/>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5">
    <w:name w:val="Body Text First Indent 2"/>
    <w:next w:val="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character" w:styleId="8">
    <w:name w:val="Hyperlink"/>
    <w:uiPriority w:val="0"/>
    <w:rPr>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11">
    <w:name w:val="Defaul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vertAlign w:val="baseline"/>
      <w:lang w:val="en-US"/>
    </w:rPr>
  </w:style>
  <w:style w:type="paragraph" w:styleId="12">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3">
    <w:name w:val="正文 A"/>
    <w:next w:val="1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4">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8"/>
      <w:szCs w:val="28"/>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17</Pages>
  <Words>6290</Words>
  <Characters>6836</Characters>
  <TotalTime>148</TotalTime>
  <ScaleCrop>false</ScaleCrop>
  <LinksUpToDate>false</LinksUpToDate>
  <CharactersWithSpaces>6868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2024-09-26T22:58:00Z</dcterms:created>
  <dc:creator>Guest</dc:creator>
  <cp:lastModifiedBy>小宝妈咪1426752690</cp:lastModifiedBy>
  <dcterms:modified xsi:type="dcterms:W3CDTF">2025-07-26T14:21:19Z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B0482E8DDF4C40F4A95DCE89404C0444_13</vt:lpwstr>
  </property>
  <property fmtid="{D5CDD505-2E9C-101B-9397-08002B2CF9AE}" pid="4" name="KSOTemplateDocerSaveRecord">
    <vt:lpwstr>eyJoZGlkIjoiMGRlMzE1NmU5NGVjNjg2MzIyYjQyMTM1ZjkxNWYxOTEiLCJ1c2VySWQiOiIzMTU0MTkwOSJ9</vt:lpwstr>
  </property>
</Properties>
</file>