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eastAsia="方正小标宋简体"/>
          <w:bCs/>
          <w:sz w:val="46"/>
          <w:szCs w:val="46"/>
        </w:rPr>
      </w:pPr>
      <w:r>
        <w:rPr>
          <w:rFonts w:hint="eastAsia" w:eastAsia="方正小标宋简体"/>
          <w:bCs/>
          <w:sz w:val="46"/>
          <w:szCs w:val="46"/>
        </w:rPr>
        <w:t>岳阳市云溪区20</w:t>
      </w:r>
      <w:r>
        <w:rPr>
          <w:rFonts w:hint="eastAsia" w:eastAsia="方正小标宋简体"/>
          <w:bCs/>
          <w:sz w:val="46"/>
          <w:szCs w:val="46"/>
          <w:u w:val="single"/>
          <w:lang w:val="en-US" w:eastAsia="zh-CN"/>
        </w:rPr>
        <w:t>22</w:t>
      </w:r>
      <w:bookmarkStart w:id="0" w:name="_GoBack"/>
      <w:bookmarkEnd w:id="0"/>
      <w:r>
        <w:rPr>
          <w:rFonts w:hint="eastAsia" w:eastAsia="方正小标宋简体"/>
          <w:bCs/>
          <w:sz w:val="46"/>
          <w:szCs w:val="46"/>
        </w:rPr>
        <w:t>年度部门整体支出</w:t>
      </w:r>
    </w:p>
    <w:p>
      <w:pPr>
        <w:spacing w:line="800" w:lineRule="exact"/>
        <w:jc w:val="center"/>
        <w:rPr>
          <w:rFonts w:hint="eastAsia" w:eastAsia="方正小标宋简体"/>
          <w:bCs/>
          <w:sz w:val="46"/>
          <w:szCs w:val="46"/>
        </w:rPr>
      </w:pPr>
      <w:r>
        <w:rPr>
          <w:rFonts w:hint="eastAsia" w:eastAsia="方正小标宋简体"/>
          <w:bCs/>
          <w:sz w:val="46"/>
          <w:szCs w:val="46"/>
        </w:rPr>
        <w:t>绩效评价自评报告</w:t>
      </w:r>
    </w:p>
    <w:p>
      <w:pPr>
        <w:rPr>
          <w:rFonts w:hint="eastAsia" w:eastAsia="仿宋_GB2312"/>
          <w:b/>
          <w:sz w:val="32"/>
        </w:rPr>
      </w:pPr>
    </w:p>
    <w:p>
      <w:pPr>
        <w:rPr>
          <w:rFonts w:hint="eastAsia" w:eastAsia="仿宋_GB2312"/>
          <w:b/>
          <w:sz w:val="32"/>
        </w:rPr>
      </w:pPr>
    </w:p>
    <w:p>
      <w:pPr>
        <w:rPr>
          <w:rFonts w:hint="eastAsia" w:eastAsia="仿宋_GB2312"/>
          <w:b/>
          <w:sz w:val="32"/>
        </w:rPr>
      </w:pPr>
    </w:p>
    <w:p>
      <w:pPr>
        <w:spacing w:before="301" w:beforeLines="50" w:line="348" w:lineRule="auto"/>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val="en-US" w:eastAsia="zh-CN"/>
        </w:rPr>
        <w:t>中共岳阳市云溪区委组织部</w:t>
      </w:r>
      <w:r>
        <w:rPr>
          <w:rFonts w:hint="eastAsia" w:eastAsia="仿宋_GB2312"/>
          <w:sz w:val="32"/>
          <w:u w:val="single"/>
        </w:rPr>
        <w:t xml:space="preserve"> </w:t>
      </w:r>
      <w:r>
        <w:rPr>
          <w:rFonts w:hint="eastAsia" w:eastAsia="仿宋_GB2312"/>
          <w:sz w:val="32"/>
          <w:szCs w:val="32"/>
          <w:u w:val="single"/>
        </w:rPr>
        <w:t xml:space="preserve">                           </w:t>
      </w:r>
    </w:p>
    <w:p>
      <w:pPr>
        <w:spacing w:before="301" w:beforeLines="50" w:line="348" w:lineRule="auto"/>
        <w:ind w:firstLine="476" w:firstLineChars="150"/>
        <w:rPr>
          <w:rFonts w:hint="eastAsia"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评价方式：部门（单位）绩效自评</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348" w:lineRule="auto"/>
        <w:jc w:val="center"/>
        <w:rPr>
          <w:rFonts w:hint="eastAsia" w:eastAsia="仿宋_GB2312"/>
          <w:sz w:val="32"/>
        </w:rPr>
      </w:pPr>
      <w:r>
        <w:rPr>
          <w:rFonts w:hint="eastAsia" w:eastAsia="仿宋_GB2312"/>
          <w:sz w:val="32"/>
        </w:rPr>
        <w:t>报告日期：</w:t>
      </w:r>
      <w:r>
        <w:rPr>
          <w:rFonts w:hint="eastAsia" w:eastAsia="仿宋_GB2312"/>
          <w:sz w:val="32"/>
          <w:lang w:val="en-US" w:eastAsia="zh-CN"/>
        </w:rPr>
        <w:t>2023</w:t>
      </w:r>
      <w:r>
        <w:rPr>
          <w:rFonts w:hint="eastAsia" w:eastAsia="仿宋_GB2312"/>
          <w:sz w:val="32"/>
        </w:rPr>
        <w:t>年</w:t>
      </w:r>
      <w:r>
        <w:rPr>
          <w:rFonts w:hint="eastAsia" w:eastAsia="仿宋_GB2312"/>
          <w:sz w:val="32"/>
          <w:lang w:val="en-US" w:eastAsia="zh-CN"/>
        </w:rPr>
        <w:t>7</w:t>
      </w:r>
      <w:r>
        <w:rPr>
          <w:rFonts w:hint="eastAsia" w:eastAsia="仿宋_GB2312"/>
          <w:sz w:val="32"/>
        </w:rPr>
        <w:t xml:space="preserve">月 </w:t>
      </w:r>
      <w:r>
        <w:rPr>
          <w:rFonts w:hint="eastAsia" w:eastAsia="仿宋_GB2312"/>
          <w:sz w:val="32"/>
          <w:lang w:val="en-US" w:eastAsia="zh-CN"/>
        </w:rPr>
        <w:t>10</w:t>
      </w:r>
      <w:r>
        <w:rPr>
          <w:rFonts w:hint="eastAsia" w:eastAsia="仿宋_GB2312"/>
          <w:sz w:val="32"/>
        </w:rPr>
        <w:t>日</w:t>
      </w:r>
    </w:p>
    <w:p>
      <w:pPr>
        <w:autoSpaceDN w:val="0"/>
        <w:jc w:val="center"/>
        <w:textAlignment w:val="center"/>
        <w:rPr>
          <w:rFonts w:hint="eastAsia" w:eastAsia="仿宋_GB2312"/>
          <w:sz w:val="32"/>
          <w:szCs w:val="32"/>
        </w:rPr>
        <w:sectPr>
          <w:footerReference r:id="rId3" w:type="default"/>
          <w:footerReference r:id="rId4" w:type="even"/>
          <w:pgSz w:w="11906" w:h="16838"/>
          <w:pgMar w:top="1588" w:right="1588" w:bottom="1588" w:left="1588" w:header="851" w:footer="992" w:gutter="0"/>
          <w:pgNumType w:start="1"/>
          <w:cols w:space="720" w:num="1"/>
          <w:titlePg/>
          <w:docGrid w:type="linesAndChars" w:linePitch="602" w:charSpace="-782"/>
        </w:sectPr>
      </w:pPr>
      <w:r>
        <w:rPr>
          <w:rFonts w:hint="eastAsia" w:eastAsia="仿宋_GB2312"/>
          <w:sz w:val="32"/>
        </w:rPr>
        <w:t>岳阳市云溪财政</w:t>
      </w:r>
      <w:r>
        <w:rPr>
          <w:rFonts w:hint="eastAsia" w:eastAsia="仿宋_GB2312"/>
          <w:sz w:val="32"/>
          <w:szCs w:val="32"/>
        </w:rPr>
        <w:t>局（制）</w:t>
      </w:r>
    </w:p>
    <w:tbl>
      <w:tblPr>
        <w:tblStyle w:val="4"/>
        <w:tblW w:w="98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93"/>
        <w:gridCol w:w="1441"/>
        <w:gridCol w:w="213"/>
        <w:gridCol w:w="46"/>
        <w:gridCol w:w="1080"/>
        <w:gridCol w:w="210"/>
        <w:gridCol w:w="1145"/>
        <w:gridCol w:w="272"/>
        <w:gridCol w:w="808"/>
        <w:gridCol w:w="1479"/>
        <w:gridCol w:w="226"/>
        <w:gridCol w:w="196"/>
        <w:gridCol w:w="259"/>
        <w:gridCol w:w="1080"/>
        <w:gridCol w:w="265"/>
        <w:gridCol w:w="139"/>
        <w:gridCol w:w="316"/>
        <w:gridCol w:w="290"/>
        <w:gridCol w:w="3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567" w:hRule="atLeast"/>
          <w:jc w:val="center"/>
        </w:trPr>
        <w:tc>
          <w:tcPr>
            <w:tcW w:w="9800" w:type="dxa"/>
            <w:gridSpan w:val="18"/>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567" w:hRule="atLeast"/>
          <w:jc w:val="center"/>
        </w:trPr>
        <w:tc>
          <w:tcPr>
            <w:tcW w:w="1654" w:type="dxa"/>
            <w:gridSpan w:val="2"/>
            <w:vAlign w:val="center"/>
          </w:tcPr>
          <w:p>
            <w:pPr>
              <w:autoSpaceDN w:val="0"/>
              <w:spacing w:line="320" w:lineRule="exact"/>
              <w:jc w:val="center"/>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联系人</w:t>
            </w:r>
          </w:p>
        </w:tc>
        <w:tc>
          <w:tcPr>
            <w:tcW w:w="3561" w:type="dxa"/>
            <w:gridSpan w:val="6"/>
            <w:vAlign w:val="center"/>
          </w:tcPr>
          <w:p>
            <w:pPr>
              <w:autoSpaceDN w:val="0"/>
              <w:spacing w:line="320" w:lineRule="exact"/>
              <w:jc w:val="center"/>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杨柳</w:t>
            </w:r>
          </w:p>
        </w:tc>
        <w:tc>
          <w:tcPr>
            <w:tcW w:w="1479" w:type="dxa"/>
            <w:vAlign w:val="center"/>
          </w:tcPr>
          <w:p>
            <w:pPr>
              <w:autoSpaceDN w:val="0"/>
              <w:spacing w:line="320" w:lineRule="exact"/>
              <w:jc w:val="center"/>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联络电话</w:t>
            </w:r>
          </w:p>
        </w:tc>
        <w:tc>
          <w:tcPr>
            <w:tcW w:w="3106" w:type="dxa"/>
            <w:gridSpan w:val="9"/>
            <w:vAlign w:val="center"/>
          </w:tcPr>
          <w:p>
            <w:pPr>
              <w:autoSpaceDN w:val="0"/>
              <w:spacing w:line="320" w:lineRule="exact"/>
              <w:jc w:val="center"/>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15675038955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567" w:hRule="atLeast"/>
          <w:jc w:val="center"/>
        </w:trPr>
        <w:tc>
          <w:tcPr>
            <w:tcW w:w="1654" w:type="dxa"/>
            <w:gridSpan w:val="2"/>
            <w:vAlign w:val="center"/>
          </w:tcPr>
          <w:p>
            <w:pPr>
              <w:autoSpaceDN w:val="0"/>
              <w:spacing w:line="320" w:lineRule="exact"/>
              <w:jc w:val="center"/>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人员编制</w:t>
            </w:r>
          </w:p>
        </w:tc>
        <w:tc>
          <w:tcPr>
            <w:tcW w:w="3561" w:type="dxa"/>
            <w:gridSpan w:val="6"/>
            <w:vAlign w:val="center"/>
          </w:tcPr>
          <w:p>
            <w:pPr>
              <w:autoSpaceDN w:val="0"/>
              <w:spacing w:line="320" w:lineRule="exact"/>
              <w:jc w:val="center"/>
              <w:textAlignment w:val="center"/>
              <w:rPr>
                <w:rFonts w:hint="default" w:ascii="华文仿宋" w:hAnsi="华文仿宋" w:eastAsia="华文仿宋" w:cs="华文仿宋"/>
                <w:color w:val="000000"/>
                <w:sz w:val="24"/>
                <w:lang w:val="en-US" w:eastAsia="zh-CN"/>
              </w:rPr>
            </w:pPr>
            <w:r>
              <w:rPr>
                <w:rFonts w:hint="eastAsia" w:ascii="华文仿宋" w:hAnsi="华文仿宋" w:eastAsia="华文仿宋" w:cs="华文仿宋"/>
                <w:color w:val="000000"/>
                <w:sz w:val="24"/>
                <w:lang w:val="en-US" w:eastAsia="zh-CN"/>
              </w:rPr>
              <w:t>31</w:t>
            </w:r>
          </w:p>
        </w:tc>
        <w:tc>
          <w:tcPr>
            <w:tcW w:w="1479" w:type="dxa"/>
            <w:vAlign w:val="center"/>
          </w:tcPr>
          <w:p>
            <w:pPr>
              <w:autoSpaceDN w:val="0"/>
              <w:spacing w:line="320" w:lineRule="exact"/>
              <w:jc w:val="center"/>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实有人数</w:t>
            </w:r>
          </w:p>
        </w:tc>
        <w:tc>
          <w:tcPr>
            <w:tcW w:w="3106" w:type="dxa"/>
            <w:gridSpan w:val="9"/>
            <w:vAlign w:val="center"/>
          </w:tcPr>
          <w:p>
            <w:pPr>
              <w:autoSpaceDN w:val="0"/>
              <w:spacing w:line="320" w:lineRule="exact"/>
              <w:jc w:val="center"/>
              <w:textAlignment w:val="center"/>
              <w:rPr>
                <w:rFonts w:hint="default" w:ascii="华文仿宋" w:hAnsi="华文仿宋" w:eastAsia="华文仿宋" w:cs="华文仿宋"/>
                <w:color w:val="000000"/>
                <w:sz w:val="24"/>
                <w:lang w:val="en-US" w:eastAsia="zh-CN"/>
              </w:rPr>
            </w:pPr>
            <w:r>
              <w:rPr>
                <w:rFonts w:hint="eastAsia" w:ascii="华文仿宋" w:hAnsi="华文仿宋" w:eastAsia="华文仿宋" w:cs="华文仿宋"/>
                <w:color w:val="000000"/>
                <w:sz w:val="24"/>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1500" w:hRule="atLeast"/>
          <w:jc w:val="center"/>
        </w:trPr>
        <w:tc>
          <w:tcPr>
            <w:tcW w:w="1654" w:type="dxa"/>
            <w:gridSpan w:val="2"/>
            <w:vAlign w:val="center"/>
          </w:tcPr>
          <w:p>
            <w:pPr>
              <w:autoSpaceDN w:val="0"/>
              <w:spacing w:line="320" w:lineRule="exact"/>
              <w:jc w:val="center"/>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职能职责概述</w:t>
            </w:r>
          </w:p>
        </w:tc>
        <w:tc>
          <w:tcPr>
            <w:tcW w:w="8146" w:type="dxa"/>
            <w:gridSpan w:val="16"/>
            <w:vAlign w:val="center"/>
          </w:tcPr>
          <w:p>
            <w:pPr>
              <w:autoSpaceDN w:val="0"/>
              <w:spacing w:line="320" w:lineRule="exact"/>
              <w:jc w:val="left"/>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在新一届区委的坚强领导和市委组织部的正确指导下，全区组织工作紧扣四个“大格局”，通过选好干部、配强班子、建强组织、盘活人才，不断优化组织资源配置，为全力打造中部地区最大石化产业基地提供了坚强的组织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2464" w:hRule="atLeast"/>
          <w:jc w:val="center"/>
        </w:trPr>
        <w:tc>
          <w:tcPr>
            <w:tcW w:w="1654" w:type="dxa"/>
            <w:gridSpan w:val="2"/>
            <w:vAlign w:val="center"/>
          </w:tcPr>
          <w:p>
            <w:pPr>
              <w:autoSpaceDN w:val="0"/>
              <w:spacing w:line="320" w:lineRule="exact"/>
              <w:jc w:val="center"/>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年度主要</w:t>
            </w:r>
          </w:p>
          <w:p>
            <w:pPr>
              <w:autoSpaceDN w:val="0"/>
              <w:spacing w:line="320" w:lineRule="exact"/>
              <w:jc w:val="center"/>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工作内容</w:t>
            </w:r>
          </w:p>
        </w:tc>
        <w:tc>
          <w:tcPr>
            <w:tcW w:w="8146" w:type="dxa"/>
            <w:gridSpan w:val="16"/>
            <w:vAlign w:val="center"/>
          </w:tcPr>
          <w:p>
            <w:pPr>
              <w:autoSpaceDN w:val="0"/>
              <w:spacing w:line="400" w:lineRule="exact"/>
              <w:jc w:val="left"/>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任务1：选贤任能，锻造高素质干部队伍。</w:t>
            </w:r>
          </w:p>
          <w:p>
            <w:pPr>
              <w:autoSpaceDN w:val="0"/>
              <w:spacing w:line="400" w:lineRule="exact"/>
              <w:jc w:val="left"/>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任务2：考准考实，树立高标准政绩观念。</w:t>
            </w:r>
          </w:p>
          <w:p>
            <w:pPr>
              <w:autoSpaceDN w:val="0"/>
              <w:spacing w:line="400" w:lineRule="exact"/>
              <w:jc w:val="left"/>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任务3：筑巢聚才，建设高水平人才高地。</w:t>
            </w:r>
          </w:p>
          <w:p>
            <w:pPr>
              <w:autoSpaceDN w:val="0"/>
              <w:spacing w:line="400" w:lineRule="exact"/>
              <w:jc w:val="left"/>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 xml:space="preserve">任务4: </w:t>
            </w:r>
            <w:r>
              <w:rPr>
                <w:rFonts w:hint="eastAsia" w:ascii="华文仿宋" w:hAnsi="华文仿宋" w:eastAsia="华文仿宋" w:cs="华文仿宋"/>
                <w:color w:val="000000"/>
                <w:sz w:val="24"/>
                <w:lang w:val="en-US" w:eastAsia="zh-CN"/>
              </w:rPr>
              <w:t>扎实推进专项行动，全力做好</w:t>
            </w:r>
            <w:r>
              <w:rPr>
                <w:rFonts w:hint="default" w:ascii="华文仿宋" w:hAnsi="华文仿宋" w:eastAsia="华文仿宋" w:cs="华文仿宋"/>
                <w:color w:val="000000"/>
                <w:sz w:val="24"/>
                <w:lang w:val="en-US" w:eastAsia="zh-CN"/>
              </w:rPr>
              <w:t>两新党建。</w:t>
            </w:r>
          </w:p>
          <w:p>
            <w:pPr>
              <w:autoSpaceDN w:val="0"/>
              <w:spacing w:line="320" w:lineRule="exact"/>
              <w:jc w:val="left"/>
              <w:textAlignment w:val="center"/>
              <w:rPr>
                <w:rFonts w:hint="eastAsia" w:ascii="华文仿宋" w:hAnsi="华文仿宋" w:eastAsia="华文仿宋" w:cs="华文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2260" w:hRule="atLeast"/>
          <w:jc w:val="center"/>
        </w:trPr>
        <w:tc>
          <w:tcPr>
            <w:tcW w:w="1654" w:type="dxa"/>
            <w:gridSpan w:val="2"/>
            <w:vAlign w:val="center"/>
          </w:tcPr>
          <w:p>
            <w:pPr>
              <w:autoSpaceDN w:val="0"/>
              <w:spacing w:line="320" w:lineRule="exact"/>
              <w:jc w:val="center"/>
              <w:textAlignment w:val="center"/>
              <w:rPr>
                <w:rFonts w:hint="eastAsia" w:ascii="华文仿宋" w:hAnsi="华文仿宋" w:eastAsia="华文仿宋" w:cs="华文仿宋"/>
                <w:color w:val="000000"/>
                <w:spacing w:val="-6"/>
                <w:sz w:val="24"/>
              </w:rPr>
            </w:pPr>
            <w:r>
              <w:rPr>
                <w:rFonts w:hint="eastAsia" w:ascii="华文仿宋" w:hAnsi="华文仿宋" w:eastAsia="华文仿宋" w:cs="华文仿宋"/>
                <w:color w:val="000000"/>
                <w:spacing w:val="-6"/>
                <w:sz w:val="24"/>
              </w:rPr>
              <w:t>年度部门（单位）总体运行情况及取得的成绩</w:t>
            </w:r>
          </w:p>
        </w:tc>
        <w:tc>
          <w:tcPr>
            <w:tcW w:w="8146" w:type="dxa"/>
            <w:gridSpan w:val="16"/>
            <w:vAlign w:val="center"/>
          </w:tcPr>
          <w:p>
            <w:pPr>
              <w:autoSpaceDN w:val="0"/>
              <w:spacing w:line="400" w:lineRule="exact"/>
              <w:jc w:val="left"/>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lang w:val="en-US" w:eastAsia="zh-CN"/>
              </w:rPr>
              <w:t>1.不断加强党的理论武装。围绕党建引领基层治理、乡村振兴等主题，举办各类培训班55期，党政领导授课36人次，集中轮训党员干部数8015人次。精心策划举办“学习贯彻党的十九届六中全会精神”专题培训班、“喜迎二十大”音乐党课活动，受到各界好评。</w:t>
            </w:r>
          </w:p>
          <w:p>
            <w:pPr>
              <w:autoSpaceDN w:val="0"/>
              <w:spacing w:line="400" w:lineRule="exact"/>
              <w:jc w:val="left"/>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lang w:val="en-US" w:eastAsia="zh-CN"/>
              </w:rPr>
              <w:t>2.注重在急难险重中摔打磨砺年轻干部，先后组织150余名科级干部到疫情防控、自建房排查、重点工程征拆等中心工作，选派26名同志到省市区直部门和镇街（交叉）挂职锻炼。换届后共调整干部490人次，其中提拔重用干部144名，交流干部179名，晋升职级132名；提拔重用年轻干部32名。</w:t>
            </w:r>
          </w:p>
          <w:p>
            <w:pPr>
              <w:autoSpaceDN w:val="0"/>
              <w:spacing w:line="400" w:lineRule="exact"/>
              <w:jc w:val="left"/>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3.成立区委考核工作领导小组，顺利承接绩效考核工作职能。全力推进省、市绩效指标任务，召开迎省、市绩效考核工作调度会，压紧压实责任。1-3季度通报高质量发展20项指标，云溪区得分29.94，排名七区第二；通报重点任务三级指标40项，排名前三的19项。</w:t>
            </w:r>
          </w:p>
          <w:p>
            <w:pPr>
              <w:autoSpaceDN w:val="0"/>
              <w:spacing w:line="400" w:lineRule="exact"/>
              <w:jc w:val="left"/>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4.全力做好两新党建。选派130名党建指导员和50名青年党员干部联系两新组织，“一企一策”研判组建形式，非公企业、社会组织党组织覆盖率分别达88.74%、91.3%。</w:t>
            </w:r>
          </w:p>
          <w:p>
            <w:pPr>
              <w:autoSpaceDN w:val="0"/>
              <w:spacing w:line="400" w:lineRule="exact"/>
              <w:jc w:val="left"/>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5.出台加强基层组织建设的规范性文件，畅通村干部晋升渠道，提高村干部待遇，加大运转经费保障。持续规范党员志愿服务体系，组建党员志愿服务队263支，注册党员志愿者7173人，注册率达93%；建立党员志愿服务区、镇级示范基地56个，派驻党员志愿服务队168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567" w:hRule="atLeast"/>
          <w:jc w:val="center"/>
        </w:trPr>
        <w:tc>
          <w:tcPr>
            <w:tcW w:w="9800" w:type="dxa"/>
            <w:gridSpan w:val="18"/>
            <w:vAlign w:val="center"/>
          </w:tcPr>
          <w:p>
            <w:pPr>
              <w:autoSpaceDN w:val="0"/>
              <w:spacing w:line="320" w:lineRule="exact"/>
              <w:jc w:val="center"/>
              <w:textAlignment w:val="center"/>
              <w:rPr>
                <w:rFonts w:hint="eastAsia" w:ascii="黑体" w:hAnsi="黑体" w:eastAsia="黑体" w:cs="黑体"/>
                <w:color w:val="000000"/>
                <w:sz w:val="28"/>
                <w:szCs w:val="28"/>
              </w:rPr>
            </w:pP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567" w:hRule="atLeast"/>
          <w:jc w:val="center"/>
        </w:trPr>
        <w:tc>
          <w:tcPr>
            <w:tcW w:w="9800" w:type="dxa"/>
            <w:gridSpan w:val="18"/>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567" w:hRule="atLeast"/>
          <w:jc w:val="center"/>
        </w:trPr>
        <w:tc>
          <w:tcPr>
            <w:tcW w:w="1700" w:type="dxa"/>
            <w:gridSpan w:val="3"/>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1014" w:hRule="atLeast"/>
          <w:jc w:val="center"/>
        </w:trPr>
        <w:tc>
          <w:tcPr>
            <w:tcW w:w="1700" w:type="dxa"/>
            <w:gridSpan w:val="3"/>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772" w:hRule="atLeast"/>
          <w:jc w:val="center"/>
        </w:trPr>
        <w:tc>
          <w:tcPr>
            <w:tcW w:w="170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654.74</w:t>
            </w:r>
          </w:p>
        </w:tc>
        <w:tc>
          <w:tcPr>
            <w:tcW w:w="1355"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p>
        </w:tc>
        <w:tc>
          <w:tcPr>
            <w:tcW w:w="1080"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654.74</w:t>
            </w:r>
          </w:p>
        </w:tc>
        <w:tc>
          <w:tcPr>
            <w:tcW w:w="170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567" w:hRule="atLeast"/>
          <w:jc w:val="center"/>
        </w:trPr>
        <w:tc>
          <w:tcPr>
            <w:tcW w:w="1700" w:type="dxa"/>
            <w:gridSpan w:val="3"/>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654.74</w:t>
            </w:r>
          </w:p>
        </w:tc>
        <w:tc>
          <w:tcPr>
            <w:tcW w:w="1355"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654.74</w:t>
            </w:r>
          </w:p>
        </w:tc>
        <w:tc>
          <w:tcPr>
            <w:tcW w:w="170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547" w:hRule="atLeast"/>
          <w:jc w:val="center"/>
        </w:trPr>
        <w:tc>
          <w:tcPr>
            <w:tcW w:w="1700" w:type="dxa"/>
            <w:gridSpan w:val="3"/>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567" w:hRule="atLeast"/>
          <w:jc w:val="center"/>
        </w:trPr>
        <w:tc>
          <w:tcPr>
            <w:tcW w:w="1700" w:type="dxa"/>
            <w:gridSpan w:val="3"/>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624" w:hRule="atLeast"/>
          <w:jc w:val="center"/>
        </w:trPr>
        <w:tc>
          <w:tcPr>
            <w:tcW w:w="9800" w:type="dxa"/>
            <w:gridSpan w:val="18"/>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624" w:hRule="atLeast"/>
          <w:jc w:val="center"/>
        </w:trPr>
        <w:tc>
          <w:tcPr>
            <w:tcW w:w="1700" w:type="dxa"/>
            <w:gridSpan w:val="3"/>
            <w:vMerge w:val="restart"/>
            <w:vAlign w:val="center"/>
          </w:tcPr>
          <w:p>
            <w:pPr>
              <w:snapToGrid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5"/>
            <w:tcBorders>
              <w:left w:val="single" w:color="auto" w:sz="4" w:space="0"/>
              <w:bottom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gridSpan w:val="2"/>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877"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654.74</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654.74</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334.41</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320.33</w:t>
            </w:r>
          </w:p>
        </w:tc>
        <w:tc>
          <w:tcPr>
            <w:tcW w:w="1080"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654.74</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654.74</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334.41</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320.33</w:t>
            </w:r>
          </w:p>
        </w:tc>
        <w:tc>
          <w:tcPr>
            <w:tcW w:w="1080"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624" w:hRule="atLeast"/>
          <w:jc w:val="center"/>
        </w:trPr>
        <w:tc>
          <w:tcPr>
            <w:tcW w:w="1700" w:type="dxa"/>
            <w:gridSpan w:val="3"/>
            <w:vMerge w:val="restart"/>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858"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25"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1.3</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1.3</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2425"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624" w:hRule="atLeast"/>
          <w:jc w:val="center"/>
        </w:trPr>
        <w:tc>
          <w:tcPr>
            <w:tcW w:w="1700" w:type="dxa"/>
            <w:gridSpan w:val="3"/>
            <w:vMerge w:val="restart"/>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3"/>
            <w:vMerge w:val="restart"/>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3"/>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855"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35.94万元</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35.94万元</w:t>
            </w: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35.94万元</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35.94万元</w:t>
            </w: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567" w:hRule="atLeast"/>
          <w:jc w:val="center"/>
        </w:trPr>
        <w:tc>
          <w:tcPr>
            <w:tcW w:w="9800" w:type="dxa"/>
            <w:gridSpan w:val="18"/>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567" w:hRule="atLeast"/>
          <w:jc w:val="center"/>
        </w:trPr>
        <w:tc>
          <w:tcPr>
            <w:tcW w:w="1441" w:type="dxa"/>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1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1172"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3774" w:type="dxa"/>
            <w:gridSpan w:val="7"/>
            <w:vAlign w:val="center"/>
          </w:tcPr>
          <w:p>
            <w:pPr>
              <w:autoSpaceDN w:val="0"/>
              <w:spacing w:line="400" w:lineRule="exact"/>
              <w:jc w:val="left"/>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lang w:val="en-US" w:eastAsia="zh-CN"/>
              </w:rPr>
              <w:t>1.不断加强党的理论武装。围绕党建引领基层治理、乡村振兴等主题，举办各类培训班55期，党政领导授课36人次，集中轮训党员干部数8015人次。精心策划举办“学习贯彻党的十九届六中全会精神”专题培训班、“喜迎二十大”音乐党课活动，受到各界好评。</w:t>
            </w:r>
          </w:p>
          <w:p>
            <w:pPr>
              <w:autoSpaceDN w:val="0"/>
              <w:spacing w:line="400" w:lineRule="exact"/>
              <w:jc w:val="left"/>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lang w:val="en-US" w:eastAsia="zh-CN"/>
              </w:rPr>
              <w:t>2.注重在急难险重中摔打磨砺年轻干部，先后组织150余名科级干部到疫情防控、自建房排查、重点工程征拆等中心工作，选派26名同志到省市区直部门和镇街（交叉）挂职锻炼。换届后共调整干部490人次，其中提拔重用干部144名，交流干部179名，晋升职级132名；提拔重用年轻干部32名。</w:t>
            </w:r>
          </w:p>
          <w:p>
            <w:pPr>
              <w:autoSpaceDN w:val="0"/>
              <w:spacing w:line="400" w:lineRule="exact"/>
              <w:jc w:val="left"/>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3.成立区委考核工作领导小组，顺利承接绩效考核工作职能。全力推进省、市绩效指标任务，召开迎省、市绩效考核工作调度会，压紧压实责任。</w:t>
            </w:r>
          </w:p>
          <w:p>
            <w:pPr>
              <w:autoSpaceDN w:val="0"/>
              <w:spacing w:line="400" w:lineRule="exact"/>
              <w:jc w:val="left"/>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4.全力做好两新党建。选派130名党建指导员和50名青年党员干部联系两新组织，“一企一策”研判组建形式，非公企业、社会组织党组织覆盖率分别达88.74%、91.3%。</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华文仿宋" w:hAnsi="华文仿宋" w:eastAsia="华文仿宋" w:cs="华文仿宋"/>
                <w:color w:val="000000"/>
                <w:sz w:val="24"/>
              </w:rPr>
              <w:t>5.出台加强基层组织建设的规范性文件，畅通村干部晋升渠道，提高村干部待遇，加大运转经费保障。</w:t>
            </w:r>
          </w:p>
        </w:tc>
        <w:tc>
          <w:tcPr>
            <w:tcW w:w="4585" w:type="dxa"/>
            <w:gridSpan w:val="1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567" w:hRule="atLeast"/>
          <w:jc w:val="center"/>
        </w:trPr>
        <w:tc>
          <w:tcPr>
            <w:tcW w:w="1441" w:type="dxa"/>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1332"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p>
            <w:pPr>
              <w:autoSpaceDN w:val="0"/>
              <w:spacing w:line="400" w:lineRule="exact"/>
              <w:jc w:val="center"/>
              <w:textAlignment w:val="center"/>
              <w:rPr>
                <w:rFonts w:hint="eastAsia" w:ascii="仿宋_GB2312" w:hAnsi="仿宋_GB2312" w:eastAsia="仿宋_GB2312" w:cs="仿宋_GB2312"/>
                <w:sz w:val="24"/>
              </w:rPr>
            </w:pPr>
          </w:p>
        </w:tc>
        <w:tc>
          <w:tcPr>
            <w:tcW w:w="2709" w:type="dxa"/>
            <w:gridSpan w:val="4"/>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华文仿宋" w:hAnsi="华文仿宋" w:eastAsia="华文仿宋" w:cs="华文仿宋"/>
                <w:color w:val="000000"/>
                <w:sz w:val="24"/>
                <w:lang w:val="en-US" w:eastAsia="zh-CN"/>
              </w:rPr>
              <w:t>不断加强党的理论武装。</w:t>
            </w:r>
          </w:p>
        </w:tc>
        <w:tc>
          <w:tcPr>
            <w:tcW w:w="2684" w:type="dxa"/>
            <w:gridSpan w:val="7"/>
            <w:vMerge w:val="restart"/>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华文仿宋" w:hAnsi="华文仿宋" w:eastAsia="华文仿宋" w:cs="华文仿宋"/>
                <w:color w:val="000000"/>
                <w:sz w:val="24"/>
                <w:lang w:val="en-US" w:eastAsia="zh-CN"/>
              </w:rPr>
              <w:t>举办各类培训班55期</w:t>
            </w:r>
          </w:p>
        </w:tc>
        <w:tc>
          <w:tcPr>
            <w:tcW w:w="2684" w:type="dxa"/>
            <w:gridSpan w:val="7"/>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461"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华文仿宋" w:hAnsi="华文仿宋" w:eastAsia="华文仿宋" w:cs="华文仿宋"/>
                <w:color w:val="000000"/>
                <w:sz w:val="24"/>
                <w:lang w:val="en-US" w:eastAsia="zh-CN"/>
              </w:rPr>
              <w:t>组织150余名科级干部到疫情防控、自建房排查、重点工程征拆等中心工作</w:t>
            </w:r>
          </w:p>
        </w:tc>
        <w:tc>
          <w:tcPr>
            <w:tcW w:w="2684" w:type="dxa"/>
            <w:gridSpan w:val="7"/>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461"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 w:eastAsia="仿宋_GB2312" w:cs="仿宋_GB2312"/>
                <w:color w:val="000000"/>
                <w:sz w:val="24"/>
              </w:rPr>
              <w:t>指标3：</w:t>
            </w:r>
            <w:r>
              <w:rPr>
                <w:rFonts w:hint="eastAsia" w:ascii="华文仿宋" w:hAnsi="华文仿宋" w:eastAsia="华文仿宋" w:cs="华文仿宋"/>
                <w:color w:val="000000"/>
                <w:sz w:val="24"/>
              </w:rPr>
              <w:t>“一企一策”研判组建形式，非公企业、社会组织党组织覆盖率</w:t>
            </w:r>
            <w:r>
              <w:rPr>
                <w:rFonts w:hint="eastAsia" w:ascii="华文仿宋" w:hAnsi="华文仿宋" w:eastAsia="华文仿宋" w:cs="华文仿宋"/>
                <w:color w:val="000000"/>
                <w:sz w:val="24"/>
                <w:lang w:val="en-US" w:eastAsia="zh-CN"/>
              </w:rPr>
              <w:t>80%以上</w:t>
            </w:r>
            <w:r>
              <w:rPr>
                <w:rFonts w:hint="eastAsia" w:ascii="华文仿宋" w:hAnsi="华文仿宋" w:eastAsia="华文仿宋" w:cs="华文仿宋"/>
                <w:color w:val="000000"/>
                <w:sz w:val="24"/>
              </w:rPr>
              <w:t>。</w:t>
            </w:r>
          </w:p>
        </w:tc>
        <w:tc>
          <w:tcPr>
            <w:tcW w:w="2684" w:type="dxa"/>
            <w:gridSpan w:val="7"/>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1112"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指标1：全区组织工作紧扣四个“大格局”，通过选好干部、配强班子、建强组织、盘活人才，不断优化组织资源配置</w:t>
            </w:r>
            <w:r>
              <w:rPr>
                <w:rFonts w:hint="eastAsia" w:ascii="仿宋_GB2312" w:hAnsi="仿宋_GB2312" w:eastAsia="仿宋_GB2312" w:cs="仿宋_GB2312"/>
                <w:color w:val="000000"/>
                <w:sz w:val="24"/>
                <w:lang w:eastAsia="zh-CN"/>
              </w:rPr>
              <w:t>。</w:t>
            </w:r>
          </w:p>
        </w:tc>
        <w:tc>
          <w:tcPr>
            <w:tcW w:w="2684" w:type="dxa"/>
            <w:gridSpan w:val="7"/>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val="en-US" w:eastAsia="zh-CN"/>
              </w:rPr>
              <w:t>为全力打造中部地区最大石化产业基地提供了坚强的组织保障。</w:t>
            </w:r>
          </w:p>
        </w:tc>
        <w:tc>
          <w:tcPr>
            <w:tcW w:w="2684" w:type="dxa"/>
            <w:gridSpan w:val="7"/>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指标1：筑巢聚才，建设高水平人才高地。</w:t>
            </w:r>
          </w:p>
        </w:tc>
        <w:tc>
          <w:tcPr>
            <w:tcW w:w="2684" w:type="dxa"/>
            <w:gridSpan w:val="7"/>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指标1：创造良好的社会发展环境，促进经济发展</w:t>
            </w:r>
          </w:p>
        </w:tc>
        <w:tc>
          <w:tcPr>
            <w:tcW w:w="2684" w:type="dxa"/>
            <w:gridSpan w:val="7"/>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指标1：社会公众比较满意</w:t>
            </w:r>
          </w:p>
        </w:tc>
        <w:tc>
          <w:tcPr>
            <w:tcW w:w="2684" w:type="dxa"/>
            <w:gridSpan w:val="7"/>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567" w:hRule="atLeast"/>
          <w:jc w:val="center"/>
        </w:trPr>
        <w:tc>
          <w:tcPr>
            <w:tcW w:w="299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3"/>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567" w:hRule="atLeast"/>
          <w:jc w:val="center"/>
        </w:trPr>
        <w:tc>
          <w:tcPr>
            <w:tcW w:w="299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3"/>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680" w:hRule="atLeast"/>
          <w:jc w:val="center"/>
        </w:trPr>
        <w:tc>
          <w:tcPr>
            <w:tcW w:w="9800" w:type="dxa"/>
            <w:gridSpan w:val="18"/>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567"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9"/>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680" w:hRule="atLeast"/>
          <w:jc w:val="center"/>
        </w:trPr>
        <w:tc>
          <w:tcPr>
            <w:tcW w:w="1654" w:type="dxa"/>
            <w:gridSpan w:val="2"/>
            <w:vAlign w:val="center"/>
          </w:tcPr>
          <w:p>
            <w:pPr>
              <w:autoSpaceDN w:val="0"/>
              <w:spacing w:line="400" w:lineRule="exact"/>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吴学文</w:t>
            </w:r>
          </w:p>
        </w:tc>
        <w:tc>
          <w:tcPr>
            <w:tcW w:w="3561" w:type="dxa"/>
            <w:gridSpan w:val="6"/>
            <w:vAlign w:val="center"/>
          </w:tcPr>
          <w:p>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副部长</w:t>
            </w:r>
          </w:p>
        </w:tc>
        <w:tc>
          <w:tcPr>
            <w:tcW w:w="1479" w:type="dxa"/>
            <w:vAlign w:val="center"/>
          </w:tcPr>
          <w:p>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中共岳阳市云溪区委组织部</w:t>
            </w:r>
          </w:p>
        </w:tc>
        <w:tc>
          <w:tcPr>
            <w:tcW w:w="3106" w:type="dxa"/>
            <w:gridSpan w:val="9"/>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680" w:hRule="atLeast"/>
          <w:jc w:val="center"/>
        </w:trPr>
        <w:tc>
          <w:tcPr>
            <w:tcW w:w="1654" w:type="dxa"/>
            <w:gridSpan w:val="2"/>
            <w:vAlign w:val="center"/>
          </w:tcPr>
          <w:p>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于红星</w:t>
            </w:r>
          </w:p>
        </w:tc>
        <w:tc>
          <w:tcPr>
            <w:tcW w:w="3561" w:type="dxa"/>
            <w:gridSpan w:val="6"/>
            <w:vAlign w:val="center"/>
          </w:tcPr>
          <w:p>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办公室主任</w:t>
            </w:r>
          </w:p>
        </w:tc>
        <w:tc>
          <w:tcPr>
            <w:tcW w:w="1479" w:type="dxa"/>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中共岳阳市云溪区委组织部</w:t>
            </w:r>
          </w:p>
        </w:tc>
        <w:tc>
          <w:tcPr>
            <w:tcW w:w="3106" w:type="dxa"/>
            <w:gridSpan w:val="9"/>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680" w:hRule="atLeast"/>
          <w:jc w:val="center"/>
        </w:trPr>
        <w:tc>
          <w:tcPr>
            <w:tcW w:w="1654" w:type="dxa"/>
            <w:gridSpan w:val="2"/>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杨柳</w:t>
            </w:r>
          </w:p>
        </w:tc>
        <w:tc>
          <w:tcPr>
            <w:tcW w:w="3561" w:type="dxa"/>
            <w:gridSpan w:val="6"/>
            <w:vAlign w:val="center"/>
          </w:tcPr>
          <w:p>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出纳</w:t>
            </w:r>
          </w:p>
        </w:tc>
        <w:tc>
          <w:tcPr>
            <w:tcW w:w="1479" w:type="dxa"/>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中共岳阳市云溪区委组织部</w:t>
            </w:r>
          </w:p>
        </w:tc>
        <w:tc>
          <w:tcPr>
            <w:tcW w:w="3106" w:type="dxa"/>
            <w:gridSpan w:val="9"/>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2052" w:hRule="atLeast"/>
          <w:jc w:val="center"/>
        </w:trPr>
        <w:tc>
          <w:tcPr>
            <w:tcW w:w="9800" w:type="dxa"/>
            <w:gridSpan w:val="18"/>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2172" w:hRule="atLeast"/>
          <w:jc w:val="center"/>
        </w:trPr>
        <w:tc>
          <w:tcPr>
            <w:tcW w:w="9800" w:type="dxa"/>
            <w:gridSpan w:val="18"/>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93" w:type="dxa"/>
          <w:trHeight w:val="2794" w:hRule="atLeast"/>
          <w:jc w:val="center"/>
        </w:trPr>
        <w:tc>
          <w:tcPr>
            <w:tcW w:w="9800" w:type="dxa"/>
            <w:gridSpan w:val="18"/>
            <w:vAlign w:val="center"/>
          </w:tcPr>
          <w:p>
            <w:pPr>
              <w:spacing w:line="320" w:lineRule="exact"/>
              <w:rPr>
                <w:rFonts w:hint="eastAsia" w:eastAsia="仿宋_GB2312"/>
                <w:sz w:val="24"/>
              </w:rPr>
            </w:pPr>
            <w:r>
              <w:rPr>
                <w:rFonts w:hint="eastAsia" w:eastAsia="仿宋_GB2312"/>
                <w:sz w:val="24"/>
              </w:rPr>
              <w:t>财政部门归口业务股室意见：</w:t>
            </w: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r>
              <w:rPr>
                <w:rFonts w:hint="eastAsia" w:eastAsia="仿宋_GB2312"/>
                <w:sz w:val="24"/>
              </w:rPr>
              <w:t xml:space="preserve">                                  财政部门归口业务股室负责人（签章）：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5" w:type="dxa"/>
          <w:trHeight w:val="12998" w:hRule="atLeast"/>
          <w:jc w:val="center"/>
        </w:trPr>
        <w:tc>
          <w:tcPr>
            <w:tcW w:w="9558" w:type="dxa"/>
            <w:gridSpan w:val="18"/>
            <w:vAlign w:val="top"/>
          </w:tcPr>
          <w:p>
            <w:pPr>
              <w:jc w:val="center"/>
              <w:rPr>
                <w:rFonts w:hint="eastAsia"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hint="eastAsia" w:eastAsia="仿宋_GB2312"/>
                <w:sz w:val="32"/>
                <w:szCs w:val="32"/>
              </w:rPr>
            </w:pPr>
          </w:p>
          <w:p>
            <w:pPr>
              <w:rPr>
                <w:rFonts w:hint="eastAsia" w:ascii="黑体" w:hAnsi="黑体" w:eastAsia="黑体" w:cs="黑体"/>
                <w:sz w:val="30"/>
                <w:szCs w:val="30"/>
              </w:rPr>
            </w:pPr>
            <w:r>
              <w:rPr>
                <w:rFonts w:hint="eastAsia" w:ascii="黑体" w:hAnsi="黑体" w:eastAsia="黑体" w:cs="黑体"/>
                <w:sz w:val="30"/>
                <w:szCs w:val="30"/>
              </w:rPr>
              <w:t>一、整体支出概况</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lang w:val="en-US" w:eastAsia="zh-CN"/>
              </w:rPr>
              <w:t>2022</w:t>
            </w:r>
            <w:r>
              <w:rPr>
                <w:rFonts w:hint="eastAsia" w:ascii="仿宋_GB2312" w:hAnsi="仿宋" w:eastAsia="仿宋_GB2312"/>
                <w:sz w:val="30"/>
                <w:szCs w:val="30"/>
              </w:rPr>
              <w:t>年，总收入654.74万元，其中财政拨款654.74万元。总支出654.74万元，基本支出654.74万元，其中人员支出334.41万，公用支出334.41万元。</w:t>
            </w:r>
          </w:p>
          <w:p>
            <w:pPr>
              <w:rPr>
                <w:rFonts w:hint="eastAsia" w:ascii="黑体" w:hAnsi="黑体" w:eastAsia="黑体" w:cs="黑体"/>
                <w:bCs/>
                <w:sz w:val="30"/>
                <w:szCs w:val="30"/>
              </w:rPr>
            </w:pPr>
            <w:r>
              <w:rPr>
                <w:rFonts w:hint="eastAsia" w:ascii="黑体" w:hAnsi="黑体" w:eastAsia="黑体" w:cs="黑体"/>
                <w:bCs/>
                <w:sz w:val="30"/>
                <w:szCs w:val="30"/>
              </w:rPr>
              <w:t>二、资金使用及管理情况</w:t>
            </w:r>
          </w:p>
          <w:p>
            <w:pPr>
              <w:ind w:firstLine="600" w:firstLineChars="200"/>
              <w:rPr>
                <w:rFonts w:hint="eastAsia" w:ascii="仿宋_GB2312" w:hAnsi="仿宋" w:eastAsia="仿宋_GB2312"/>
                <w:bCs/>
                <w:sz w:val="30"/>
                <w:szCs w:val="30"/>
              </w:rPr>
            </w:pPr>
            <w:r>
              <w:rPr>
                <w:rFonts w:hint="eastAsia" w:ascii="仿宋_GB2312" w:hAnsi="仿宋" w:eastAsia="仿宋_GB2312"/>
                <w:bCs/>
                <w:sz w:val="30"/>
                <w:szCs w:val="30"/>
              </w:rPr>
              <w:t>资金使用和管理严格按照</w:t>
            </w:r>
            <w:r>
              <w:rPr>
                <w:rFonts w:hint="eastAsia" w:ascii="仿宋_GB2312" w:hAnsi="仿宋" w:eastAsia="仿宋_GB2312"/>
                <w:bCs/>
                <w:sz w:val="30"/>
                <w:szCs w:val="30"/>
                <w:lang w:val="en-US" w:eastAsia="zh-CN"/>
              </w:rPr>
              <w:t>部</w:t>
            </w:r>
            <w:r>
              <w:rPr>
                <w:rFonts w:hint="eastAsia" w:ascii="仿宋_GB2312" w:hAnsi="仿宋" w:eastAsia="仿宋_GB2312"/>
                <w:bCs/>
                <w:sz w:val="30"/>
                <w:szCs w:val="30"/>
              </w:rPr>
              <w:t>机关年初制定的各项规章制度，严格一支笔审批，所有报销凭证，必须有经办人、</w:t>
            </w:r>
            <w:r>
              <w:rPr>
                <w:rFonts w:hint="eastAsia" w:ascii="仿宋_GB2312" w:hAnsi="仿宋" w:eastAsia="仿宋_GB2312"/>
                <w:bCs/>
                <w:sz w:val="30"/>
                <w:szCs w:val="30"/>
                <w:lang w:val="en-US" w:eastAsia="zh-CN"/>
              </w:rPr>
              <w:t>证明人</w:t>
            </w:r>
            <w:r>
              <w:rPr>
                <w:rFonts w:hint="eastAsia" w:ascii="仿宋_GB2312" w:hAnsi="仿宋" w:eastAsia="仿宋_GB2312"/>
                <w:bCs/>
                <w:sz w:val="30"/>
                <w:szCs w:val="30"/>
              </w:rPr>
              <w:t>和审批人签字后方可报销。一次性开支</w:t>
            </w:r>
            <w:r>
              <w:rPr>
                <w:rFonts w:hint="eastAsia" w:ascii="仿宋_GB2312" w:hAnsi="仿宋" w:eastAsia="仿宋_GB2312"/>
                <w:bCs/>
                <w:sz w:val="30"/>
                <w:szCs w:val="30"/>
                <w:lang w:val="en-US" w:eastAsia="zh-CN"/>
              </w:rPr>
              <w:t>3</w:t>
            </w:r>
            <w:r>
              <w:rPr>
                <w:rFonts w:hint="eastAsia" w:ascii="仿宋_GB2312" w:hAnsi="仿宋" w:eastAsia="仿宋_GB2312"/>
                <w:bCs/>
                <w:sz w:val="30"/>
                <w:szCs w:val="30"/>
              </w:rPr>
              <w:t>0000元以上的需经</w:t>
            </w:r>
            <w:r>
              <w:rPr>
                <w:rFonts w:hint="eastAsia" w:ascii="仿宋_GB2312" w:hAnsi="仿宋" w:eastAsia="仿宋_GB2312"/>
                <w:bCs/>
                <w:sz w:val="30"/>
                <w:szCs w:val="30"/>
                <w:lang w:val="en-US" w:eastAsia="zh-CN"/>
              </w:rPr>
              <w:t>部委会</w:t>
            </w:r>
            <w:r>
              <w:rPr>
                <w:rFonts w:hint="eastAsia" w:ascii="仿宋_GB2312" w:hAnsi="仿宋" w:eastAsia="仿宋_GB2312"/>
                <w:bCs/>
                <w:sz w:val="30"/>
                <w:szCs w:val="30"/>
              </w:rPr>
              <w:t>集体研究决定，否则不论何种情况，不能报销。</w:t>
            </w:r>
          </w:p>
          <w:p>
            <w:pPr>
              <w:ind w:firstLine="600" w:firstLineChars="200"/>
              <w:rPr>
                <w:rFonts w:hint="eastAsia" w:ascii="仿宋_GB2312" w:hAnsi="仿宋" w:eastAsia="仿宋_GB2312"/>
                <w:bCs/>
                <w:sz w:val="30"/>
                <w:szCs w:val="30"/>
              </w:rPr>
            </w:pPr>
            <w:r>
              <w:rPr>
                <w:rFonts w:hint="eastAsia" w:ascii="仿宋_GB2312" w:hAnsi="仿宋" w:eastAsia="仿宋_GB2312"/>
                <w:bCs/>
                <w:sz w:val="30"/>
                <w:szCs w:val="30"/>
              </w:rPr>
              <w:t>为规范项目管理，确保项目质量，制定了项目管理制度，强化项目资金管理。严格做到“专账管理、专款专用”。</w:t>
            </w:r>
          </w:p>
          <w:p>
            <w:pPr>
              <w:rPr>
                <w:rFonts w:hint="eastAsia" w:ascii="黑体" w:hAnsi="Calibri" w:eastAsia="黑体"/>
                <w:sz w:val="30"/>
                <w:szCs w:val="30"/>
              </w:rPr>
            </w:pPr>
            <w:r>
              <w:rPr>
                <w:rFonts w:hint="eastAsia" w:ascii="黑体" w:hAnsi="Calibri" w:eastAsia="黑体"/>
                <w:sz w:val="30"/>
                <w:szCs w:val="30"/>
              </w:rPr>
              <w:t>三、组织实施情况</w:t>
            </w:r>
          </w:p>
          <w:p>
            <w:pPr>
              <w:ind w:firstLine="600" w:firstLineChars="200"/>
              <w:rPr>
                <w:rFonts w:eastAsia="楷体_GB2312"/>
                <w:bCs/>
                <w:sz w:val="28"/>
                <w:szCs w:val="28"/>
              </w:rPr>
            </w:pPr>
            <w:r>
              <w:rPr>
                <w:rFonts w:hint="eastAsia" w:ascii="仿宋_GB2312" w:hAnsi="Calibri" w:eastAsia="仿宋_GB2312"/>
                <w:sz w:val="30"/>
                <w:szCs w:val="30"/>
                <w:lang w:val="en-US" w:eastAsia="zh-CN"/>
              </w:rPr>
              <w:t>我单位</w:t>
            </w:r>
            <w:r>
              <w:rPr>
                <w:rFonts w:hint="eastAsia" w:ascii="仿宋_GB2312" w:hAnsi="Calibri" w:eastAsia="仿宋_GB2312"/>
                <w:sz w:val="30"/>
                <w:szCs w:val="30"/>
              </w:rPr>
              <w:t>修订了《机关管理制度》，从财务管理制度、公务接待制度、奖励制度等方面加以规范，以制度管人管事。</w:t>
            </w:r>
          </w:p>
        </w:tc>
      </w:tr>
    </w:tbl>
    <w:p>
      <w:pPr>
        <w:spacing w:line="120" w:lineRule="auto"/>
        <w:jc w:val="both"/>
        <w:rPr>
          <w:rFonts w:hint="eastAsia" w:ascii="方正小标宋简体" w:eastAsia="方正小标宋简体"/>
          <w:sz w:val="38"/>
          <w:szCs w:val="38"/>
        </w:rPr>
      </w:pPr>
      <w:r>
        <w:rPr>
          <w:rFonts w:eastAsia="楷体_GB2312"/>
          <w:bCs/>
          <w:sz w:val="28"/>
          <w:szCs w:val="28"/>
        </w:rPr>
        <w:br w:type="page"/>
      </w:r>
      <w:r>
        <w:rPr>
          <w:rFonts w:hint="eastAsia" w:ascii="方正小标宋简体" w:eastAsia="方正小标宋简体"/>
          <w:sz w:val="38"/>
          <w:szCs w:val="38"/>
        </w:rPr>
        <w:t>部门整体支出绩效评价评分表（参考样表）</w:t>
      </w:r>
    </w:p>
    <w:tbl>
      <w:tblPr>
        <w:tblStyle w:val="4"/>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39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55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15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69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3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2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nil"/>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nil"/>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nil"/>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nil"/>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nil"/>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nil"/>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tcBorders>
              <w:top w:val="nil"/>
              <w:left w:val="single" w:color="auto" w:sz="4" w:space="0"/>
              <w:bottom w:val="nil"/>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rPr>
            </w:pPr>
          </w:p>
        </w:tc>
        <w:tc>
          <w:tcPr>
            <w:tcW w:w="1389" w:type="dxa"/>
            <w:tcBorders>
              <w:top w:val="nil"/>
              <w:left w:val="nil"/>
              <w:bottom w:val="nil"/>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rPr>
            </w:pPr>
          </w:p>
        </w:tc>
        <w:tc>
          <w:tcPr>
            <w:tcW w:w="4171" w:type="dxa"/>
            <w:tcBorders>
              <w:top w:val="nil"/>
              <w:left w:val="nil"/>
              <w:bottom w:val="nil"/>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rPr>
            </w:pPr>
          </w:p>
        </w:tc>
        <w:tc>
          <w:tcPr>
            <w:tcW w:w="619" w:type="dxa"/>
            <w:tcBorders>
              <w:top w:val="nil"/>
              <w:left w:val="nil"/>
              <w:bottom w:val="nil"/>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rPr>
            </w:pPr>
          </w:p>
        </w:tc>
        <w:tc>
          <w:tcPr>
            <w:tcW w:w="720" w:type="dxa"/>
            <w:tcBorders>
              <w:top w:val="nil"/>
              <w:left w:val="nil"/>
              <w:bottom w:val="nil"/>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p>
        </w:tc>
        <w:tc>
          <w:tcPr>
            <w:tcW w:w="1080" w:type="dxa"/>
            <w:tcBorders>
              <w:top w:val="nil"/>
              <w:left w:val="nil"/>
              <w:bottom w:val="nil"/>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65" w:hRule="atLeast"/>
          <w:jc w:val="center"/>
        </w:trPr>
        <w:tc>
          <w:tcPr>
            <w:tcW w:w="97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rPr>
            </w:pP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4"/>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存在闲置资产</w:t>
            </w: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此项指标根据《中共岳阳市云溪区委 岳阳市云溪区人民政府 关于印发岳阳市云溪区2018年度综合绩效考核工作实施方案的通知》（岳云发〔2018〕10号）考核内容设置。</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r>
              <w:rPr>
                <w:rFonts w:hint="eastAsia" w:ascii="仿宋_GB2312" w:hAnsi="宋体" w:eastAsia="仿宋_GB2312" w:cs="宋体"/>
                <w:kern w:val="0"/>
                <w:sz w:val="18"/>
                <w:szCs w:val="18"/>
              </w:rPr>
              <w:br w:type="textWrapping"/>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99</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w:altName w:val="微软雅黑"/>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4"/>
        <w:szCs w:val="24"/>
      </w:rPr>
    </w:pPr>
    <w:r>
      <w:rPr>
        <w:rStyle w:val="6"/>
        <w:rFonts w:hint="eastAsia"/>
        <w:sz w:val="24"/>
        <w:szCs w:val="24"/>
      </w:rPr>
      <w:t xml:space="preserve">— </w:t>
    </w: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2</w:t>
    </w:r>
    <w:r>
      <w:rPr>
        <w:sz w:val="24"/>
        <w:szCs w:val="24"/>
      </w:rPr>
      <w:fldChar w:fldCharType="end"/>
    </w:r>
    <w:r>
      <w:rPr>
        <w:rStyle w:val="6"/>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yZmQ3ODI2ODNiYmU1YmMzNzA2OWNlMGVkN2JmNDcifQ=="/>
  </w:docVars>
  <w:rsids>
    <w:rsidRoot w:val="0EC94EFE"/>
    <w:rsid w:val="0EC94EFE"/>
    <w:rsid w:val="1A2079F3"/>
    <w:rsid w:val="233556A1"/>
    <w:rsid w:val="272158A7"/>
    <w:rsid w:val="58553175"/>
    <w:rsid w:val="6BC73489"/>
    <w:rsid w:val="6D535020"/>
    <w:rsid w:val="778F33BE"/>
    <w:rsid w:val="78502FE2"/>
    <w:rsid w:val="78F46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3">
    <w:name w:val="HTML Preformatted"/>
    <w:basedOn w:val="1"/>
    <w:qFormat/>
    <w:uiPriority w:val="0"/>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PingFang SC" w:hAnsi="PingFang SC" w:eastAsia="PingFang SC" w:cs="PingFang SC"/>
      <w:kern w:val="0"/>
      <w:sz w:val="24"/>
      <w:szCs w:val="24"/>
      <w:lang w:val="en-US" w:eastAsia="zh-CN" w:bidi="ar"/>
    </w:rPr>
  </w:style>
  <w:style w:type="character" w:styleId="6">
    <w:name w:val="page number"/>
    <w:qFormat/>
    <w:uiPriority w:val="0"/>
  </w:style>
  <w:style w:type="paragraph" w:customStyle="1" w:styleId="7">
    <w:name w:val="正文首行缩进 21"/>
    <w:qFormat/>
    <w:uiPriority w:val="0"/>
    <w:pPr>
      <w:keepNext w:val="0"/>
      <w:keepLines w:val="0"/>
      <w:pageBreakBefore w:val="0"/>
      <w:framePr w:wrap="around" w:vAnchor="margin" w:hAnchor="text" w:yAlign="top"/>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00" w:beforeAutospacing="0" w:after="0" w:afterAutospacing="0" w:line="240" w:lineRule="auto"/>
      <w:ind w:left="0" w:right="0" w:firstLine="420"/>
      <w:jc w:val="both"/>
      <w:outlineLvl w:val="9"/>
    </w:pPr>
    <w:rPr>
      <w:rFonts w:ascii="Calibri" w:hAnsi="Calibri"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9</Pages>
  <Words>3824</Words>
  <Characters>4148</Characters>
  <Lines>0</Lines>
  <Paragraphs>0</Paragraphs>
  <TotalTime>6</TotalTime>
  <ScaleCrop>false</ScaleCrop>
  <LinksUpToDate>false</LinksUpToDate>
  <CharactersWithSpaces>4689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2020-07-07T08:56:00Z</dcterms:created>
  <dc:creator>yyy</dc:creator>
  <cp:lastModifiedBy>杨柳</cp:lastModifiedBy>
  <cp:lastPrinted>2020-10-28T23:58:00Z</cp:lastPrinted>
  <dcterms:modified xsi:type="dcterms:W3CDTF">2023-07-14T08:05:49Z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2A35A2B14A4A4AF894A07C2B66EE5803_13</vt:lpwstr>
  </property>
</Properties>
</file>