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bCs/>
          <w:sz w:val="32"/>
          <w:szCs w:val="32"/>
        </w:rPr>
      </w:pPr>
      <w:r>
        <w:rPr>
          <w:rFonts w:hint="eastAsia" w:ascii="黑体" w:hAnsi="黑体" w:eastAsia="黑体" w:cs="黑体"/>
          <w:bCs/>
          <w:sz w:val="32"/>
          <w:szCs w:val="32"/>
        </w:rPr>
        <w:t>附件2-2：</w:t>
      </w:r>
    </w:p>
    <w:p>
      <w:pPr>
        <w:spacing w:line="540" w:lineRule="exact"/>
        <w:rPr>
          <w:rFonts w:hint="eastAsia" w:eastAsia="黑体" w:cs="黑体"/>
          <w:bCs/>
          <w:sz w:val="32"/>
          <w:szCs w:val="32"/>
        </w:rPr>
      </w:pPr>
    </w:p>
    <w:p>
      <w:pPr>
        <w:spacing w:line="540" w:lineRule="exact"/>
        <w:jc w:val="center"/>
        <w:rPr>
          <w:rFonts w:hint="eastAsia" w:eastAsia="方正小标宋简体"/>
          <w:bCs/>
          <w:sz w:val="44"/>
          <w:szCs w:val="44"/>
        </w:rPr>
      </w:pPr>
      <w:r>
        <w:rPr>
          <w:rFonts w:hint="eastAsia" w:eastAsia="方正小标宋简体"/>
          <w:bCs/>
          <w:sz w:val="44"/>
          <w:szCs w:val="44"/>
        </w:rPr>
        <w:t>岳阳市云溪区预算支出绩效评价自评报告</w:t>
      </w:r>
    </w:p>
    <w:p>
      <w:pPr>
        <w:spacing w:line="540" w:lineRule="exact"/>
        <w:rPr>
          <w:rFonts w:hint="eastAsia" w:eastAsia="仿宋_GB2312"/>
          <w:b/>
          <w:sz w:val="32"/>
        </w:rPr>
      </w:pPr>
    </w:p>
    <w:p>
      <w:pPr>
        <w:spacing w:line="540" w:lineRule="exact"/>
        <w:rPr>
          <w:rFonts w:hint="eastAsia" w:eastAsia="仿宋_GB2312"/>
          <w:b/>
          <w:sz w:val="32"/>
        </w:rPr>
      </w:pPr>
    </w:p>
    <w:p>
      <w:pPr>
        <w:spacing w:line="640" w:lineRule="exact"/>
        <w:ind w:firstLine="470" w:firstLineChars="147"/>
        <w:rPr>
          <w:rFonts w:hint="eastAsia" w:eastAsia="仿宋_GB2312"/>
          <w:sz w:val="32"/>
          <w:szCs w:val="32"/>
        </w:rPr>
      </w:pPr>
      <w:r>
        <w:rPr>
          <w:rFonts w:hint="eastAsia" w:eastAsia="仿宋_GB2312"/>
          <w:sz w:val="32"/>
          <w:szCs w:val="32"/>
        </w:rPr>
        <w:t>评价类型：项目实施过程评价□   项目完成结果评价□</w:t>
      </w:r>
    </w:p>
    <w:p>
      <w:pPr>
        <w:spacing w:line="640" w:lineRule="exact"/>
        <w:ind w:firstLine="480" w:firstLineChars="150"/>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两厂片区环卫绿化外包及管理费　　　</w:t>
      </w:r>
      <w:r>
        <w:rPr>
          <w:rFonts w:hint="eastAsia" w:eastAsia="仿宋_GB2312"/>
          <w:sz w:val="32"/>
          <w:u w:val="single"/>
        </w:rPr>
        <w:t xml:space="preserve">   </w:t>
      </w:r>
    </w:p>
    <w:p>
      <w:pPr>
        <w:spacing w:line="640" w:lineRule="exact"/>
        <w:ind w:firstLine="480"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岳阳市云溪区环卫绿化服务所</w:t>
      </w:r>
      <w:r>
        <w:rPr>
          <w:rFonts w:hint="eastAsia" w:eastAsia="仿宋_GB2312"/>
          <w:sz w:val="32"/>
          <w:u w:val="single"/>
        </w:rPr>
        <w:t xml:space="preserve">                                     </w:t>
      </w:r>
    </w:p>
    <w:p>
      <w:pPr>
        <w:spacing w:line="640" w:lineRule="exact"/>
        <w:ind w:firstLine="480"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岳阳市云溪区城市管理和综合执法局                                     </w:t>
      </w:r>
    </w:p>
    <w:p>
      <w:pPr>
        <w:spacing w:line="640" w:lineRule="exact"/>
        <w:ind w:firstLine="480"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line="640" w:lineRule="exact"/>
        <w:ind w:firstLine="480" w:firstLineChars="150"/>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jc w:val="center"/>
        <w:rPr>
          <w:rFonts w:hint="eastAsia" w:eastAsia="仿宋_GB2312"/>
          <w:sz w:val="32"/>
        </w:rPr>
      </w:pPr>
      <w:r>
        <w:rPr>
          <w:rFonts w:hint="eastAsia" w:eastAsia="仿宋_GB2312"/>
          <w:sz w:val="32"/>
        </w:rPr>
        <w:t>报告日期：</w:t>
      </w:r>
      <w:r>
        <w:rPr>
          <w:rFonts w:hint="eastAsia" w:eastAsia="仿宋_GB2312"/>
          <w:sz w:val="32"/>
          <w:lang w:val="en-US" w:eastAsia="zh-CN"/>
        </w:rPr>
        <w:t>2023</w:t>
      </w:r>
      <w:r>
        <w:rPr>
          <w:rFonts w:hint="eastAsia" w:eastAsia="仿宋_GB2312"/>
          <w:sz w:val="32"/>
        </w:rPr>
        <w:t>年</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6</w:t>
      </w:r>
      <w:r>
        <w:rPr>
          <w:rFonts w:hint="eastAsia" w:eastAsia="仿宋_GB2312"/>
          <w:sz w:val="32"/>
        </w:rPr>
        <w:t>日</w:t>
      </w:r>
    </w:p>
    <w:p>
      <w:pPr>
        <w:spacing w:line="540" w:lineRule="exact"/>
        <w:jc w:val="center"/>
        <w:rPr>
          <w:rFonts w:hint="eastAsia" w:eastAsia="仿宋_GB2312"/>
          <w:sz w:val="32"/>
        </w:rPr>
      </w:pPr>
      <w:r>
        <w:rPr>
          <w:rFonts w:hint="eastAsia" w:eastAsia="仿宋_GB2312"/>
          <w:sz w:val="32"/>
        </w:rPr>
        <w:t>岳阳市云溪区财政局（制）</w:t>
      </w:r>
    </w:p>
    <w:tbl>
      <w:tblPr>
        <w:tblStyle w:val="6"/>
        <w:tblW w:w="10019" w:type="dxa"/>
        <w:jc w:val="center"/>
        <w:tblLayout w:type="autofit"/>
        <w:tblCellMar>
          <w:top w:w="0" w:type="dxa"/>
          <w:left w:w="108" w:type="dxa"/>
          <w:bottom w:w="0" w:type="dxa"/>
          <w:right w:w="108" w:type="dxa"/>
        </w:tblCellMar>
      </w:tblPr>
      <w:tblGrid>
        <w:gridCol w:w="1119"/>
        <w:gridCol w:w="997"/>
        <w:gridCol w:w="1128"/>
        <w:gridCol w:w="1497"/>
        <w:gridCol w:w="1213"/>
        <w:gridCol w:w="1170"/>
        <w:gridCol w:w="868"/>
        <w:gridCol w:w="742"/>
        <w:gridCol w:w="1285"/>
      </w:tblGrid>
      <w:tr>
        <w:tblPrEx>
          <w:tblCellMar>
            <w:top w:w="0" w:type="dxa"/>
            <w:left w:w="108" w:type="dxa"/>
            <w:bottom w:w="0" w:type="dxa"/>
            <w:right w:w="108" w:type="dxa"/>
          </w:tblCellMar>
        </w:tblPrEx>
        <w:trPr>
          <w:trHeight w:val="90" w:hRule="atLeast"/>
          <w:jc w:val="center"/>
        </w:trPr>
        <w:tc>
          <w:tcPr>
            <w:tcW w:w="10019" w:type="dxa"/>
            <w:gridSpan w:val="9"/>
            <w:tcBorders>
              <w:top w:val="nil"/>
              <w:left w:val="nil"/>
              <w:bottom w:val="nil"/>
              <w:right w:val="nil"/>
            </w:tcBorders>
            <w:noWrap/>
            <w:vAlign w:val="center"/>
          </w:tcPr>
          <w:p>
            <w:pPr>
              <w:widowControl/>
              <w:spacing w:line="540" w:lineRule="exact"/>
              <w:jc w:val="center"/>
              <w:rPr>
                <w:rFonts w:eastAsia="方正小标宋_GBK"/>
                <w:color w:val="000000"/>
                <w:kern w:val="0"/>
                <w:sz w:val="36"/>
                <w:szCs w:val="36"/>
              </w:rPr>
            </w:pPr>
          </w:p>
        </w:tc>
      </w:tr>
      <w:tr>
        <w:tblPrEx>
          <w:tblCellMar>
            <w:top w:w="0" w:type="dxa"/>
            <w:left w:w="108" w:type="dxa"/>
            <w:bottom w:w="0" w:type="dxa"/>
            <w:right w:w="108" w:type="dxa"/>
          </w:tblCellMar>
        </w:tblPrEx>
        <w:trPr>
          <w:trHeight w:val="90" w:hRule="atLeast"/>
          <w:jc w:val="center"/>
        </w:trPr>
        <w:tc>
          <w:tcPr>
            <w:tcW w:w="10019" w:type="dxa"/>
            <w:gridSpan w:val="9"/>
            <w:tcBorders>
              <w:top w:val="nil"/>
              <w:left w:val="nil"/>
              <w:bottom w:val="single" w:color="auto" w:sz="4" w:space="0"/>
              <w:right w:val="nil"/>
            </w:tcBorders>
            <w:noWrap/>
            <w:vAlign w:val="center"/>
          </w:tcPr>
          <w:p>
            <w:pPr>
              <w:widowControl/>
              <w:spacing w:line="540" w:lineRule="exact"/>
              <w:jc w:val="center"/>
              <w:rPr>
                <w:color w:val="000000"/>
                <w:kern w:val="0"/>
                <w:sz w:val="22"/>
                <w:u w:val="none"/>
              </w:rPr>
            </w:pPr>
          </w:p>
        </w:tc>
      </w:tr>
      <w:tr>
        <w:tblPrEx>
          <w:tblCellMar>
            <w:top w:w="0" w:type="dxa"/>
            <w:left w:w="108" w:type="dxa"/>
            <w:bottom w:w="0" w:type="dxa"/>
            <w:right w:w="108" w:type="dxa"/>
          </w:tblCellMar>
        </w:tblPrEx>
        <w:trPr>
          <w:trHeight w:val="90" w:hRule="atLeast"/>
          <w:jc w:val="center"/>
        </w:trPr>
        <w:tc>
          <w:tcPr>
            <w:tcW w:w="1119"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eastAsia="仿宋_GB2312"/>
                <w:color w:val="000000"/>
                <w:kern w:val="0"/>
                <w:sz w:val="18"/>
                <w:szCs w:val="18"/>
              </w:rPr>
            </w:pPr>
            <w:r>
              <w:rPr>
                <w:rFonts w:eastAsia="仿宋_GB2312"/>
                <w:color w:val="000000"/>
                <w:kern w:val="0"/>
                <w:sz w:val="18"/>
                <w:szCs w:val="18"/>
              </w:rPr>
              <w:t>项目支</w:t>
            </w:r>
          </w:p>
          <w:p>
            <w:pPr>
              <w:widowControl/>
              <w:spacing w:line="540" w:lineRule="exact"/>
              <w:jc w:val="center"/>
              <w:rPr>
                <w:rFonts w:eastAsia="仿宋_GB2312"/>
                <w:color w:val="000000"/>
                <w:kern w:val="0"/>
                <w:sz w:val="18"/>
                <w:szCs w:val="18"/>
              </w:rPr>
            </w:pPr>
            <w:r>
              <w:rPr>
                <w:rFonts w:eastAsia="仿宋_GB2312"/>
                <w:color w:val="000000"/>
                <w:kern w:val="0"/>
                <w:sz w:val="18"/>
                <w:szCs w:val="18"/>
              </w:rPr>
              <w:t>出名称</w:t>
            </w:r>
          </w:p>
        </w:tc>
        <w:tc>
          <w:tcPr>
            <w:tcW w:w="8900" w:type="dxa"/>
            <w:gridSpan w:val="8"/>
            <w:tcBorders>
              <w:top w:val="single" w:color="auto" w:sz="4" w:space="0"/>
              <w:left w:val="nil"/>
              <w:bottom w:val="single" w:color="auto" w:sz="4" w:space="0"/>
              <w:right w:val="single" w:color="000000" w:sz="4" w:space="0"/>
            </w:tcBorders>
            <w:vAlign w:val="center"/>
          </w:tcPr>
          <w:p>
            <w:pPr>
              <w:widowControl/>
              <w:spacing w:line="540" w:lineRule="exact"/>
              <w:jc w:val="center"/>
              <w:rPr>
                <w:rFonts w:eastAsia="仿宋_GB2312"/>
                <w:color w:val="000000"/>
                <w:kern w:val="0"/>
                <w:sz w:val="18"/>
                <w:szCs w:val="18"/>
              </w:rPr>
            </w:pPr>
            <w:r>
              <w:rPr>
                <w:rFonts w:hint="eastAsia" w:eastAsia="仿宋_GB2312"/>
                <w:color w:val="000000"/>
                <w:kern w:val="0"/>
                <w:sz w:val="18"/>
                <w:szCs w:val="18"/>
                <w:lang w:eastAsia="zh-CN"/>
              </w:rPr>
              <w:t>两厂片区环卫绿化外包及管理费</w:t>
            </w:r>
            <w:r>
              <w:rPr>
                <w:rFonts w:eastAsia="仿宋_GB2312"/>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tcBorders>
              <w:top w:val="nil"/>
              <w:left w:val="single" w:color="auto" w:sz="4" w:space="0"/>
              <w:bottom w:val="single" w:color="auto" w:sz="4" w:space="0"/>
              <w:right w:val="single" w:color="auto" w:sz="4" w:space="0"/>
            </w:tcBorders>
            <w:vAlign w:val="center"/>
          </w:tcPr>
          <w:p>
            <w:pPr>
              <w:widowControl/>
              <w:spacing w:line="540" w:lineRule="exact"/>
              <w:jc w:val="left"/>
              <w:rPr>
                <w:rFonts w:eastAsia="仿宋_GB2312"/>
                <w:color w:val="000000"/>
                <w:kern w:val="0"/>
                <w:sz w:val="18"/>
                <w:szCs w:val="18"/>
              </w:rPr>
            </w:pPr>
            <w:r>
              <w:rPr>
                <w:rFonts w:eastAsia="仿宋_GB2312"/>
                <w:color w:val="000000"/>
                <w:kern w:val="0"/>
                <w:sz w:val="18"/>
                <w:szCs w:val="18"/>
              </w:rPr>
              <w:t>主管部门</w:t>
            </w:r>
          </w:p>
        </w:tc>
        <w:tc>
          <w:tcPr>
            <w:tcW w:w="4835" w:type="dxa"/>
            <w:gridSpan w:val="4"/>
            <w:tcBorders>
              <w:top w:val="single" w:color="auto" w:sz="4" w:space="0"/>
              <w:left w:val="nil"/>
              <w:bottom w:val="single" w:color="auto" w:sz="4" w:space="0"/>
              <w:right w:val="single" w:color="auto" w:sz="4" w:space="0"/>
            </w:tcBorders>
            <w:vAlign w:val="center"/>
          </w:tcPr>
          <w:p>
            <w:pPr>
              <w:widowControl/>
              <w:spacing w:line="540" w:lineRule="exact"/>
              <w:jc w:val="left"/>
              <w:rPr>
                <w:rFonts w:eastAsia="仿宋_GB2312"/>
                <w:color w:val="000000"/>
                <w:kern w:val="0"/>
                <w:sz w:val="18"/>
                <w:szCs w:val="18"/>
              </w:rPr>
            </w:pPr>
            <w:r>
              <w:rPr>
                <w:rFonts w:eastAsia="仿宋_GB2312"/>
                <w:color w:val="000000"/>
                <w:kern w:val="0"/>
                <w:sz w:val="18"/>
                <w:szCs w:val="18"/>
              </w:rPr>
              <w:t>　</w:t>
            </w:r>
            <w:r>
              <w:rPr>
                <w:rFonts w:hint="eastAsia" w:eastAsia="仿宋_GB2312"/>
                <w:sz w:val="18"/>
                <w:szCs w:val="18"/>
                <w:u w:val="none"/>
              </w:rPr>
              <w:t>岳阳市云溪区城市管理和综合执法局</w:t>
            </w:r>
          </w:p>
        </w:tc>
        <w:tc>
          <w:tcPr>
            <w:tcW w:w="1170" w:type="dxa"/>
            <w:tcBorders>
              <w:top w:val="single" w:color="auto" w:sz="4" w:space="0"/>
              <w:left w:val="nil"/>
              <w:bottom w:val="single" w:color="auto" w:sz="4" w:space="0"/>
              <w:right w:val="single" w:color="000000" w:sz="4" w:space="0"/>
            </w:tcBorders>
            <w:vAlign w:val="center"/>
          </w:tcPr>
          <w:p>
            <w:pPr>
              <w:widowControl/>
              <w:spacing w:line="540" w:lineRule="exact"/>
              <w:jc w:val="center"/>
              <w:rPr>
                <w:rFonts w:eastAsia="仿宋_GB2312"/>
                <w:color w:val="000000"/>
                <w:kern w:val="0"/>
                <w:sz w:val="18"/>
                <w:szCs w:val="18"/>
              </w:rPr>
            </w:pPr>
            <w:r>
              <w:rPr>
                <w:rFonts w:eastAsia="仿宋_GB2312"/>
                <w:color w:val="000000"/>
                <w:kern w:val="0"/>
                <w:sz w:val="18"/>
                <w:szCs w:val="18"/>
              </w:rPr>
              <w:t>实施单位</w:t>
            </w:r>
          </w:p>
        </w:tc>
        <w:tc>
          <w:tcPr>
            <w:tcW w:w="2895" w:type="dxa"/>
            <w:gridSpan w:val="3"/>
            <w:tcBorders>
              <w:top w:val="single" w:color="auto" w:sz="4" w:space="0"/>
              <w:left w:val="nil"/>
              <w:bottom w:val="single" w:color="auto" w:sz="4" w:space="0"/>
              <w:right w:val="single" w:color="auto" w:sz="4" w:space="0"/>
            </w:tcBorders>
            <w:vAlign w:val="center"/>
          </w:tcPr>
          <w:p>
            <w:pPr>
              <w:widowControl/>
              <w:spacing w:line="540" w:lineRule="exact"/>
              <w:jc w:val="left"/>
              <w:rPr>
                <w:rFonts w:eastAsia="仿宋_GB2312"/>
                <w:color w:val="000000"/>
                <w:kern w:val="0"/>
                <w:sz w:val="18"/>
                <w:szCs w:val="18"/>
              </w:rPr>
            </w:pPr>
            <w:r>
              <w:rPr>
                <w:rFonts w:hint="eastAsia" w:eastAsia="仿宋_GB2312"/>
                <w:color w:val="000000"/>
                <w:kern w:val="0"/>
                <w:sz w:val="18"/>
                <w:szCs w:val="18"/>
                <w:lang w:eastAsia="zh-CN"/>
              </w:rPr>
              <w:t>岳阳市云溪区环卫绿化服务所</w:t>
            </w:r>
            <w:r>
              <w:rPr>
                <w:rFonts w:eastAsia="仿宋_GB2312"/>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eastAsia="仿宋_GB2312"/>
                <w:color w:val="000000"/>
                <w:kern w:val="0"/>
                <w:sz w:val="18"/>
                <w:szCs w:val="18"/>
              </w:rPr>
            </w:pPr>
            <w:r>
              <w:rPr>
                <w:rFonts w:eastAsia="仿宋_GB2312"/>
                <w:color w:val="000000"/>
                <w:kern w:val="0"/>
                <w:sz w:val="18"/>
                <w:szCs w:val="18"/>
              </w:rPr>
              <w:t>项目资金</w:t>
            </w:r>
          </w:p>
          <w:p>
            <w:pPr>
              <w:widowControl/>
              <w:spacing w:line="320" w:lineRule="exact"/>
              <w:jc w:val="center"/>
              <w:rPr>
                <w:rFonts w:eastAsia="仿宋_GB2312"/>
                <w:color w:val="000000"/>
                <w:kern w:val="0"/>
                <w:sz w:val="18"/>
                <w:szCs w:val="18"/>
              </w:rPr>
            </w:pPr>
            <w:r>
              <w:rPr>
                <w:rFonts w:eastAsia="仿宋_GB2312"/>
                <w:color w:val="000000"/>
                <w:kern w:val="0"/>
                <w:sz w:val="18"/>
                <w:szCs w:val="18"/>
              </w:rPr>
              <w:t>（万元）</w:t>
            </w:r>
          </w:p>
        </w:tc>
        <w:tc>
          <w:tcPr>
            <w:tcW w:w="2125"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1497"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spacing w:val="-20"/>
                <w:kern w:val="0"/>
                <w:sz w:val="18"/>
                <w:szCs w:val="18"/>
              </w:rPr>
            </w:pPr>
            <w:r>
              <w:rPr>
                <w:rFonts w:eastAsia="仿宋_GB2312"/>
                <w:color w:val="000000"/>
                <w:spacing w:val="-11"/>
                <w:kern w:val="0"/>
                <w:sz w:val="18"/>
                <w:szCs w:val="18"/>
              </w:rPr>
              <w:t>年初预算数</w:t>
            </w:r>
          </w:p>
        </w:tc>
        <w:tc>
          <w:tcPr>
            <w:tcW w:w="121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spacing w:val="-11"/>
                <w:kern w:val="0"/>
                <w:sz w:val="18"/>
                <w:szCs w:val="18"/>
              </w:rPr>
              <w:t>全年预算数</w:t>
            </w:r>
          </w:p>
        </w:tc>
        <w:tc>
          <w:tcPr>
            <w:tcW w:w="1170" w:type="dxa"/>
            <w:tcBorders>
              <w:top w:val="nil"/>
              <w:left w:val="nil"/>
              <w:bottom w:val="single" w:color="auto" w:sz="4" w:space="0"/>
              <w:right w:val="single" w:color="auto" w:sz="4" w:space="0"/>
            </w:tcBorders>
          </w:tcPr>
          <w:p>
            <w:pPr>
              <w:spacing w:line="320" w:lineRule="exact"/>
              <w:rPr>
                <w:rFonts w:eastAsia="仿宋_GB2312"/>
                <w:sz w:val="18"/>
                <w:szCs w:val="18"/>
              </w:rPr>
            </w:pPr>
            <w:r>
              <w:rPr>
                <w:rFonts w:eastAsia="仿宋_GB2312"/>
                <w:spacing w:val="-23"/>
                <w:sz w:val="18"/>
                <w:szCs w:val="18"/>
              </w:rPr>
              <w:t>全年执行数</w:t>
            </w:r>
          </w:p>
        </w:tc>
        <w:tc>
          <w:tcPr>
            <w:tcW w:w="868" w:type="dxa"/>
            <w:tcBorders>
              <w:top w:val="nil"/>
              <w:left w:val="nil"/>
              <w:bottom w:val="single" w:color="auto" w:sz="4" w:space="0"/>
              <w:right w:val="single" w:color="auto" w:sz="4" w:space="0"/>
            </w:tcBorders>
          </w:tcPr>
          <w:p>
            <w:pPr>
              <w:spacing w:line="320" w:lineRule="exact"/>
              <w:rPr>
                <w:rFonts w:eastAsia="仿宋_GB2312"/>
                <w:sz w:val="18"/>
                <w:szCs w:val="18"/>
              </w:rPr>
            </w:pPr>
            <w:r>
              <w:rPr>
                <w:rFonts w:eastAsia="仿宋_GB2312"/>
                <w:sz w:val="18"/>
                <w:szCs w:val="18"/>
              </w:rPr>
              <w:t>分值</w:t>
            </w:r>
          </w:p>
        </w:tc>
        <w:tc>
          <w:tcPr>
            <w:tcW w:w="742" w:type="dxa"/>
            <w:tcBorders>
              <w:top w:val="nil"/>
              <w:left w:val="nil"/>
              <w:bottom w:val="single" w:color="auto" w:sz="4" w:space="0"/>
              <w:right w:val="single" w:color="auto" w:sz="4" w:space="0"/>
            </w:tcBorders>
          </w:tcPr>
          <w:p>
            <w:pPr>
              <w:spacing w:line="320" w:lineRule="exact"/>
              <w:rPr>
                <w:rFonts w:eastAsia="仿宋_GB2312"/>
                <w:sz w:val="18"/>
                <w:szCs w:val="18"/>
              </w:rPr>
            </w:pPr>
            <w:r>
              <w:rPr>
                <w:rFonts w:eastAsia="仿宋_GB2312"/>
                <w:sz w:val="18"/>
                <w:szCs w:val="18"/>
              </w:rPr>
              <w:t>执行率</w:t>
            </w:r>
          </w:p>
        </w:tc>
        <w:tc>
          <w:tcPr>
            <w:tcW w:w="1285" w:type="dxa"/>
            <w:tcBorders>
              <w:top w:val="nil"/>
              <w:left w:val="nil"/>
              <w:bottom w:val="single" w:color="auto" w:sz="4" w:space="0"/>
              <w:right w:val="single" w:color="auto" w:sz="4" w:space="0"/>
            </w:tcBorders>
          </w:tcPr>
          <w:p>
            <w:pPr>
              <w:spacing w:line="320" w:lineRule="exact"/>
              <w:rPr>
                <w:rFonts w:eastAsia="仿宋_GB2312"/>
                <w:sz w:val="18"/>
                <w:szCs w:val="18"/>
              </w:rPr>
            </w:pPr>
            <w:r>
              <w:rPr>
                <w:rFonts w:eastAsia="仿宋_GB2312"/>
                <w:sz w:val="18"/>
                <w:szCs w:val="18"/>
              </w:rPr>
              <w:t>得分</w:t>
            </w:r>
          </w:p>
        </w:tc>
      </w:tr>
      <w:tr>
        <w:tblPrEx>
          <w:tblCellMar>
            <w:top w:w="0" w:type="dxa"/>
            <w:left w:w="108" w:type="dxa"/>
            <w:bottom w:w="0" w:type="dxa"/>
            <w:right w:w="108" w:type="dxa"/>
          </w:tblCellMar>
        </w:tblPrEx>
        <w:trPr>
          <w:trHeight w:val="90" w:hRule="atLeast"/>
          <w:jc w:val="center"/>
        </w:trPr>
        <w:tc>
          <w:tcPr>
            <w:tcW w:w="111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 w:val="18"/>
                <w:szCs w:val="18"/>
              </w:rPr>
            </w:pPr>
          </w:p>
        </w:tc>
        <w:tc>
          <w:tcPr>
            <w:tcW w:w="2125"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年度资金总额　</w:t>
            </w:r>
          </w:p>
        </w:tc>
        <w:tc>
          <w:tcPr>
            <w:tcW w:w="1497"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613</w:t>
            </w:r>
          </w:p>
        </w:tc>
        <w:tc>
          <w:tcPr>
            <w:tcW w:w="1213"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613</w:t>
            </w:r>
          </w:p>
        </w:tc>
        <w:tc>
          <w:tcPr>
            <w:tcW w:w="1170"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868" w:type="dxa"/>
            <w:tcBorders>
              <w:top w:val="nil"/>
              <w:left w:val="nil"/>
              <w:bottom w:val="single" w:color="auto" w:sz="4" w:space="0"/>
              <w:right w:val="single" w:color="auto" w:sz="4" w:space="0"/>
            </w:tcBorders>
            <w:vAlign w:val="center"/>
          </w:tcPr>
          <w:p>
            <w:pPr>
              <w:widowControl/>
              <w:spacing w:line="320" w:lineRule="exact"/>
              <w:jc w:val="center"/>
              <w:rPr>
                <w:rFonts w:hint="eastAsia" w:eastAsia="仿宋_GB2312"/>
                <w:color w:val="000000"/>
                <w:kern w:val="0"/>
                <w:sz w:val="18"/>
                <w:szCs w:val="18"/>
                <w:lang w:val="en-US" w:eastAsia="zh-CN"/>
              </w:rPr>
            </w:pPr>
            <w:r>
              <w:rPr>
                <w:rFonts w:eastAsia="仿宋_GB2312"/>
                <w:color w:val="000000"/>
                <w:kern w:val="0"/>
                <w:sz w:val="18"/>
                <w:szCs w:val="18"/>
              </w:rPr>
              <w:t>10</w:t>
            </w:r>
            <w:r>
              <w:rPr>
                <w:rFonts w:hint="eastAsia" w:eastAsia="仿宋_GB2312"/>
                <w:color w:val="000000"/>
                <w:kern w:val="0"/>
                <w:sz w:val="18"/>
                <w:szCs w:val="18"/>
                <w:lang w:val="en-US" w:eastAsia="zh-CN"/>
              </w:rPr>
              <w:t>0</w:t>
            </w:r>
          </w:p>
        </w:tc>
        <w:tc>
          <w:tcPr>
            <w:tcW w:w="742"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1285"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 w:val="18"/>
                <w:szCs w:val="18"/>
              </w:rPr>
            </w:pPr>
          </w:p>
        </w:tc>
        <w:tc>
          <w:tcPr>
            <w:tcW w:w="2125"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其中：当年财政拨款　</w:t>
            </w:r>
          </w:p>
        </w:tc>
        <w:tc>
          <w:tcPr>
            <w:tcW w:w="1497"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613</w:t>
            </w:r>
          </w:p>
        </w:tc>
        <w:tc>
          <w:tcPr>
            <w:tcW w:w="121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1170"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86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742"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1285"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 w:val="18"/>
                <w:szCs w:val="18"/>
              </w:rPr>
            </w:pPr>
          </w:p>
        </w:tc>
        <w:tc>
          <w:tcPr>
            <w:tcW w:w="2125" w:type="dxa"/>
            <w:gridSpan w:val="2"/>
            <w:tcBorders>
              <w:top w:val="nil"/>
              <w:left w:val="nil"/>
              <w:bottom w:val="single" w:color="auto" w:sz="4" w:space="0"/>
              <w:right w:val="single" w:color="auto" w:sz="4" w:space="0"/>
            </w:tcBorders>
            <w:vAlign w:val="center"/>
          </w:tcPr>
          <w:p>
            <w:pPr>
              <w:widowControl/>
              <w:spacing w:line="320" w:lineRule="exact"/>
              <w:ind w:firstLine="540" w:firstLineChars="300"/>
              <w:jc w:val="left"/>
              <w:rPr>
                <w:rFonts w:eastAsia="仿宋_GB2312"/>
                <w:color w:val="000000"/>
                <w:kern w:val="0"/>
                <w:sz w:val="18"/>
                <w:szCs w:val="18"/>
              </w:rPr>
            </w:pPr>
            <w:r>
              <w:rPr>
                <w:rFonts w:eastAsia="仿宋_GB2312"/>
                <w:color w:val="000000"/>
                <w:kern w:val="0"/>
                <w:sz w:val="18"/>
                <w:szCs w:val="18"/>
              </w:rPr>
              <w:t>上年结转资金　</w:t>
            </w:r>
          </w:p>
        </w:tc>
        <w:tc>
          <w:tcPr>
            <w:tcW w:w="1497"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1170"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86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742"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1285"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 w:val="18"/>
                <w:szCs w:val="18"/>
              </w:rPr>
            </w:pPr>
          </w:p>
        </w:tc>
        <w:tc>
          <w:tcPr>
            <w:tcW w:w="2125" w:type="dxa"/>
            <w:gridSpan w:val="2"/>
            <w:tcBorders>
              <w:top w:val="nil"/>
              <w:left w:val="nil"/>
              <w:bottom w:val="single" w:color="auto" w:sz="4" w:space="0"/>
              <w:right w:val="single" w:color="auto" w:sz="4" w:space="0"/>
            </w:tcBorders>
            <w:vAlign w:val="center"/>
          </w:tcPr>
          <w:p>
            <w:pPr>
              <w:widowControl/>
              <w:spacing w:line="320" w:lineRule="exact"/>
              <w:ind w:firstLine="540" w:firstLineChars="300"/>
              <w:jc w:val="left"/>
              <w:rPr>
                <w:rFonts w:eastAsia="仿宋_GB2312"/>
                <w:color w:val="000000"/>
                <w:kern w:val="0"/>
                <w:sz w:val="18"/>
                <w:szCs w:val="18"/>
              </w:rPr>
            </w:pPr>
            <w:r>
              <w:rPr>
                <w:rFonts w:eastAsia="仿宋_GB2312"/>
                <w:color w:val="000000"/>
                <w:kern w:val="0"/>
                <w:sz w:val="18"/>
                <w:szCs w:val="18"/>
              </w:rPr>
              <w:t>其他资金</w:t>
            </w:r>
          </w:p>
        </w:tc>
        <w:tc>
          <w:tcPr>
            <w:tcW w:w="1497"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1170"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86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742"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1285"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 w:val="18"/>
                <w:szCs w:val="18"/>
              </w:rPr>
            </w:pPr>
            <w:r>
              <w:rPr>
                <w:rFonts w:eastAsia="仿宋_GB2312"/>
                <w:color w:val="000000"/>
                <w:kern w:val="0"/>
                <w:sz w:val="18"/>
                <w:szCs w:val="18"/>
              </w:rPr>
              <w:t>年度总</w:t>
            </w:r>
          </w:p>
          <w:p>
            <w:pPr>
              <w:widowControl/>
              <w:spacing w:line="320" w:lineRule="exact"/>
              <w:jc w:val="center"/>
              <w:rPr>
                <w:rFonts w:eastAsia="仿宋_GB2312"/>
                <w:color w:val="000000"/>
                <w:kern w:val="0"/>
                <w:sz w:val="18"/>
                <w:szCs w:val="18"/>
              </w:rPr>
            </w:pPr>
            <w:r>
              <w:rPr>
                <w:rFonts w:eastAsia="仿宋_GB2312"/>
                <w:color w:val="000000"/>
                <w:kern w:val="0"/>
                <w:sz w:val="18"/>
                <w:szCs w:val="18"/>
              </w:rPr>
              <w:t>体目标</w:t>
            </w:r>
          </w:p>
        </w:tc>
        <w:tc>
          <w:tcPr>
            <w:tcW w:w="4835"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 w:val="18"/>
                <w:szCs w:val="18"/>
              </w:rPr>
            </w:pPr>
            <w:r>
              <w:rPr>
                <w:rFonts w:eastAsia="仿宋_GB2312"/>
                <w:color w:val="000000"/>
                <w:kern w:val="0"/>
                <w:sz w:val="18"/>
                <w:szCs w:val="18"/>
              </w:rPr>
              <w:t>预期目标</w:t>
            </w:r>
          </w:p>
        </w:tc>
        <w:tc>
          <w:tcPr>
            <w:tcW w:w="4065"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 w:val="18"/>
                <w:szCs w:val="18"/>
              </w:rPr>
            </w:pPr>
            <w:r>
              <w:rPr>
                <w:rFonts w:eastAsia="仿宋_GB2312"/>
                <w:color w:val="000000"/>
                <w:kern w:val="0"/>
                <w:sz w:val="18"/>
                <w:szCs w:val="18"/>
              </w:rPr>
              <w:t>实际完成情况　</w:t>
            </w:r>
          </w:p>
        </w:tc>
      </w:tr>
      <w:tr>
        <w:tblPrEx>
          <w:tblCellMar>
            <w:top w:w="0" w:type="dxa"/>
            <w:left w:w="108" w:type="dxa"/>
            <w:bottom w:w="0" w:type="dxa"/>
            <w:right w:w="108" w:type="dxa"/>
          </w:tblCellMar>
        </w:tblPrEx>
        <w:trPr>
          <w:trHeight w:val="90" w:hRule="atLeast"/>
          <w:jc w:val="center"/>
        </w:trPr>
        <w:tc>
          <w:tcPr>
            <w:tcW w:w="111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p>
        </w:tc>
        <w:tc>
          <w:tcPr>
            <w:tcW w:w="4835"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 w:val="18"/>
                <w:szCs w:val="18"/>
              </w:rPr>
            </w:pPr>
            <w:r>
              <w:rPr>
                <w:rFonts w:hint="eastAsia" w:eastAsia="仿宋_GB2312"/>
                <w:color w:val="000000"/>
                <w:kern w:val="0"/>
                <w:sz w:val="18"/>
                <w:szCs w:val="18"/>
                <w:lang w:eastAsia="zh-CN"/>
              </w:rPr>
              <w:t>长炼、岳化</w:t>
            </w:r>
            <w:r>
              <w:rPr>
                <w:rFonts w:hint="eastAsia" w:ascii="仿宋" w:hAnsi="仿宋" w:eastAsia="仿宋" w:cs="仿宋"/>
                <w:sz w:val="18"/>
                <w:szCs w:val="18"/>
              </w:rPr>
              <w:t>两厂环境卫生整洁优美，给居民提供舒适宜居环境。</w:t>
            </w:r>
            <w:r>
              <w:rPr>
                <w:rFonts w:eastAsia="仿宋_GB2312"/>
                <w:color w:val="000000"/>
                <w:kern w:val="0"/>
                <w:sz w:val="18"/>
                <w:szCs w:val="18"/>
              </w:rPr>
              <w:t>　　</w:t>
            </w:r>
          </w:p>
        </w:tc>
        <w:tc>
          <w:tcPr>
            <w:tcW w:w="4065" w:type="dxa"/>
            <w:gridSpan w:val="4"/>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hint="eastAsia" w:ascii="仿宋" w:hAnsi="仿宋" w:eastAsia="仿宋" w:cs="仿宋"/>
                <w:sz w:val="18"/>
                <w:szCs w:val="18"/>
              </w:rPr>
              <w:t>两厂环卫绿化实行外包，并监督检查两厂环境卫生达到市六区月考评标准，顺利通过国家卫生城市和其他各项迎检工作</w:t>
            </w:r>
          </w:p>
        </w:tc>
      </w:tr>
      <w:tr>
        <w:tblPrEx>
          <w:tblCellMar>
            <w:top w:w="0" w:type="dxa"/>
            <w:left w:w="108" w:type="dxa"/>
            <w:bottom w:w="0" w:type="dxa"/>
            <w:right w:w="108" w:type="dxa"/>
          </w:tblCellMar>
        </w:tblPrEx>
        <w:trPr>
          <w:trHeight w:val="90" w:hRule="atLeast"/>
          <w:jc w:val="center"/>
        </w:trPr>
        <w:tc>
          <w:tcPr>
            <w:tcW w:w="1119"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绩</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效</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标</w:t>
            </w:r>
          </w:p>
        </w:tc>
        <w:tc>
          <w:tcPr>
            <w:tcW w:w="9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一级指标</w:t>
            </w:r>
          </w:p>
        </w:tc>
        <w:tc>
          <w:tcPr>
            <w:tcW w:w="11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二级指标</w:t>
            </w:r>
          </w:p>
        </w:tc>
        <w:tc>
          <w:tcPr>
            <w:tcW w:w="14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三级指标</w:t>
            </w:r>
          </w:p>
        </w:tc>
        <w:tc>
          <w:tcPr>
            <w:tcW w:w="121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年度</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指标值</w:t>
            </w:r>
          </w:p>
        </w:tc>
        <w:tc>
          <w:tcPr>
            <w:tcW w:w="117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实际</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完成值</w:t>
            </w:r>
          </w:p>
        </w:tc>
        <w:tc>
          <w:tcPr>
            <w:tcW w:w="86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分值</w:t>
            </w:r>
          </w:p>
        </w:tc>
        <w:tc>
          <w:tcPr>
            <w:tcW w:w="74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得分</w:t>
            </w:r>
          </w:p>
        </w:tc>
        <w:tc>
          <w:tcPr>
            <w:tcW w:w="128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偏差原因</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分析及</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改进措施</w:t>
            </w: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vAlign w:val="center"/>
          </w:tcPr>
          <w:p>
            <w:pPr>
              <w:spacing w:line="320" w:lineRule="exact"/>
              <w:jc w:val="center"/>
              <w:rPr>
                <w:rFonts w:hint="eastAsia" w:ascii="仿宋" w:hAnsi="仿宋" w:eastAsia="仿宋" w:cs="仿宋"/>
                <w:color w:val="000000"/>
                <w:kern w:val="0"/>
                <w:sz w:val="18"/>
                <w:szCs w:val="18"/>
              </w:rPr>
            </w:pPr>
          </w:p>
        </w:tc>
        <w:tc>
          <w:tcPr>
            <w:tcW w:w="997"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产出</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p>
            <w:pPr>
              <w:widowControl/>
              <w:spacing w:line="320" w:lineRule="exact"/>
              <w:jc w:val="center"/>
              <w:rPr>
                <w:rFonts w:hint="eastAsia" w:ascii="仿宋" w:hAnsi="仿宋" w:eastAsia="仿宋" w:cs="仿宋"/>
                <w:color w:val="000000"/>
                <w:kern w:val="0"/>
                <w:sz w:val="18"/>
                <w:szCs w:val="18"/>
              </w:rPr>
            </w:pP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(50分)</w:t>
            </w:r>
          </w:p>
        </w:tc>
        <w:tc>
          <w:tcPr>
            <w:tcW w:w="1128"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数量指标</w:t>
            </w:r>
          </w:p>
        </w:tc>
        <w:tc>
          <w:tcPr>
            <w:tcW w:w="14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岳化片区环卫绿化面积</w:t>
            </w:r>
          </w:p>
        </w:tc>
        <w:tc>
          <w:tcPr>
            <w:tcW w:w="1213"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23.3.66万平方米</w:t>
            </w:r>
          </w:p>
        </w:tc>
        <w:tc>
          <w:tcPr>
            <w:tcW w:w="1170"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23.3.66万平方米</w:t>
            </w:r>
          </w:p>
        </w:tc>
        <w:tc>
          <w:tcPr>
            <w:tcW w:w="86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100</w:t>
            </w:r>
          </w:p>
        </w:tc>
        <w:tc>
          <w:tcPr>
            <w:tcW w:w="742"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85"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vAlign w:val="center"/>
          </w:tcPr>
          <w:p>
            <w:pPr>
              <w:spacing w:line="320" w:lineRule="exact"/>
              <w:jc w:val="center"/>
              <w:rPr>
                <w:rFonts w:hint="eastAsia" w:ascii="仿宋" w:hAnsi="仿宋" w:eastAsia="仿宋" w:cs="仿宋"/>
                <w:color w:val="000000"/>
                <w:kern w:val="0"/>
                <w:sz w:val="18"/>
                <w:szCs w:val="18"/>
              </w:rPr>
            </w:pPr>
          </w:p>
        </w:tc>
        <w:tc>
          <w:tcPr>
            <w:tcW w:w="997"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hint="eastAsia" w:ascii="仿宋" w:hAnsi="仿宋" w:eastAsia="仿宋" w:cs="仿宋"/>
                <w:color w:val="000000"/>
                <w:kern w:val="0"/>
                <w:sz w:val="18"/>
                <w:szCs w:val="18"/>
              </w:rPr>
            </w:pPr>
          </w:p>
        </w:tc>
        <w:tc>
          <w:tcPr>
            <w:tcW w:w="1128"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p>
        </w:tc>
        <w:tc>
          <w:tcPr>
            <w:tcW w:w="14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长炼片区环卫绿化面积</w:t>
            </w:r>
          </w:p>
        </w:tc>
        <w:tc>
          <w:tcPr>
            <w:tcW w:w="1213"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23.17万平方米</w:t>
            </w:r>
          </w:p>
        </w:tc>
        <w:tc>
          <w:tcPr>
            <w:tcW w:w="1170"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23.17万平方米</w:t>
            </w:r>
            <w:r>
              <w:rPr>
                <w:rFonts w:hint="eastAsia" w:ascii="仿宋" w:hAnsi="仿宋" w:eastAsia="仿宋" w:cs="仿宋"/>
                <w:color w:val="000000"/>
                <w:kern w:val="0"/>
                <w:sz w:val="18"/>
                <w:szCs w:val="18"/>
              </w:rPr>
              <w:t>　</w:t>
            </w:r>
          </w:p>
        </w:tc>
        <w:tc>
          <w:tcPr>
            <w:tcW w:w="86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42"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85"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vAlign w:val="center"/>
          </w:tcPr>
          <w:p>
            <w:pPr>
              <w:spacing w:line="320" w:lineRule="exact"/>
              <w:jc w:val="center"/>
              <w:rPr>
                <w:rFonts w:hint="eastAsia" w:ascii="仿宋" w:hAnsi="仿宋" w:eastAsia="仿宋" w:cs="仿宋"/>
                <w:color w:val="000000"/>
                <w:kern w:val="0"/>
                <w:sz w:val="18"/>
                <w:szCs w:val="18"/>
              </w:rPr>
            </w:pPr>
          </w:p>
        </w:tc>
        <w:tc>
          <w:tcPr>
            <w:tcW w:w="997"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hint="eastAsia" w:ascii="仿宋" w:hAnsi="仿宋" w:eastAsia="仿宋" w:cs="仿宋"/>
                <w:color w:val="000000"/>
                <w:kern w:val="0"/>
                <w:sz w:val="18"/>
                <w:szCs w:val="18"/>
              </w:rPr>
            </w:pPr>
          </w:p>
        </w:tc>
        <w:tc>
          <w:tcPr>
            <w:tcW w:w="11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质量指标</w:t>
            </w:r>
          </w:p>
        </w:tc>
        <w:tc>
          <w:tcPr>
            <w:tcW w:w="14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全天侯保洁垃圾日产日清</w:t>
            </w:r>
          </w:p>
        </w:tc>
        <w:tc>
          <w:tcPr>
            <w:tcW w:w="1213"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100</w:t>
            </w:r>
          </w:p>
        </w:tc>
        <w:tc>
          <w:tcPr>
            <w:tcW w:w="1170"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100</w:t>
            </w:r>
          </w:p>
        </w:tc>
        <w:tc>
          <w:tcPr>
            <w:tcW w:w="86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42"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85"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vAlign w:val="center"/>
          </w:tcPr>
          <w:p>
            <w:pPr>
              <w:spacing w:line="320" w:lineRule="exact"/>
              <w:jc w:val="center"/>
              <w:rPr>
                <w:rFonts w:hint="eastAsia" w:ascii="仿宋" w:hAnsi="仿宋" w:eastAsia="仿宋" w:cs="仿宋"/>
                <w:color w:val="000000"/>
                <w:kern w:val="0"/>
                <w:sz w:val="18"/>
                <w:szCs w:val="18"/>
              </w:rPr>
            </w:pPr>
          </w:p>
        </w:tc>
        <w:tc>
          <w:tcPr>
            <w:tcW w:w="997"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hint="eastAsia" w:ascii="仿宋" w:hAnsi="仿宋" w:eastAsia="仿宋" w:cs="仿宋"/>
                <w:color w:val="000000"/>
                <w:kern w:val="0"/>
                <w:sz w:val="18"/>
                <w:szCs w:val="18"/>
              </w:rPr>
            </w:pPr>
          </w:p>
        </w:tc>
        <w:tc>
          <w:tcPr>
            <w:tcW w:w="11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时效指标</w:t>
            </w:r>
          </w:p>
        </w:tc>
        <w:tc>
          <w:tcPr>
            <w:tcW w:w="14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任务完成时间</w:t>
            </w:r>
          </w:p>
        </w:tc>
        <w:tc>
          <w:tcPr>
            <w:tcW w:w="1213"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2022年12月31日之前</w:t>
            </w:r>
          </w:p>
        </w:tc>
        <w:tc>
          <w:tcPr>
            <w:tcW w:w="1170"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2022年12月31日</w:t>
            </w:r>
            <w:r>
              <w:rPr>
                <w:rFonts w:hint="eastAsia" w:ascii="仿宋" w:hAnsi="仿宋" w:eastAsia="仿宋" w:cs="仿宋"/>
                <w:color w:val="000000"/>
                <w:kern w:val="0"/>
                <w:sz w:val="18"/>
                <w:szCs w:val="18"/>
              </w:rPr>
              <w:t>　</w:t>
            </w:r>
          </w:p>
        </w:tc>
        <w:tc>
          <w:tcPr>
            <w:tcW w:w="86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42"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85"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vAlign w:val="center"/>
          </w:tcPr>
          <w:p>
            <w:pPr>
              <w:spacing w:line="320" w:lineRule="exact"/>
              <w:jc w:val="center"/>
              <w:rPr>
                <w:rFonts w:hint="eastAsia" w:ascii="仿宋" w:hAnsi="仿宋" w:eastAsia="仿宋" w:cs="仿宋"/>
                <w:color w:val="000000"/>
                <w:kern w:val="0"/>
                <w:sz w:val="18"/>
                <w:szCs w:val="18"/>
              </w:rPr>
            </w:pPr>
          </w:p>
        </w:tc>
        <w:tc>
          <w:tcPr>
            <w:tcW w:w="997"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hint="eastAsia" w:ascii="仿宋" w:hAnsi="仿宋" w:eastAsia="仿宋" w:cs="仿宋"/>
                <w:color w:val="000000"/>
                <w:kern w:val="0"/>
                <w:sz w:val="18"/>
                <w:szCs w:val="18"/>
              </w:rPr>
            </w:pPr>
          </w:p>
        </w:tc>
        <w:tc>
          <w:tcPr>
            <w:tcW w:w="11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成本指标</w:t>
            </w:r>
          </w:p>
        </w:tc>
        <w:tc>
          <w:tcPr>
            <w:tcW w:w="14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财政预算</w:t>
            </w:r>
          </w:p>
        </w:tc>
        <w:tc>
          <w:tcPr>
            <w:tcW w:w="1213"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613万元</w:t>
            </w:r>
          </w:p>
        </w:tc>
        <w:tc>
          <w:tcPr>
            <w:tcW w:w="1170"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6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42"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85"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vAlign w:val="center"/>
          </w:tcPr>
          <w:p>
            <w:pPr>
              <w:spacing w:line="320" w:lineRule="exact"/>
              <w:jc w:val="center"/>
              <w:rPr>
                <w:rFonts w:hint="eastAsia" w:ascii="仿宋" w:hAnsi="仿宋" w:eastAsia="仿宋" w:cs="仿宋"/>
                <w:color w:val="000000"/>
                <w:kern w:val="0"/>
                <w:sz w:val="18"/>
                <w:szCs w:val="18"/>
              </w:rPr>
            </w:pPr>
          </w:p>
        </w:tc>
        <w:tc>
          <w:tcPr>
            <w:tcW w:w="997" w:type="dxa"/>
            <w:vMerge w:val="restart"/>
            <w:tcBorders>
              <w:top w:val="single" w:color="auto" w:sz="4" w:space="0"/>
              <w:left w:val="nil"/>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效益</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p>
            <w:pPr>
              <w:widowControl/>
              <w:spacing w:line="320" w:lineRule="exact"/>
              <w:jc w:val="left"/>
              <w:rPr>
                <w:rFonts w:hint="eastAsia" w:ascii="仿宋" w:hAnsi="仿宋" w:eastAsia="仿宋" w:cs="仿宋"/>
                <w:color w:val="000000"/>
                <w:kern w:val="0"/>
                <w:sz w:val="18"/>
                <w:szCs w:val="18"/>
              </w:rPr>
            </w:pPr>
          </w:p>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（30分）</w:t>
            </w:r>
          </w:p>
          <w:p>
            <w:pPr>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经济效</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益指标</w:t>
            </w:r>
          </w:p>
        </w:tc>
        <w:tc>
          <w:tcPr>
            <w:tcW w:w="14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市</w:t>
            </w:r>
            <w:r>
              <w:rPr>
                <w:rFonts w:hint="eastAsia" w:ascii="仿宋" w:hAnsi="仿宋" w:eastAsia="仿宋" w:cs="仿宋"/>
                <w:color w:val="000000"/>
                <w:kern w:val="0"/>
                <w:sz w:val="18"/>
                <w:szCs w:val="18"/>
              </w:rPr>
              <w:t>环境卫生</w:t>
            </w:r>
            <w:r>
              <w:rPr>
                <w:rFonts w:hint="eastAsia" w:ascii="仿宋" w:hAnsi="仿宋" w:eastAsia="仿宋" w:cs="仿宋"/>
                <w:color w:val="000000"/>
                <w:kern w:val="0"/>
                <w:sz w:val="18"/>
                <w:szCs w:val="18"/>
                <w:lang w:eastAsia="zh-CN"/>
              </w:rPr>
              <w:t>月考评</w:t>
            </w:r>
          </w:p>
        </w:tc>
        <w:tc>
          <w:tcPr>
            <w:tcW w:w="1213"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2个</w:t>
            </w:r>
          </w:p>
        </w:tc>
        <w:tc>
          <w:tcPr>
            <w:tcW w:w="1170"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获得2个市环境卫生</w:t>
            </w:r>
            <w:r>
              <w:rPr>
                <w:rFonts w:hint="eastAsia" w:ascii="仿宋" w:hAnsi="仿宋" w:eastAsia="仿宋" w:cs="仿宋"/>
                <w:color w:val="000000"/>
                <w:kern w:val="0"/>
                <w:sz w:val="18"/>
                <w:szCs w:val="18"/>
                <w:lang w:eastAsia="zh-CN"/>
              </w:rPr>
              <w:t>月</w:t>
            </w:r>
            <w:r>
              <w:rPr>
                <w:rFonts w:hint="eastAsia" w:ascii="仿宋" w:hAnsi="仿宋" w:eastAsia="仿宋" w:cs="仿宋"/>
                <w:color w:val="000000"/>
                <w:kern w:val="0"/>
                <w:sz w:val="18"/>
                <w:szCs w:val="18"/>
              </w:rPr>
              <w:t>考评第一</w:t>
            </w:r>
          </w:p>
        </w:tc>
        <w:tc>
          <w:tcPr>
            <w:tcW w:w="86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42"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85"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vAlign w:val="center"/>
          </w:tcPr>
          <w:p>
            <w:pPr>
              <w:spacing w:line="320" w:lineRule="exact"/>
              <w:jc w:val="center"/>
              <w:rPr>
                <w:rFonts w:hint="eastAsia" w:ascii="仿宋" w:hAnsi="仿宋" w:eastAsia="仿宋" w:cs="仿宋"/>
                <w:color w:val="000000"/>
                <w:kern w:val="0"/>
                <w:sz w:val="18"/>
                <w:szCs w:val="18"/>
              </w:rPr>
            </w:pPr>
          </w:p>
        </w:tc>
        <w:tc>
          <w:tcPr>
            <w:tcW w:w="997" w:type="dxa"/>
            <w:vMerge w:val="continue"/>
            <w:tcBorders>
              <w:left w:val="nil"/>
              <w:right w:val="single" w:color="auto" w:sz="4" w:space="0"/>
            </w:tcBorders>
            <w:vAlign w:val="center"/>
          </w:tcPr>
          <w:p>
            <w:pPr>
              <w:spacing w:line="320" w:lineRule="exact"/>
              <w:jc w:val="left"/>
              <w:rPr>
                <w:rFonts w:hint="eastAsia" w:ascii="仿宋" w:hAnsi="仿宋" w:eastAsia="仿宋" w:cs="仿宋"/>
                <w:color w:val="000000"/>
                <w:kern w:val="0"/>
                <w:sz w:val="18"/>
                <w:szCs w:val="18"/>
              </w:rPr>
            </w:pPr>
          </w:p>
        </w:tc>
        <w:tc>
          <w:tcPr>
            <w:tcW w:w="112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社会效</w:t>
            </w:r>
          </w:p>
          <w:p>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益指标</w:t>
            </w:r>
          </w:p>
        </w:tc>
        <w:tc>
          <w:tcPr>
            <w:tcW w:w="1497" w:type="dxa"/>
            <w:tcBorders>
              <w:top w:val="single" w:color="auto" w:sz="4" w:space="0"/>
              <w:left w:val="nil"/>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环境卫生整洁卫生</w:t>
            </w:r>
          </w:p>
        </w:tc>
        <w:tc>
          <w:tcPr>
            <w:tcW w:w="1213" w:type="dxa"/>
            <w:tcBorders>
              <w:top w:val="single" w:color="auto" w:sz="4" w:space="0"/>
              <w:left w:val="nil"/>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环境卫生整洁卫生</w:t>
            </w:r>
            <w:r>
              <w:rPr>
                <w:rFonts w:hint="eastAsia" w:ascii="仿宋" w:hAnsi="仿宋" w:eastAsia="仿宋" w:cs="仿宋"/>
                <w:color w:val="000000"/>
                <w:kern w:val="0"/>
                <w:sz w:val="18"/>
                <w:szCs w:val="18"/>
              </w:rPr>
              <w:t>　</w:t>
            </w:r>
          </w:p>
        </w:tc>
        <w:tc>
          <w:tcPr>
            <w:tcW w:w="1170" w:type="dxa"/>
            <w:tcBorders>
              <w:top w:val="single" w:color="auto" w:sz="4" w:space="0"/>
              <w:left w:val="nil"/>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提供就业岗位，让城市环境更加生态宜居</w:t>
            </w:r>
          </w:p>
        </w:tc>
        <w:tc>
          <w:tcPr>
            <w:tcW w:w="868" w:type="dxa"/>
            <w:tcBorders>
              <w:top w:val="single" w:color="auto" w:sz="4" w:space="0"/>
              <w:left w:val="nil"/>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42" w:type="dxa"/>
            <w:tcBorders>
              <w:top w:val="single" w:color="auto" w:sz="4" w:space="0"/>
              <w:left w:val="nil"/>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85"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vAlign w:val="center"/>
          </w:tcPr>
          <w:p>
            <w:pPr>
              <w:spacing w:line="320" w:lineRule="exact"/>
              <w:jc w:val="center"/>
              <w:rPr>
                <w:rFonts w:hint="eastAsia" w:ascii="仿宋" w:hAnsi="仿宋" w:eastAsia="仿宋" w:cs="仿宋"/>
                <w:color w:val="000000"/>
                <w:kern w:val="0"/>
                <w:sz w:val="18"/>
                <w:szCs w:val="18"/>
              </w:rPr>
            </w:pPr>
          </w:p>
        </w:tc>
        <w:tc>
          <w:tcPr>
            <w:tcW w:w="997" w:type="dxa"/>
            <w:vMerge w:val="continue"/>
            <w:tcBorders>
              <w:left w:val="nil"/>
              <w:right w:val="single" w:color="auto" w:sz="4" w:space="0"/>
            </w:tcBorders>
            <w:vAlign w:val="center"/>
          </w:tcPr>
          <w:p>
            <w:pPr>
              <w:spacing w:line="320" w:lineRule="exact"/>
              <w:jc w:val="left"/>
              <w:rPr>
                <w:rFonts w:hint="eastAsia" w:ascii="仿宋" w:hAnsi="仿宋" w:eastAsia="仿宋" w:cs="仿宋"/>
                <w:color w:val="000000"/>
                <w:kern w:val="0"/>
                <w:sz w:val="18"/>
                <w:szCs w:val="18"/>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生态效</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益指标</w:t>
            </w:r>
          </w:p>
        </w:tc>
        <w:tc>
          <w:tcPr>
            <w:tcW w:w="14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街道无裸露垃圾绿化养护到位</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100</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100</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42"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85"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vAlign w:val="center"/>
          </w:tcPr>
          <w:p>
            <w:pPr>
              <w:spacing w:line="320" w:lineRule="exact"/>
              <w:jc w:val="left"/>
              <w:rPr>
                <w:rFonts w:hint="eastAsia" w:ascii="仿宋" w:hAnsi="仿宋" w:eastAsia="仿宋" w:cs="仿宋"/>
                <w:color w:val="000000"/>
                <w:kern w:val="0"/>
                <w:sz w:val="18"/>
                <w:szCs w:val="18"/>
              </w:rPr>
            </w:pPr>
          </w:p>
        </w:tc>
        <w:tc>
          <w:tcPr>
            <w:tcW w:w="997" w:type="dxa"/>
            <w:tcBorders>
              <w:top w:val="nil"/>
              <w:left w:val="nil"/>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满意度</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（10分）</w:t>
            </w:r>
          </w:p>
        </w:tc>
        <w:tc>
          <w:tcPr>
            <w:tcW w:w="1128" w:type="dxa"/>
            <w:tcBorders>
              <w:top w:val="nil"/>
              <w:left w:val="nil"/>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服务对象满意度指标</w:t>
            </w:r>
          </w:p>
        </w:tc>
        <w:tc>
          <w:tcPr>
            <w:tcW w:w="1497" w:type="dxa"/>
            <w:tcBorders>
              <w:top w:val="nil"/>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群众满意度</w:t>
            </w:r>
          </w:p>
        </w:tc>
        <w:tc>
          <w:tcPr>
            <w:tcW w:w="1213" w:type="dxa"/>
            <w:tcBorders>
              <w:top w:val="nil"/>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90%</w:t>
            </w:r>
          </w:p>
        </w:tc>
        <w:tc>
          <w:tcPr>
            <w:tcW w:w="1170" w:type="dxa"/>
            <w:tcBorders>
              <w:top w:val="nil"/>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90%</w:t>
            </w:r>
          </w:p>
        </w:tc>
        <w:tc>
          <w:tcPr>
            <w:tcW w:w="868" w:type="dxa"/>
            <w:tcBorders>
              <w:top w:val="nil"/>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42" w:type="dxa"/>
            <w:tcBorders>
              <w:top w:val="nil"/>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85" w:type="dxa"/>
            <w:tcBorders>
              <w:top w:val="nil"/>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7124" w:type="dxa"/>
            <w:gridSpan w:val="6"/>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总分</w:t>
            </w:r>
          </w:p>
        </w:tc>
        <w:tc>
          <w:tcPr>
            <w:tcW w:w="868"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98</w:t>
            </w:r>
          </w:p>
        </w:tc>
        <w:tc>
          <w:tcPr>
            <w:tcW w:w="742" w:type="dxa"/>
            <w:tcBorders>
              <w:top w:val="nil"/>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85" w:type="dxa"/>
            <w:tcBorders>
              <w:top w:val="nil"/>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bl>
    <w:p>
      <w:pPr>
        <w:spacing w:line="320" w:lineRule="exact"/>
        <w:rPr>
          <w:rFonts w:eastAsia="仿宋_GB2312"/>
          <w:sz w:val="24"/>
        </w:rPr>
      </w:pPr>
      <w:r>
        <w:rPr>
          <w:rFonts w:eastAsia="仿宋_GB2312"/>
          <w:sz w:val="18"/>
          <w:szCs w:val="18"/>
        </w:rPr>
        <w:t>填表人：</w:t>
      </w:r>
      <w:r>
        <w:rPr>
          <w:rFonts w:hint="eastAsia" w:eastAsia="仿宋_GB2312"/>
          <w:sz w:val="18"/>
          <w:szCs w:val="18"/>
          <w:lang w:eastAsia="zh-CN"/>
        </w:rPr>
        <w:t>李文利</w:t>
      </w:r>
      <w:r>
        <w:rPr>
          <w:rFonts w:eastAsia="仿宋_GB2312"/>
          <w:sz w:val="18"/>
          <w:szCs w:val="18"/>
        </w:rPr>
        <w:t xml:space="preserve"> </w:t>
      </w:r>
      <w:r>
        <w:rPr>
          <w:rFonts w:hint="eastAsia" w:eastAsia="仿宋_GB2312"/>
          <w:sz w:val="18"/>
          <w:szCs w:val="18"/>
          <w:lang w:val="en-US" w:eastAsia="zh-CN"/>
        </w:rPr>
        <w:t xml:space="preserve">  </w:t>
      </w:r>
      <w:r>
        <w:rPr>
          <w:rFonts w:eastAsia="仿宋_GB2312"/>
          <w:sz w:val="18"/>
          <w:szCs w:val="18"/>
        </w:rPr>
        <w:t>填报日期：</w:t>
      </w:r>
      <w:r>
        <w:rPr>
          <w:rFonts w:hint="eastAsia" w:eastAsia="仿宋_GB2312"/>
          <w:sz w:val="18"/>
          <w:szCs w:val="18"/>
          <w:lang w:val="en-US" w:eastAsia="zh-CN"/>
        </w:rPr>
        <w:t xml:space="preserve">2023.6.6  </w:t>
      </w:r>
      <w:r>
        <w:rPr>
          <w:rFonts w:eastAsia="仿宋_GB2312"/>
          <w:sz w:val="18"/>
          <w:szCs w:val="18"/>
        </w:rPr>
        <w:t xml:space="preserve"> 联系电话：</w:t>
      </w:r>
      <w:r>
        <w:rPr>
          <w:rFonts w:hint="eastAsia" w:eastAsia="仿宋_GB2312"/>
          <w:sz w:val="18"/>
          <w:szCs w:val="18"/>
          <w:lang w:val="en-US" w:eastAsia="zh-CN"/>
        </w:rPr>
        <w:t>15173016069</w:t>
      </w:r>
      <w:r>
        <w:rPr>
          <w:rFonts w:eastAsia="仿宋_GB2312"/>
          <w:sz w:val="18"/>
          <w:szCs w:val="18"/>
        </w:rPr>
        <w:t xml:space="preserve">       单位负责人签字：</w:t>
      </w:r>
    </w:p>
    <w:p>
      <w:pPr>
        <w:spacing w:line="540" w:lineRule="exact"/>
        <w:jc w:val="center"/>
        <w:rPr>
          <w:rFonts w:hint="eastAsia" w:eastAsia="仿宋_GB2312"/>
          <w:sz w:val="32"/>
        </w:rPr>
      </w:pPr>
      <w:r>
        <w:rPr>
          <w:rFonts w:eastAsia="黑体"/>
          <w:sz w:val="32"/>
          <w:szCs w:val="32"/>
        </w:rPr>
        <w:br w:type="page"/>
      </w:r>
    </w:p>
    <w:tbl>
      <w:tblPr>
        <w:tblStyle w:val="6"/>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1" w:hRule="atLeast"/>
          <w:jc w:val="center"/>
        </w:trPr>
        <w:tc>
          <w:tcPr>
            <w:tcW w:w="9200" w:type="dxa"/>
          </w:tcPr>
          <w:p>
            <w:pPr>
              <w:spacing w:line="540" w:lineRule="exact"/>
              <w:jc w:val="center"/>
              <w:rPr>
                <w:rFonts w:hint="eastAsia" w:eastAsia="仿宋_GB2312"/>
                <w:b/>
                <w:bCs/>
                <w:sz w:val="28"/>
                <w:szCs w:val="28"/>
              </w:rPr>
            </w:pPr>
            <w:r>
              <w:rPr>
                <w:rFonts w:hint="eastAsia" w:eastAsia="仿宋_GB2312"/>
                <w:b/>
                <w:bCs/>
                <w:sz w:val="28"/>
                <w:szCs w:val="28"/>
              </w:rPr>
              <w:t>五、评价报告综述（参考提纲）</w:t>
            </w:r>
          </w:p>
          <w:p>
            <w:pPr>
              <w:spacing w:line="540" w:lineRule="exact"/>
              <w:ind w:firstLine="560" w:firstLineChars="200"/>
              <w:rPr>
                <w:rFonts w:hint="eastAsia" w:eastAsia="仿宋_GB2312"/>
                <w:sz w:val="28"/>
                <w:szCs w:val="28"/>
              </w:rPr>
            </w:pPr>
            <w:bookmarkStart w:id="0" w:name="_GoBack"/>
            <w:bookmarkEnd w:id="0"/>
          </w:p>
          <w:p>
            <w:pPr>
              <w:pStyle w:val="2"/>
              <w:ind w:left="0" w:leftChars="0" w:firstLine="560" w:firstLineChars="200"/>
              <w:rPr>
                <w:rFonts w:hint="eastAsia" w:ascii="黑体" w:hAnsi="黑体" w:eastAsia="黑体" w:cs="黑体"/>
              </w:rPr>
            </w:pPr>
            <w:r>
              <w:rPr>
                <w:rFonts w:hint="eastAsia" w:ascii="黑体" w:hAnsi="黑体" w:eastAsia="黑体" w:cs="黑体"/>
              </w:rPr>
              <w:t>一、预算支出概况</w:t>
            </w:r>
          </w:p>
          <w:p>
            <w:pPr>
              <w:pStyle w:val="2"/>
              <w:rPr>
                <w:rFonts w:hint="eastAsia"/>
              </w:rPr>
            </w:pPr>
            <w:r>
              <w:rPr>
                <w:rFonts w:hint="eastAsia"/>
              </w:rPr>
              <w:t>（一）项目实施单位基本情况。</w:t>
            </w:r>
          </w:p>
          <w:p>
            <w:pPr>
              <w:pStyle w:val="2"/>
              <w:ind w:left="0" w:leftChars="0" w:firstLine="560" w:firstLineChars="200"/>
              <w:rPr>
                <w:rFonts w:hint="eastAsia" w:ascii="仿宋" w:hAnsi="仿宋" w:eastAsia="仿宋" w:cs="仿宋"/>
              </w:rPr>
            </w:pPr>
            <w:r>
              <w:rPr>
                <w:rFonts w:hint="eastAsia" w:ascii="仿宋" w:hAnsi="仿宋" w:eastAsia="仿宋" w:cs="仿宋"/>
              </w:rPr>
              <w:t>1、职能职责</w:t>
            </w:r>
          </w:p>
          <w:p>
            <w:pPr>
              <w:pStyle w:val="2"/>
              <w:ind w:left="0" w:leftChars="0" w:firstLine="560" w:firstLineChars="200"/>
              <w:rPr>
                <w:rFonts w:hint="eastAsia" w:ascii="仿宋" w:hAnsi="仿宋" w:eastAsia="仿宋" w:cs="仿宋"/>
              </w:rPr>
            </w:pPr>
            <w:r>
              <w:rPr>
                <w:rFonts w:hint="eastAsia" w:ascii="仿宋" w:hAnsi="仿宋" w:eastAsia="仿宋" w:cs="仿宋"/>
                <w:lang w:eastAsia="zh-CN"/>
              </w:rPr>
              <w:t>我所属全额拨款事业单位，主要职责是</w:t>
            </w:r>
            <w:r>
              <w:rPr>
                <w:rFonts w:hint="eastAsia" w:ascii="仿宋" w:hAnsi="仿宋" w:eastAsia="仿宋" w:cs="仿宋"/>
              </w:rPr>
              <w:t>负责城区市容环境卫生管理工作；监督检查指导城区街道清扫保洁、铲除冰雪等工作；负责城区餐厨垃圾收运和处理；负责城区环卫基础设施的设置管理和维护；负责公厕管理、垃圾、渣土及固体废弃物的收运、处理、利用等工作；负责乡镇垃圾处理中心的申报、建设、管理、运营等工作;负责城市生活垃圾处置费征收；负责城区内公共绿地、生产绿地、主题公园建设的批后管理和监督检查工作；负责对城区园林绿化、公园广场绿化的规划、建设、养护和监督管理；负责对临时占用城市绿地、广场及城市树木的砍伐或迁移的批后监管和监督检查工作。</w:t>
            </w:r>
          </w:p>
          <w:p>
            <w:pPr>
              <w:pStyle w:val="2"/>
              <w:ind w:firstLine="560" w:firstLineChars="200"/>
              <w:rPr>
                <w:rFonts w:hint="eastAsia" w:ascii="仿宋" w:hAnsi="仿宋" w:eastAsia="仿宋" w:cs="仿宋"/>
              </w:rPr>
            </w:pPr>
            <w:r>
              <w:rPr>
                <w:rFonts w:hint="eastAsia" w:ascii="仿宋" w:hAnsi="仿宋" w:eastAsia="仿宋" w:cs="仿宋"/>
              </w:rPr>
              <w:t>2、机构设置</w:t>
            </w:r>
          </w:p>
          <w:p>
            <w:pPr>
              <w:pStyle w:val="2"/>
              <w:ind w:firstLine="560" w:firstLineChars="200"/>
              <w:rPr>
                <w:rFonts w:hint="eastAsia" w:ascii="仿宋" w:hAnsi="仿宋" w:eastAsia="仿宋" w:cs="仿宋"/>
              </w:rPr>
            </w:pPr>
            <w:r>
              <w:rPr>
                <w:rFonts w:hint="eastAsia" w:ascii="仿宋" w:hAnsi="仿宋" w:eastAsia="仿宋" w:cs="仿宋"/>
              </w:rPr>
              <w:t>根据编办核定，我所设综合室、城区环卫绿化中心、长岭环卫绿化中心、岳化环卫绿化中心、费收征稽中心、垃圾处置中心6个内设机构。核定全额拨款事业编制7名，设所长1名，副所长4名，内设机构负责人（副股级）6名。</w:t>
            </w:r>
          </w:p>
          <w:p>
            <w:pPr>
              <w:pStyle w:val="2"/>
              <w:ind w:left="0" w:leftChars="0" w:firstLine="560" w:firstLineChars="200"/>
              <w:rPr>
                <w:rFonts w:hint="eastAsia" w:ascii="仿宋" w:hAnsi="仿宋" w:eastAsia="仿宋" w:cs="仿宋"/>
              </w:rPr>
            </w:pPr>
            <w:r>
              <w:rPr>
                <w:rFonts w:hint="eastAsia" w:ascii="仿宋" w:hAnsi="仿宋" w:eastAsia="仿宋" w:cs="仿宋"/>
              </w:rPr>
              <w:t>3、人员情况</w:t>
            </w:r>
          </w:p>
          <w:p>
            <w:pPr>
              <w:pStyle w:val="2"/>
              <w:rPr>
                <w:rFonts w:hint="eastAsia" w:ascii="仿宋" w:hAnsi="仿宋" w:eastAsia="仿宋" w:cs="仿宋"/>
              </w:rPr>
            </w:pPr>
            <w:r>
              <w:rPr>
                <w:rFonts w:hint="eastAsia" w:ascii="仿宋" w:hAnsi="仿宋" w:eastAsia="仿宋" w:cs="仿宋"/>
              </w:rPr>
              <w:t>　我所共有1</w:t>
            </w:r>
            <w:r>
              <w:rPr>
                <w:rFonts w:hint="eastAsia" w:ascii="仿宋" w:hAnsi="仿宋" w:eastAsia="仿宋" w:cs="仿宋"/>
                <w:lang w:val="en-US" w:eastAsia="zh-CN"/>
              </w:rPr>
              <w:t>24</w:t>
            </w:r>
            <w:r>
              <w:rPr>
                <w:rFonts w:hint="eastAsia" w:ascii="仿宋" w:hAnsi="仿宋" w:eastAsia="仿宋" w:cs="仿宋"/>
              </w:rPr>
              <w:t>人，其中实名制人员25人，其他及临聘人员</w:t>
            </w:r>
            <w:r>
              <w:rPr>
                <w:rFonts w:hint="eastAsia" w:ascii="仿宋" w:hAnsi="仿宋" w:eastAsia="仿宋" w:cs="仿宋"/>
                <w:lang w:val="en-US" w:eastAsia="zh-CN"/>
              </w:rPr>
              <w:t>91</w:t>
            </w:r>
            <w:r>
              <w:rPr>
                <w:rFonts w:hint="eastAsia" w:ascii="仿宋" w:hAnsi="仿宋" w:eastAsia="仿宋" w:cs="仿宋"/>
              </w:rPr>
              <w:t>人（未含</w:t>
            </w:r>
            <w:r>
              <w:rPr>
                <w:rFonts w:hint="eastAsia" w:ascii="仿宋" w:hAnsi="仿宋" w:eastAsia="仿宋" w:cs="仿宋"/>
                <w:lang w:eastAsia="zh-CN"/>
              </w:rPr>
              <w:t>其他外包及</w:t>
            </w:r>
            <w:r>
              <w:rPr>
                <w:rFonts w:hint="eastAsia" w:ascii="仿宋" w:hAnsi="仿宋" w:eastAsia="仿宋" w:cs="仿宋"/>
              </w:rPr>
              <w:t>两厂临聘人员）。</w:t>
            </w:r>
          </w:p>
          <w:p>
            <w:pPr>
              <w:pStyle w:val="2"/>
              <w:rPr>
                <w:rFonts w:hint="eastAsia"/>
              </w:rPr>
            </w:pPr>
            <w:r>
              <w:rPr>
                <w:rFonts w:hint="eastAsia"/>
              </w:rPr>
              <w:t>（二）预算资金基本情况包括预算资金基本性质、用途和主要内容、涉及范围等。　　　</w:t>
            </w:r>
          </w:p>
          <w:p>
            <w:pPr>
              <w:pStyle w:val="2"/>
              <w:rPr>
                <w:rFonts w:hint="eastAsia"/>
              </w:rPr>
            </w:pPr>
            <w:r>
              <w:rPr>
                <w:rFonts w:hint="eastAsia"/>
              </w:rPr>
              <w:t>　　</w:t>
            </w:r>
            <w:r>
              <w:rPr>
                <w:rFonts w:hint="eastAsia" w:ascii="仿宋" w:hAnsi="仿宋" w:eastAsia="仿宋" w:cs="仿宋"/>
              </w:rPr>
              <w:t>2022年两厂环卫绿化外包及管理费为613万元,实际拨付613万元。该项资金主要用于两厂环卫绿化劳务外包、两厂垃圾中转站运营及两厂管理。根据</w:t>
            </w:r>
            <w:r>
              <w:rPr>
                <w:rFonts w:hint="eastAsia" w:ascii="仿宋" w:hAnsi="仿宋" w:eastAsia="仿宋" w:cs="仿宋"/>
                <w:lang w:val="en-US" w:eastAsia="zh-CN"/>
              </w:rPr>
              <w:t>2021年5月12日第44资</w:t>
            </w:r>
            <w:r>
              <w:rPr>
                <w:rFonts w:hint="eastAsia" w:ascii="仿宋" w:hAnsi="仿宋" w:eastAsia="仿宋" w:cs="仿宋"/>
                <w:lang w:eastAsia="zh-CN"/>
              </w:rPr>
              <w:t>岳阳市云溪区人民政府常务会议纪要、</w:t>
            </w:r>
            <w:r>
              <w:rPr>
                <w:rFonts w:hint="eastAsia" w:ascii="仿宋" w:hAnsi="仿宋" w:eastAsia="仿宋" w:cs="仿宋"/>
                <w:lang w:val="en-US" w:eastAsia="zh-CN"/>
              </w:rPr>
              <w:t>2021年2月1日</w:t>
            </w:r>
            <w:r>
              <w:rPr>
                <w:rFonts w:hint="eastAsia" w:ascii="仿宋" w:hAnsi="仿宋" w:eastAsia="仿宋" w:cs="仿宋"/>
              </w:rPr>
              <w:t>岳云政专纪﹝2021﹞4号 &lt;关于推进驻区央企办社会职能分离移交工作的专题会议纪要&gt;，有关移交区域清扫保洁、清洗清运、绿化管养等相关问题，明确区城管局要迅速启动政府采购程序与底层承包商签订过渡期承包协议，并迅速启动过渡期后移交区域清扫保洁，清洗清运、绿化管养等事项的招投标工作。我所于2022年1月26日和2022年1月24日完成两厂片区清扫保洁、洒水清洗、垃圾收转运、绿化管养招投标工作，并分别与岳阳志利保洁公司和岳阳山水物业公司签订外包合同。</w:t>
            </w:r>
          </w:p>
          <w:p>
            <w:pPr>
              <w:pStyle w:val="2"/>
              <w:rPr>
                <w:rFonts w:hint="eastAsia"/>
              </w:rPr>
            </w:pPr>
            <w:r>
              <w:rPr>
                <w:rFonts w:hint="eastAsia"/>
              </w:rPr>
              <w:t>（三）预算资金绩效目标，包括总体目标和年度目标。</w:t>
            </w:r>
          </w:p>
          <w:p>
            <w:pPr>
              <w:pStyle w:val="2"/>
              <w:rPr>
                <w:rFonts w:hint="eastAsia" w:ascii="仿宋" w:hAnsi="仿宋" w:eastAsia="仿宋" w:cs="仿宋"/>
              </w:rPr>
            </w:pPr>
            <w:r>
              <w:rPr>
                <w:rFonts w:hint="eastAsia"/>
              </w:rPr>
              <w:t>　</w:t>
            </w:r>
            <w:r>
              <w:rPr>
                <w:rFonts w:hint="eastAsia" w:ascii="仿宋" w:hAnsi="仿宋" w:eastAsia="仿宋" w:cs="仿宋"/>
              </w:rPr>
              <w:t>预算资金总体目标：两厂环境卫生整洁优美，给居民提供舒适宜居环境。</w:t>
            </w:r>
          </w:p>
          <w:p>
            <w:pPr>
              <w:pStyle w:val="2"/>
              <w:rPr>
                <w:rFonts w:hint="eastAsia" w:ascii="仿宋" w:hAnsi="仿宋" w:eastAsia="仿宋" w:cs="仿宋"/>
              </w:rPr>
            </w:pPr>
            <w:r>
              <w:rPr>
                <w:rFonts w:hint="eastAsia" w:ascii="仿宋" w:hAnsi="仿宋" w:eastAsia="仿宋" w:cs="仿宋"/>
              </w:rPr>
              <w:t>　年度目标：两厂环卫绿化实行外包，并监督检查两厂环境卫生达到市六区月考评标准，顺利通过国家卫生城市和其他各项迎检工作。</w:t>
            </w:r>
          </w:p>
          <w:p>
            <w:pPr>
              <w:pStyle w:val="2"/>
              <w:rPr>
                <w:rFonts w:hint="eastAsia" w:ascii="黑体" w:hAnsi="黑体" w:eastAsia="黑体" w:cs="黑体"/>
              </w:rPr>
            </w:pPr>
            <w:r>
              <w:rPr>
                <w:rFonts w:hint="eastAsia" w:ascii="黑体" w:hAnsi="黑体" w:eastAsia="黑体" w:cs="黑体"/>
              </w:rPr>
              <w:t>二、预算资金使用及管理情况</w:t>
            </w:r>
          </w:p>
          <w:p>
            <w:pPr>
              <w:pStyle w:val="2"/>
              <w:rPr>
                <w:rFonts w:hint="eastAsia"/>
              </w:rPr>
            </w:pPr>
            <w:r>
              <w:rPr>
                <w:rFonts w:hint="eastAsia"/>
              </w:rPr>
              <w:t>（一）预算资金及自筹资金的安排落实、总投入等情况。</w:t>
            </w:r>
          </w:p>
          <w:p>
            <w:pPr>
              <w:pStyle w:val="2"/>
              <w:ind w:firstLine="560" w:firstLineChars="200"/>
              <w:rPr>
                <w:rFonts w:hint="eastAsia" w:ascii="仿宋" w:hAnsi="仿宋" w:eastAsia="仿宋" w:cs="仿宋"/>
                <w:lang w:val="en-US" w:eastAsia="zh-CN"/>
              </w:rPr>
            </w:pPr>
            <w:r>
              <w:rPr>
                <w:rFonts w:hint="eastAsia" w:ascii="仿宋" w:hAnsi="仿宋" w:eastAsia="仿宋" w:cs="仿宋"/>
              </w:rPr>
              <w:t>2022年财政预算资金613万元，其中两厂环卫绿化外包款526.47万元，垃圾中转站运营及管理50万元，管理费36.53万元。</w:t>
            </w:r>
            <w:r>
              <w:rPr>
                <w:rFonts w:hint="eastAsia" w:ascii="仿宋" w:hAnsi="仿宋" w:eastAsia="仿宋" w:cs="仿宋"/>
                <w:lang w:eastAsia="zh-CN"/>
              </w:rPr>
              <w:t>财政实际拨付</w:t>
            </w:r>
            <w:r>
              <w:rPr>
                <w:rFonts w:hint="eastAsia" w:ascii="仿宋" w:hAnsi="仿宋" w:eastAsia="仿宋" w:cs="仿宋"/>
                <w:lang w:val="en-US" w:eastAsia="zh-CN"/>
              </w:rPr>
              <w:t>613万元。</w:t>
            </w:r>
          </w:p>
          <w:p>
            <w:pPr>
              <w:pStyle w:val="2"/>
              <w:rPr>
                <w:rFonts w:hint="eastAsia"/>
              </w:rPr>
            </w:pPr>
            <w:r>
              <w:rPr>
                <w:rFonts w:hint="eastAsia"/>
              </w:rPr>
              <w:t>（二）预算资金实际使用情况。</w:t>
            </w:r>
          </w:p>
          <w:p>
            <w:pPr>
              <w:pStyle w:val="2"/>
              <w:ind w:firstLine="560" w:firstLineChars="200"/>
              <w:rPr>
                <w:rFonts w:hint="eastAsia" w:ascii="仿宋" w:hAnsi="仿宋" w:eastAsia="仿宋" w:cs="仿宋"/>
              </w:rPr>
            </w:pPr>
            <w:r>
              <w:rPr>
                <w:rFonts w:hint="eastAsia" w:ascii="仿宋" w:hAnsi="仿宋" w:eastAsia="仿宋" w:cs="仿宋"/>
              </w:rPr>
              <w:t>2022年两厂环卫绿化保洁及管理预算资金实际使用696.39万元，其中外包劳务费526.47万元，行道树修剪及补植66.74万元，两厂中转站改造22.19万元，中转站运营费24.16万元，长炼环卫楼棚区改造33.73万元，水电费3.36万元，门卫公园小游园工资7.2万元，死角垃圾清理8.16万元，长炼水上公园3.84万元，办公费0.44万元。</w:t>
            </w:r>
          </w:p>
          <w:p>
            <w:pPr>
              <w:pStyle w:val="2"/>
              <w:numPr>
                <w:ilvl w:val="0"/>
                <w:numId w:val="2"/>
              </w:numPr>
              <w:rPr>
                <w:rFonts w:hint="eastAsia"/>
              </w:rPr>
            </w:pPr>
            <w:r>
              <w:rPr>
                <w:rFonts w:hint="eastAsia"/>
              </w:rPr>
              <w:t>预算资金管理情况分析，主要包括管理制度、办法的制订及执行情况。</w:t>
            </w:r>
          </w:p>
          <w:p>
            <w:pPr>
              <w:pStyle w:val="2"/>
              <w:numPr>
                <w:numId w:val="0"/>
              </w:numP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　　</w:t>
            </w:r>
            <w:r>
              <w:rPr>
                <w:rFonts w:hint="eastAsia" w:ascii="仿宋" w:hAnsi="仿宋" w:eastAsia="仿宋" w:cs="仿宋"/>
                <w:color w:val="000000"/>
                <w:kern w:val="0"/>
                <w:sz w:val="28"/>
                <w:szCs w:val="28"/>
              </w:rPr>
              <w:t>1、创新推进示范管理。大力践行“街长制”，制定了《督查工作实施方案》，明确每个职工负责1-3条道路，每天到责任路段巡查</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次以上，将发现的问题及时拍照反馈至环卫所工作群，督促责任领导快速整改落实；根据巡查次数、督查发现和解决问题的数量，每月进行奖罚。</w:t>
            </w:r>
          </w:p>
          <w:p>
            <w:pPr>
              <w:keepNext w:val="0"/>
              <w:keepLines w:val="0"/>
              <w:pageBreakBefore w:val="0"/>
              <w:widowControl/>
              <w:shd w:val="clear" w:color="auto" w:fill="FFFFFF"/>
              <w:kinsoku/>
              <w:wordWrap/>
              <w:overflowPunct/>
              <w:topLinePunct w:val="0"/>
              <w:autoSpaceDE/>
              <w:autoSpaceDN/>
              <w:bidi w:val="0"/>
              <w:spacing w:line="60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2、创新推进高效管理。建立起解决问题“挂销号”制度，对工作中存在的问题进行登记，每月定期召开工作讲评会，限时办结“销号”，有效杜绝了久拖不决的弊病，提升了工作效率。</w:t>
            </w:r>
          </w:p>
          <w:p>
            <w:pPr>
              <w:keepNext w:val="0"/>
              <w:keepLines w:val="0"/>
              <w:pageBreakBefore w:val="0"/>
              <w:widowControl/>
              <w:shd w:val="clear" w:color="auto" w:fill="FFFFFF"/>
              <w:kinsoku/>
              <w:wordWrap/>
              <w:overflowPunct/>
              <w:topLinePunct w:val="0"/>
              <w:autoSpaceDE/>
              <w:autoSpaceDN/>
              <w:bidi w:val="0"/>
              <w:spacing w:line="60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全面优化“街道清洗”。充分发挥机械作业的优势，将人、车、路等要素相对捆绑，每天利用洒水车、洗扫车、清洗车等设备，对车行道、人行道、边沿石及交通护栏，进行全方位、高精度洗扫，确保辖区街道全部“路见本色”；同时，将清洗举措向作业设备保洁延伸，每天定时对机械车辆和垃圾箱、果皮筒进行洗、抹、擦，各类设备洁净如新；在设施维护上，对公厕、垃圾站严格落实全天候专人保洁维护制度，环卫设施功能完善，内外环境干净整洁。</w:t>
            </w:r>
          </w:p>
          <w:p>
            <w:pPr>
              <w:pStyle w:val="2"/>
              <w:rPr>
                <w:rFonts w:hint="eastAsia"/>
              </w:rPr>
            </w:pPr>
            <w:r>
              <w:rPr>
                <w:rFonts w:hint="eastAsia" w:ascii="黑体" w:hAnsi="黑体" w:eastAsia="黑体" w:cs="黑体"/>
              </w:rPr>
              <w:t>三、预算支出组织实施情况</w:t>
            </w:r>
          </w:p>
          <w:p>
            <w:pPr>
              <w:pStyle w:val="2"/>
              <w:rPr>
                <w:rFonts w:hint="eastAsia" w:ascii="仿宋" w:hAnsi="仿宋" w:eastAsia="仿宋" w:cs="仿宋"/>
              </w:rPr>
            </w:pPr>
            <w:r>
              <w:rPr>
                <w:rFonts w:hint="eastAsia" w:ascii="仿宋" w:hAnsi="仿宋" w:eastAsia="仿宋" w:cs="仿宋"/>
                <w:lang w:eastAsia="zh-CN"/>
              </w:rPr>
              <w:t>　</w:t>
            </w:r>
            <w:r>
              <w:rPr>
                <w:rFonts w:hint="eastAsia" w:ascii="仿宋" w:hAnsi="仿宋" w:eastAsia="仿宋" w:cs="仿宋"/>
              </w:rPr>
              <w:t>两厂环卫绿化保洁及管理费专项资金按资金的用途专款专用，使用资金时，严格执行我局财务制度，层层审批，由区财政国库集中支付局支付，同时对专项资金的使用流程进行监督，定时查看财务报表检查专项资金使用情况。</w:t>
            </w:r>
          </w:p>
          <w:p>
            <w:pPr>
              <w:pStyle w:val="2"/>
              <w:rPr>
                <w:rFonts w:hint="eastAsia"/>
              </w:rPr>
            </w:pPr>
            <w:r>
              <w:rPr>
                <w:rFonts w:hint="eastAsia"/>
                <w:lang w:eastAsia="zh-CN"/>
              </w:rPr>
              <w:t>　</w:t>
            </w:r>
            <w:r>
              <w:rPr>
                <w:rFonts w:hint="eastAsia"/>
              </w:rPr>
              <w:t>四、综合评价情况及评价结论</w:t>
            </w:r>
          </w:p>
          <w:p>
            <w:pPr>
              <w:pStyle w:val="2"/>
              <w:rPr>
                <w:rFonts w:hint="eastAsia" w:ascii="仿宋" w:hAnsi="仿宋" w:eastAsia="仿宋" w:cs="仿宋"/>
              </w:rPr>
            </w:pPr>
            <w:r>
              <w:rPr>
                <w:rFonts w:hint="eastAsia"/>
                <w:lang w:eastAsia="zh-CN"/>
              </w:rPr>
              <w:t>　</w:t>
            </w:r>
            <w:r>
              <w:rPr>
                <w:rFonts w:hint="eastAsia" w:ascii="仿宋" w:hAnsi="仿宋" w:eastAsia="仿宋" w:cs="仿宋"/>
              </w:rPr>
              <w:t>2022年我单位资金运行维护决策正确，资金管理规范，项目管理到位，政策执行有力，有效发挥了财政资金的使用效率。</w:t>
            </w:r>
          </w:p>
          <w:p>
            <w:pPr>
              <w:pStyle w:val="2"/>
              <w:rPr>
                <w:rFonts w:hint="eastAsia"/>
              </w:rPr>
            </w:pPr>
            <w:r>
              <w:rPr>
                <w:rFonts w:hint="eastAsia"/>
                <w:lang w:eastAsia="zh-CN"/>
              </w:rPr>
              <w:t>　</w:t>
            </w:r>
            <w:r>
              <w:rPr>
                <w:rFonts w:hint="eastAsia"/>
              </w:rPr>
              <w:t>五、项目主要绩效情况分析</w:t>
            </w:r>
          </w:p>
          <w:p>
            <w:pPr>
              <w:pStyle w:val="2"/>
              <w:rPr>
                <w:rFonts w:hint="eastAsia" w:ascii="仿宋" w:hAnsi="仿宋" w:eastAsia="仿宋" w:cs="仿宋"/>
              </w:rPr>
            </w:pPr>
            <w:r>
              <w:rPr>
                <w:rFonts w:hint="eastAsia"/>
                <w:lang w:eastAsia="zh-CN"/>
              </w:rPr>
              <w:t>　</w:t>
            </w:r>
            <w:r>
              <w:rPr>
                <w:rFonts w:hint="eastAsia" w:ascii="仿宋" w:hAnsi="仿宋" w:eastAsia="仿宋" w:cs="仿宋"/>
              </w:rPr>
              <w:t>两厂环卫绿化保洁及管理费专用资金发挥了维护好两厂环卫绿化保洁的任务，为市民提供舒适的休闲环境，改善了空气质量，提升了城市品位。在保证任务顺利完成的同时，严格落实厉行节约的原则。</w:t>
            </w:r>
          </w:p>
          <w:p>
            <w:pPr>
              <w:pStyle w:val="2"/>
              <w:rPr>
                <w:rFonts w:hint="eastAsia"/>
              </w:rPr>
            </w:pPr>
            <w:r>
              <w:rPr>
                <w:rFonts w:hint="eastAsia"/>
                <w:lang w:eastAsia="zh-CN"/>
              </w:rPr>
              <w:t>　</w:t>
            </w:r>
            <w:r>
              <w:rPr>
                <w:rFonts w:hint="eastAsia"/>
              </w:rPr>
              <w:t>六、主要经验做法、存在的问题及原因分析</w:t>
            </w:r>
          </w:p>
          <w:p>
            <w:pPr>
              <w:pStyle w:val="2"/>
              <w:rPr>
                <w:rFonts w:hint="eastAsia"/>
              </w:rPr>
            </w:pPr>
            <w:r>
              <w:rPr>
                <w:rFonts w:hint="eastAsia"/>
                <w:lang w:eastAsia="zh-CN"/>
              </w:rPr>
              <w:t>　</w:t>
            </w:r>
            <w:r>
              <w:rPr>
                <w:rFonts w:hint="eastAsia"/>
              </w:rPr>
              <w:t>七、有关建议</w:t>
            </w:r>
          </w:p>
          <w:p>
            <w:pPr>
              <w:pStyle w:val="2"/>
              <w:rPr>
                <w:rFonts w:hint="eastAsia"/>
              </w:rPr>
            </w:pPr>
            <w:r>
              <w:rPr>
                <w:rFonts w:hint="eastAsia"/>
                <w:lang w:eastAsia="zh-CN"/>
              </w:rPr>
              <w:t>　</w:t>
            </w:r>
            <w:r>
              <w:rPr>
                <w:rFonts w:hint="eastAsia"/>
              </w:rPr>
              <w:t>八、其他需要说明的问题</w:t>
            </w:r>
          </w:p>
          <w:p>
            <w:pPr>
              <w:adjustRightInd w:val="0"/>
              <w:snapToGrid w:val="0"/>
              <w:spacing w:line="540" w:lineRule="exact"/>
              <w:ind w:firstLine="440" w:firstLineChars="200"/>
              <w:rPr>
                <w:rFonts w:hint="eastAsia" w:eastAsia="仿宋_GB2312"/>
                <w:sz w:val="22"/>
                <w:szCs w:val="22"/>
                <w:lang w:eastAsia="zh-CN"/>
              </w:rPr>
            </w:pPr>
          </w:p>
          <w:p>
            <w:pPr>
              <w:spacing w:line="540" w:lineRule="exact"/>
              <w:rPr>
                <w:rFonts w:eastAsia="楷体_GB2312"/>
                <w:bCs/>
                <w:sz w:val="24"/>
                <w:szCs w:val="24"/>
              </w:rPr>
            </w:pPr>
          </w:p>
        </w:tc>
      </w:tr>
    </w:tbl>
    <w:p>
      <w:pPr>
        <w:adjustRightInd w:val="0"/>
        <w:snapToGrid w:val="0"/>
        <w:spacing w:line="540" w:lineRule="exact"/>
        <w:contextualSpacing/>
        <w:jc w:val="both"/>
        <w:rPr>
          <w:rFonts w:hint="eastAsia" w:eastAsia="仿宋_GB2312"/>
          <w:sz w:val="32"/>
        </w:rPr>
      </w:pPr>
    </w:p>
    <w:sectPr>
      <w:footerReference r:id="rId3" w:type="default"/>
      <w:footerReference r:id="rId4"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27</w:t>
    </w:r>
    <w:r>
      <w:rPr>
        <w:sz w:val="24"/>
        <w:szCs w:val="24"/>
      </w:rPr>
      <w:fldChar w:fldCharType="end"/>
    </w:r>
    <w:r>
      <w:rPr>
        <w:rStyle w:val="9"/>
        <w:rFonts w:hint="eastAsia"/>
        <w:sz w:val="24"/>
        <w:szCs w:val="24"/>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lang w:val="en-US" w:eastAsia="zh-CN"/>
      </w:rPr>
      <w:t>34</w: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7E465"/>
    <w:multiLevelType w:val="singleLevel"/>
    <w:tmpl w:val="81C7E465"/>
    <w:lvl w:ilvl="0" w:tentative="0">
      <w:start w:val="3"/>
      <w:numFmt w:val="chineseCounting"/>
      <w:suff w:val="nothing"/>
      <w:lvlText w:val="（%1）"/>
      <w:lvlJc w:val="left"/>
      <w:rPr>
        <w:rFonts w:hint="eastAsia"/>
      </w:rPr>
    </w:lvl>
  </w:abstractNum>
  <w:abstractNum w:abstractNumId="1">
    <w:nsid w:val="FFFFFF7F"/>
    <w:multiLevelType w:val="singleLevel"/>
    <w:tmpl w:val="FFFFFF7F"/>
    <w:lvl w:ilvl="0" w:tentative="0">
      <w:start w:val="1"/>
      <w:numFmt w:val="decimal"/>
      <w:pStyle w:val="17"/>
      <w:lvlText w:val="%1."/>
      <w:lvlJc w:val="left"/>
      <w:pPr>
        <w:tabs>
          <w:tab w:val="left" w:pos="780"/>
        </w:tabs>
        <w:ind w:left="7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3"/>
  <w:drawingGridVerticalSpacing w:val="30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VlMmU3NmE5YmMzZDVhY2ViNzE3Y2E1MjIxYjI5OTAifQ=="/>
  </w:docVars>
  <w:rsids>
    <w:rsidRoot w:val="002841F0"/>
    <w:rsid w:val="00017F19"/>
    <w:rsid w:val="000322FE"/>
    <w:rsid w:val="00083A84"/>
    <w:rsid w:val="00095FBA"/>
    <w:rsid w:val="000975B6"/>
    <w:rsid w:val="000A7A67"/>
    <w:rsid w:val="000B0058"/>
    <w:rsid w:val="000B0F8D"/>
    <w:rsid w:val="000F5FF6"/>
    <w:rsid w:val="001A521A"/>
    <w:rsid w:val="001B7CED"/>
    <w:rsid w:val="00217BDF"/>
    <w:rsid w:val="00245DD6"/>
    <w:rsid w:val="00253BA0"/>
    <w:rsid w:val="002841F0"/>
    <w:rsid w:val="002A26C5"/>
    <w:rsid w:val="002B0015"/>
    <w:rsid w:val="002C29C8"/>
    <w:rsid w:val="002D39E9"/>
    <w:rsid w:val="002E2754"/>
    <w:rsid w:val="00323747"/>
    <w:rsid w:val="00381C01"/>
    <w:rsid w:val="003C18A0"/>
    <w:rsid w:val="00402332"/>
    <w:rsid w:val="00403204"/>
    <w:rsid w:val="0040466A"/>
    <w:rsid w:val="00424CB9"/>
    <w:rsid w:val="00475C30"/>
    <w:rsid w:val="004765CE"/>
    <w:rsid w:val="00477D46"/>
    <w:rsid w:val="004A4064"/>
    <w:rsid w:val="004D6EF5"/>
    <w:rsid w:val="0057564F"/>
    <w:rsid w:val="00583D39"/>
    <w:rsid w:val="005938EF"/>
    <w:rsid w:val="005C3239"/>
    <w:rsid w:val="005C6C45"/>
    <w:rsid w:val="005E19CE"/>
    <w:rsid w:val="00605269"/>
    <w:rsid w:val="00625AFB"/>
    <w:rsid w:val="00641ABF"/>
    <w:rsid w:val="006622CD"/>
    <w:rsid w:val="00680C7E"/>
    <w:rsid w:val="006D40DF"/>
    <w:rsid w:val="00736F10"/>
    <w:rsid w:val="0074439A"/>
    <w:rsid w:val="00780DF4"/>
    <w:rsid w:val="007B0791"/>
    <w:rsid w:val="007C323E"/>
    <w:rsid w:val="007D6ADE"/>
    <w:rsid w:val="007D6C40"/>
    <w:rsid w:val="007E5E22"/>
    <w:rsid w:val="007F5622"/>
    <w:rsid w:val="0080259B"/>
    <w:rsid w:val="008073F2"/>
    <w:rsid w:val="008469D8"/>
    <w:rsid w:val="00852EBC"/>
    <w:rsid w:val="008556AF"/>
    <w:rsid w:val="008A783C"/>
    <w:rsid w:val="008F2FB6"/>
    <w:rsid w:val="00946ED0"/>
    <w:rsid w:val="00953EA1"/>
    <w:rsid w:val="00960AAE"/>
    <w:rsid w:val="009E65BD"/>
    <w:rsid w:val="009E6E31"/>
    <w:rsid w:val="00A02C2D"/>
    <w:rsid w:val="00A161B1"/>
    <w:rsid w:val="00A44677"/>
    <w:rsid w:val="00A60759"/>
    <w:rsid w:val="00A62C5E"/>
    <w:rsid w:val="00A64A64"/>
    <w:rsid w:val="00A82A31"/>
    <w:rsid w:val="00AA29CB"/>
    <w:rsid w:val="00AC0196"/>
    <w:rsid w:val="00AD2412"/>
    <w:rsid w:val="00B00A50"/>
    <w:rsid w:val="00B065A7"/>
    <w:rsid w:val="00B07287"/>
    <w:rsid w:val="00B52021"/>
    <w:rsid w:val="00B92F93"/>
    <w:rsid w:val="00B95CAE"/>
    <w:rsid w:val="00BA3499"/>
    <w:rsid w:val="00BE1AEE"/>
    <w:rsid w:val="00BE62A1"/>
    <w:rsid w:val="00C44F64"/>
    <w:rsid w:val="00CA40F2"/>
    <w:rsid w:val="00CD7AF8"/>
    <w:rsid w:val="00D04CC5"/>
    <w:rsid w:val="00D1035F"/>
    <w:rsid w:val="00D51716"/>
    <w:rsid w:val="00D6084C"/>
    <w:rsid w:val="00E03B3B"/>
    <w:rsid w:val="00E315F0"/>
    <w:rsid w:val="00E3574A"/>
    <w:rsid w:val="00E67A42"/>
    <w:rsid w:val="00EA0819"/>
    <w:rsid w:val="00EA6EB0"/>
    <w:rsid w:val="00EA79DC"/>
    <w:rsid w:val="00ED5EAE"/>
    <w:rsid w:val="00ED6520"/>
    <w:rsid w:val="00EF30CB"/>
    <w:rsid w:val="00EF7C52"/>
    <w:rsid w:val="00F32610"/>
    <w:rsid w:val="00F46049"/>
    <w:rsid w:val="00F862F4"/>
    <w:rsid w:val="00FC2E82"/>
    <w:rsid w:val="011A4082"/>
    <w:rsid w:val="01526F47"/>
    <w:rsid w:val="016E0C27"/>
    <w:rsid w:val="01E46D33"/>
    <w:rsid w:val="028E7519"/>
    <w:rsid w:val="029418F9"/>
    <w:rsid w:val="02E246B7"/>
    <w:rsid w:val="02FF7B95"/>
    <w:rsid w:val="0329757B"/>
    <w:rsid w:val="03312FA5"/>
    <w:rsid w:val="035C4E29"/>
    <w:rsid w:val="0391469A"/>
    <w:rsid w:val="04C77404"/>
    <w:rsid w:val="04F15244"/>
    <w:rsid w:val="04F82B4C"/>
    <w:rsid w:val="052F6D4D"/>
    <w:rsid w:val="059D6B84"/>
    <w:rsid w:val="05A54A2B"/>
    <w:rsid w:val="062E2ADC"/>
    <w:rsid w:val="06AB4E25"/>
    <w:rsid w:val="06F95FF9"/>
    <w:rsid w:val="07E278CA"/>
    <w:rsid w:val="07E35C17"/>
    <w:rsid w:val="07EC4BEA"/>
    <w:rsid w:val="080528C5"/>
    <w:rsid w:val="08275445"/>
    <w:rsid w:val="082853AA"/>
    <w:rsid w:val="0858423C"/>
    <w:rsid w:val="08904EE5"/>
    <w:rsid w:val="09BD4BD6"/>
    <w:rsid w:val="09C851E3"/>
    <w:rsid w:val="09EF451D"/>
    <w:rsid w:val="0A4C6CF4"/>
    <w:rsid w:val="0AA07F0D"/>
    <w:rsid w:val="0AAB0D8C"/>
    <w:rsid w:val="0B411289"/>
    <w:rsid w:val="0B582BD0"/>
    <w:rsid w:val="0B7C1CDB"/>
    <w:rsid w:val="0BB1312B"/>
    <w:rsid w:val="0BD46E8E"/>
    <w:rsid w:val="0BDA2FAB"/>
    <w:rsid w:val="0C80532C"/>
    <w:rsid w:val="0C914EA3"/>
    <w:rsid w:val="0CAD5A32"/>
    <w:rsid w:val="0CE51D21"/>
    <w:rsid w:val="0CE93D00"/>
    <w:rsid w:val="0D6D5FF2"/>
    <w:rsid w:val="0D766D04"/>
    <w:rsid w:val="0DDC3323"/>
    <w:rsid w:val="0E270E6E"/>
    <w:rsid w:val="0E4413FE"/>
    <w:rsid w:val="0E7B1096"/>
    <w:rsid w:val="0F2A5E71"/>
    <w:rsid w:val="0F34483A"/>
    <w:rsid w:val="0F435C3F"/>
    <w:rsid w:val="0F7D6584"/>
    <w:rsid w:val="0FA27F84"/>
    <w:rsid w:val="0FE52EF1"/>
    <w:rsid w:val="0FE97C61"/>
    <w:rsid w:val="10036608"/>
    <w:rsid w:val="1012241A"/>
    <w:rsid w:val="101F681B"/>
    <w:rsid w:val="102B6F19"/>
    <w:rsid w:val="10710382"/>
    <w:rsid w:val="10792C66"/>
    <w:rsid w:val="113B391F"/>
    <w:rsid w:val="11485F11"/>
    <w:rsid w:val="11E41C63"/>
    <w:rsid w:val="11F33802"/>
    <w:rsid w:val="12254877"/>
    <w:rsid w:val="12C94E1D"/>
    <w:rsid w:val="12CD1ABC"/>
    <w:rsid w:val="12F66175"/>
    <w:rsid w:val="13271272"/>
    <w:rsid w:val="13AB1779"/>
    <w:rsid w:val="13D12EE6"/>
    <w:rsid w:val="14165BA0"/>
    <w:rsid w:val="142B1AFF"/>
    <w:rsid w:val="147D6BDD"/>
    <w:rsid w:val="14982D02"/>
    <w:rsid w:val="14FA3C6A"/>
    <w:rsid w:val="158F64A0"/>
    <w:rsid w:val="15C4429B"/>
    <w:rsid w:val="15E66FF7"/>
    <w:rsid w:val="160E6673"/>
    <w:rsid w:val="163B1335"/>
    <w:rsid w:val="163C4C57"/>
    <w:rsid w:val="166558CE"/>
    <w:rsid w:val="16A263C2"/>
    <w:rsid w:val="16F83B8C"/>
    <w:rsid w:val="175011B4"/>
    <w:rsid w:val="177C1BE6"/>
    <w:rsid w:val="17975995"/>
    <w:rsid w:val="18157E55"/>
    <w:rsid w:val="181E59CB"/>
    <w:rsid w:val="18A01C0A"/>
    <w:rsid w:val="18B560F0"/>
    <w:rsid w:val="18D163AA"/>
    <w:rsid w:val="197C1B46"/>
    <w:rsid w:val="19EB06CD"/>
    <w:rsid w:val="1A370B87"/>
    <w:rsid w:val="1A4F5002"/>
    <w:rsid w:val="1A8B4866"/>
    <w:rsid w:val="1AA80112"/>
    <w:rsid w:val="1AD5401E"/>
    <w:rsid w:val="1B5B7DEE"/>
    <w:rsid w:val="1C084E76"/>
    <w:rsid w:val="1C307184"/>
    <w:rsid w:val="1C737230"/>
    <w:rsid w:val="1C845B58"/>
    <w:rsid w:val="1D2A1481"/>
    <w:rsid w:val="1D3138DD"/>
    <w:rsid w:val="1D321B3B"/>
    <w:rsid w:val="1D3F3C7C"/>
    <w:rsid w:val="1DFF6547"/>
    <w:rsid w:val="1E0D074B"/>
    <w:rsid w:val="1E195BB5"/>
    <w:rsid w:val="1E2A54ED"/>
    <w:rsid w:val="1E3525B1"/>
    <w:rsid w:val="1EDE744A"/>
    <w:rsid w:val="1EE416FB"/>
    <w:rsid w:val="1EEB23D0"/>
    <w:rsid w:val="1EF16C25"/>
    <w:rsid w:val="1F094269"/>
    <w:rsid w:val="1F20225E"/>
    <w:rsid w:val="1F775B68"/>
    <w:rsid w:val="208536D3"/>
    <w:rsid w:val="208B4C62"/>
    <w:rsid w:val="212435CF"/>
    <w:rsid w:val="21371D65"/>
    <w:rsid w:val="21F53E03"/>
    <w:rsid w:val="22221145"/>
    <w:rsid w:val="2222738F"/>
    <w:rsid w:val="22704B2D"/>
    <w:rsid w:val="22897DA2"/>
    <w:rsid w:val="228A7DDC"/>
    <w:rsid w:val="22E82D97"/>
    <w:rsid w:val="230829C5"/>
    <w:rsid w:val="243D02D8"/>
    <w:rsid w:val="259C77F7"/>
    <w:rsid w:val="263A491A"/>
    <w:rsid w:val="264A5E67"/>
    <w:rsid w:val="266B0573"/>
    <w:rsid w:val="269A0FD3"/>
    <w:rsid w:val="26CB6AC6"/>
    <w:rsid w:val="26FB5985"/>
    <w:rsid w:val="272B2AF9"/>
    <w:rsid w:val="27351CB2"/>
    <w:rsid w:val="2746225A"/>
    <w:rsid w:val="277056DD"/>
    <w:rsid w:val="27840FE1"/>
    <w:rsid w:val="27995F60"/>
    <w:rsid w:val="28025039"/>
    <w:rsid w:val="28137FD5"/>
    <w:rsid w:val="28762832"/>
    <w:rsid w:val="292F1373"/>
    <w:rsid w:val="29547061"/>
    <w:rsid w:val="297C6320"/>
    <w:rsid w:val="298C7B83"/>
    <w:rsid w:val="2A375D41"/>
    <w:rsid w:val="2A4933AC"/>
    <w:rsid w:val="2A6A3142"/>
    <w:rsid w:val="2AC73233"/>
    <w:rsid w:val="2B240EE6"/>
    <w:rsid w:val="2B2E0A5A"/>
    <w:rsid w:val="2B6F1F22"/>
    <w:rsid w:val="2CAE3B45"/>
    <w:rsid w:val="2D515207"/>
    <w:rsid w:val="2DA313B9"/>
    <w:rsid w:val="2DE735DA"/>
    <w:rsid w:val="2EF04F32"/>
    <w:rsid w:val="2F7D7F41"/>
    <w:rsid w:val="2F9B5E1F"/>
    <w:rsid w:val="2FFE4C0B"/>
    <w:rsid w:val="304647E5"/>
    <w:rsid w:val="30656833"/>
    <w:rsid w:val="306C1463"/>
    <w:rsid w:val="30720C99"/>
    <w:rsid w:val="31006CAB"/>
    <w:rsid w:val="31D52DEE"/>
    <w:rsid w:val="32026D9C"/>
    <w:rsid w:val="32144BB9"/>
    <w:rsid w:val="32192CB0"/>
    <w:rsid w:val="323F1C36"/>
    <w:rsid w:val="32B41BE1"/>
    <w:rsid w:val="32C9470B"/>
    <w:rsid w:val="32F22914"/>
    <w:rsid w:val="330E08EF"/>
    <w:rsid w:val="333E5700"/>
    <w:rsid w:val="33471816"/>
    <w:rsid w:val="33645DFE"/>
    <w:rsid w:val="33AC7705"/>
    <w:rsid w:val="33BC6B28"/>
    <w:rsid w:val="33C53AAF"/>
    <w:rsid w:val="33CB7921"/>
    <w:rsid w:val="33DA54F0"/>
    <w:rsid w:val="33E02FA5"/>
    <w:rsid w:val="33EB13DE"/>
    <w:rsid w:val="340000AC"/>
    <w:rsid w:val="342F7A89"/>
    <w:rsid w:val="34326629"/>
    <w:rsid w:val="3436555C"/>
    <w:rsid w:val="34474626"/>
    <w:rsid w:val="34D74F44"/>
    <w:rsid w:val="3521751B"/>
    <w:rsid w:val="35303AB8"/>
    <w:rsid w:val="35921351"/>
    <w:rsid w:val="35AF2B08"/>
    <w:rsid w:val="35DE6650"/>
    <w:rsid w:val="36963DEF"/>
    <w:rsid w:val="36EC3A0F"/>
    <w:rsid w:val="371A057C"/>
    <w:rsid w:val="373F6673"/>
    <w:rsid w:val="374D3268"/>
    <w:rsid w:val="377D6D5D"/>
    <w:rsid w:val="379654DD"/>
    <w:rsid w:val="384A1F02"/>
    <w:rsid w:val="38887767"/>
    <w:rsid w:val="38F757BE"/>
    <w:rsid w:val="392679C6"/>
    <w:rsid w:val="394F385D"/>
    <w:rsid w:val="3968465A"/>
    <w:rsid w:val="39696AC7"/>
    <w:rsid w:val="3990700B"/>
    <w:rsid w:val="3A1E3ECA"/>
    <w:rsid w:val="3A961FC4"/>
    <w:rsid w:val="3AB66084"/>
    <w:rsid w:val="3ACD0224"/>
    <w:rsid w:val="3AE90FAD"/>
    <w:rsid w:val="3B327BD4"/>
    <w:rsid w:val="3B741A64"/>
    <w:rsid w:val="3BE4429B"/>
    <w:rsid w:val="3BED5ECE"/>
    <w:rsid w:val="3BF263EC"/>
    <w:rsid w:val="3C686097"/>
    <w:rsid w:val="3CAA7A33"/>
    <w:rsid w:val="3D3918BA"/>
    <w:rsid w:val="3D5A7DFA"/>
    <w:rsid w:val="3DAD3DC0"/>
    <w:rsid w:val="3DDC372D"/>
    <w:rsid w:val="3E582318"/>
    <w:rsid w:val="3E7C0E1E"/>
    <w:rsid w:val="3F2006FA"/>
    <w:rsid w:val="3F471A01"/>
    <w:rsid w:val="3F71360C"/>
    <w:rsid w:val="40CF4BCB"/>
    <w:rsid w:val="413B5CBF"/>
    <w:rsid w:val="415B23B1"/>
    <w:rsid w:val="41BD4926"/>
    <w:rsid w:val="42100EF9"/>
    <w:rsid w:val="421F6412"/>
    <w:rsid w:val="42265FED"/>
    <w:rsid w:val="42320AA1"/>
    <w:rsid w:val="423927F0"/>
    <w:rsid w:val="429A12E2"/>
    <w:rsid w:val="42B53D78"/>
    <w:rsid w:val="42E3660E"/>
    <w:rsid w:val="436B0F98"/>
    <w:rsid w:val="43DB72E5"/>
    <w:rsid w:val="444C2D75"/>
    <w:rsid w:val="44695F79"/>
    <w:rsid w:val="44753D0C"/>
    <w:rsid w:val="44AF1E56"/>
    <w:rsid w:val="44C06983"/>
    <w:rsid w:val="44D36EE9"/>
    <w:rsid w:val="45937765"/>
    <w:rsid w:val="45945099"/>
    <w:rsid w:val="45D07E8C"/>
    <w:rsid w:val="45E701C3"/>
    <w:rsid w:val="46A50BDF"/>
    <w:rsid w:val="46A6540D"/>
    <w:rsid w:val="46D526BD"/>
    <w:rsid w:val="46FE0A76"/>
    <w:rsid w:val="470D52E1"/>
    <w:rsid w:val="47277D4D"/>
    <w:rsid w:val="472E597E"/>
    <w:rsid w:val="47D90785"/>
    <w:rsid w:val="48651873"/>
    <w:rsid w:val="48B50DDF"/>
    <w:rsid w:val="48BF4A4F"/>
    <w:rsid w:val="49581B60"/>
    <w:rsid w:val="496E58E1"/>
    <w:rsid w:val="49B02709"/>
    <w:rsid w:val="49D7069C"/>
    <w:rsid w:val="49E40B4A"/>
    <w:rsid w:val="49E8450A"/>
    <w:rsid w:val="4A057578"/>
    <w:rsid w:val="4A4549BE"/>
    <w:rsid w:val="4AED7191"/>
    <w:rsid w:val="4B15132F"/>
    <w:rsid w:val="4B16063F"/>
    <w:rsid w:val="4B1B5657"/>
    <w:rsid w:val="4B5930F3"/>
    <w:rsid w:val="4B987E0E"/>
    <w:rsid w:val="4BA708DA"/>
    <w:rsid w:val="4C0E641F"/>
    <w:rsid w:val="4C12528C"/>
    <w:rsid w:val="4C6C05BE"/>
    <w:rsid w:val="4CB8795D"/>
    <w:rsid w:val="4CF82CB6"/>
    <w:rsid w:val="4D2007CB"/>
    <w:rsid w:val="4D566D5D"/>
    <w:rsid w:val="4DA1334D"/>
    <w:rsid w:val="4DFC0F09"/>
    <w:rsid w:val="4E06030D"/>
    <w:rsid w:val="4E123A85"/>
    <w:rsid w:val="4E26024E"/>
    <w:rsid w:val="4E36032C"/>
    <w:rsid w:val="4E391E79"/>
    <w:rsid w:val="4E9764FE"/>
    <w:rsid w:val="4EAD0DF3"/>
    <w:rsid w:val="4F3B6524"/>
    <w:rsid w:val="4F684946"/>
    <w:rsid w:val="4F7C6CF2"/>
    <w:rsid w:val="504B61B3"/>
    <w:rsid w:val="504F0E3F"/>
    <w:rsid w:val="50585B66"/>
    <w:rsid w:val="506B2B4D"/>
    <w:rsid w:val="515D6038"/>
    <w:rsid w:val="517E0187"/>
    <w:rsid w:val="518D48C8"/>
    <w:rsid w:val="527542E7"/>
    <w:rsid w:val="527F3531"/>
    <w:rsid w:val="533802B0"/>
    <w:rsid w:val="53C64F3E"/>
    <w:rsid w:val="53C71634"/>
    <w:rsid w:val="53F15728"/>
    <w:rsid w:val="54177EC5"/>
    <w:rsid w:val="547942B0"/>
    <w:rsid w:val="54C56CFF"/>
    <w:rsid w:val="54E82D6A"/>
    <w:rsid w:val="54EC243A"/>
    <w:rsid w:val="54F05172"/>
    <w:rsid w:val="54F945E4"/>
    <w:rsid w:val="55173EF5"/>
    <w:rsid w:val="553B5E36"/>
    <w:rsid w:val="55547B5F"/>
    <w:rsid w:val="5579706C"/>
    <w:rsid w:val="56772E9D"/>
    <w:rsid w:val="567B09C5"/>
    <w:rsid w:val="56AC391A"/>
    <w:rsid w:val="56C02A99"/>
    <w:rsid w:val="56C119E2"/>
    <w:rsid w:val="56DF5D83"/>
    <w:rsid w:val="56FC7846"/>
    <w:rsid w:val="572E76B5"/>
    <w:rsid w:val="579378DD"/>
    <w:rsid w:val="57D35AE7"/>
    <w:rsid w:val="58787A12"/>
    <w:rsid w:val="589C308F"/>
    <w:rsid w:val="58CB3E9E"/>
    <w:rsid w:val="58D44761"/>
    <w:rsid w:val="58FC0B4E"/>
    <w:rsid w:val="5935236C"/>
    <w:rsid w:val="596F0EA4"/>
    <w:rsid w:val="59AD4E28"/>
    <w:rsid w:val="5A4168EC"/>
    <w:rsid w:val="5A9C623F"/>
    <w:rsid w:val="5AFB5530"/>
    <w:rsid w:val="5AFD5BE3"/>
    <w:rsid w:val="5B321A89"/>
    <w:rsid w:val="5B565890"/>
    <w:rsid w:val="5C383BEE"/>
    <w:rsid w:val="5CB85FBE"/>
    <w:rsid w:val="5DA55943"/>
    <w:rsid w:val="5DAD6008"/>
    <w:rsid w:val="5E2810B4"/>
    <w:rsid w:val="5E347319"/>
    <w:rsid w:val="5E706035"/>
    <w:rsid w:val="5E8F51E6"/>
    <w:rsid w:val="5EA27458"/>
    <w:rsid w:val="5F0651FE"/>
    <w:rsid w:val="5F464EFA"/>
    <w:rsid w:val="5F87465B"/>
    <w:rsid w:val="5FED5C6A"/>
    <w:rsid w:val="5FF13CC0"/>
    <w:rsid w:val="605B2A6C"/>
    <w:rsid w:val="607F5BB3"/>
    <w:rsid w:val="608F2ABA"/>
    <w:rsid w:val="60C00A3B"/>
    <w:rsid w:val="60E262D2"/>
    <w:rsid w:val="61A32153"/>
    <w:rsid w:val="62260A44"/>
    <w:rsid w:val="62464AC7"/>
    <w:rsid w:val="627A1C5F"/>
    <w:rsid w:val="62821148"/>
    <w:rsid w:val="62F936AE"/>
    <w:rsid w:val="63221024"/>
    <w:rsid w:val="6332776B"/>
    <w:rsid w:val="63E43B3C"/>
    <w:rsid w:val="640A0B5F"/>
    <w:rsid w:val="641A4AF2"/>
    <w:rsid w:val="643B19AE"/>
    <w:rsid w:val="645D4C87"/>
    <w:rsid w:val="646D78F8"/>
    <w:rsid w:val="647318F6"/>
    <w:rsid w:val="64771E19"/>
    <w:rsid w:val="64D133FE"/>
    <w:rsid w:val="64D13AEE"/>
    <w:rsid w:val="653278A8"/>
    <w:rsid w:val="6549774F"/>
    <w:rsid w:val="65974C05"/>
    <w:rsid w:val="65F12CD2"/>
    <w:rsid w:val="660516F0"/>
    <w:rsid w:val="665F74AA"/>
    <w:rsid w:val="66BE1197"/>
    <w:rsid w:val="66CC5FFA"/>
    <w:rsid w:val="670752CC"/>
    <w:rsid w:val="67896360"/>
    <w:rsid w:val="678D77D7"/>
    <w:rsid w:val="67E97973"/>
    <w:rsid w:val="68624E09"/>
    <w:rsid w:val="687B25AC"/>
    <w:rsid w:val="689F7BC5"/>
    <w:rsid w:val="68A91F3F"/>
    <w:rsid w:val="69425C9C"/>
    <w:rsid w:val="697B0A9F"/>
    <w:rsid w:val="69934FDB"/>
    <w:rsid w:val="69B10E15"/>
    <w:rsid w:val="69D72179"/>
    <w:rsid w:val="69F22AA0"/>
    <w:rsid w:val="6A502AF1"/>
    <w:rsid w:val="6A727FBB"/>
    <w:rsid w:val="6A814C99"/>
    <w:rsid w:val="6B04111E"/>
    <w:rsid w:val="6C3C4B05"/>
    <w:rsid w:val="6C602FC1"/>
    <w:rsid w:val="6C8240DF"/>
    <w:rsid w:val="6CB67B70"/>
    <w:rsid w:val="6CBD5C34"/>
    <w:rsid w:val="6D0E6419"/>
    <w:rsid w:val="6D3F61AF"/>
    <w:rsid w:val="6D7A6C9D"/>
    <w:rsid w:val="6D967268"/>
    <w:rsid w:val="6DAB5F89"/>
    <w:rsid w:val="6DE50ABF"/>
    <w:rsid w:val="6E1B793B"/>
    <w:rsid w:val="6E4C59D2"/>
    <w:rsid w:val="6EA81681"/>
    <w:rsid w:val="6EAF7916"/>
    <w:rsid w:val="6EDC5B3C"/>
    <w:rsid w:val="6F3B7F1C"/>
    <w:rsid w:val="6F66092A"/>
    <w:rsid w:val="6F6A3147"/>
    <w:rsid w:val="6FEF756B"/>
    <w:rsid w:val="6FF27194"/>
    <w:rsid w:val="6FF3686F"/>
    <w:rsid w:val="703F01BE"/>
    <w:rsid w:val="707A1AB0"/>
    <w:rsid w:val="70877F38"/>
    <w:rsid w:val="70FF06B1"/>
    <w:rsid w:val="71221260"/>
    <w:rsid w:val="713D7A09"/>
    <w:rsid w:val="721721D6"/>
    <w:rsid w:val="724D4D4F"/>
    <w:rsid w:val="72646F51"/>
    <w:rsid w:val="728F12F7"/>
    <w:rsid w:val="72AE4CE6"/>
    <w:rsid w:val="72CE0258"/>
    <w:rsid w:val="731E4E00"/>
    <w:rsid w:val="734423F8"/>
    <w:rsid w:val="734C133C"/>
    <w:rsid w:val="73863634"/>
    <w:rsid w:val="738A03FA"/>
    <w:rsid w:val="739B4217"/>
    <w:rsid w:val="73EA114C"/>
    <w:rsid w:val="73F93757"/>
    <w:rsid w:val="74DB42DE"/>
    <w:rsid w:val="75884B12"/>
    <w:rsid w:val="759C1992"/>
    <w:rsid w:val="75C52E99"/>
    <w:rsid w:val="76A333E3"/>
    <w:rsid w:val="76A46EC4"/>
    <w:rsid w:val="77040BB3"/>
    <w:rsid w:val="77E03A5B"/>
    <w:rsid w:val="78253852"/>
    <w:rsid w:val="782F2538"/>
    <w:rsid w:val="786A5F98"/>
    <w:rsid w:val="788C2B31"/>
    <w:rsid w:val="78E008E2"/>
    <w:rsid w:val="78E75809"/>
    <w:rsid w:val="78FA2932"/>
    <w:rsid w:val="78FD1714"/>
    <w:rsid w:val="79002D6F"/>
    <w:rsid w:val="79342C0C"/>
    <w:rsid w:val="796152BB"/>
    <w:rsid w:val="79EE4145"/>
    <w:rsid w:val="7A341BC9"/>
    <w:rsid w:val="7A6B3FE7"/>
    <w:rsid w:val="7ABE79F8"/>
    <w:rsid w:val="7B0D54F0"/>
    <w:rsid w:val="7B2F03D4"/>
    <w:rsid w:val="7B6A6A4B"/>
    <w:rsid w:val="7B837E78"/>
    <w:rsid w:val="7BDA25DA"/>
    <w:rsid w:val="7C033CE2"/>
    <w:rsid w:val="7C732E3F"/>
    <w:rsid w:val="7D7260C1"/>
    <w:rsid w:val="7DAD549A"/>
    <w:rsid w:val="7E040C0B"/>
    <w:rsid w:val="7E2A70C4"/>
    <w:rsid w:val="7E46038E"/>
    <w:rsid w:val="7E576A34"/>
    <w:rsid w:val="7EBC7738"/>
    <w:rsid w:val="7EDB2D96"/>
    <w:rsid w:val="7EDD59EE"/>
    <w:rsid w:val="7F681EFE"/>
    <w:rsid w:val="7F7B6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rPr>
      <w:rFonts w:ascii="Calibri" w:hAnsi="Calibri" w:cs="Calibri"/>
      <w:kern w:val="2"/>
      <w:sz w:val="21"/>
      <w:szCs w:val="22"/>
    </w:rPr>
    <w:tblPr>
      <w:tblCellMar>
        <w:top w:w="0" w:type="dxa"/>
        <w:left w:w="108" w:type="dxa"/>
        <w:bottom w:w="0" w:type="dxa"/>
        <w:right w:w="108" w:type="dxa"/>
      </w:tblCellMar>
    </w:tblPr>
  </w:style>
  <w:style w:type="paragraph" w:customStyle="1" w:styleId="2">
    <w:name w:val="BodyText1I"/>
    <w:basedOn w:val="1"/>
    <w:qFormat/>
    <w:uiPriority w:val="99"/>
    <w:pPr>
      <w:snapToGrid w:val="0"/>
      <w:spacing w:line="360" w:lineRule="auto"/>
      <w:ind w:firstLine="420" w:firstLineChars="100"/>
    </w:pPr>
    <w:rPr>
      <w:sz w:val="28"/>
      <w:szCs w:val="20"/>
    </w:rPr>
  </w:style>
  <w:style w:type="paragraph" w:styleId="3">
    <w:name w:val="Body Text Indent 2"/>
    <w:basedOn w:val="1"/>
    <w:unhideWhenUsed/>
    <w:qFormat/>
    <w:uiPriority w:val="0"/>
    <w:pPr>
      <w:ind w:firstLine="588" w:firstLineChars="200"/>
    </w:pPr>
    <w:rPr>
      <w:rFonts w:ascii="仿宋_GB2312" w:hAnsi="Calibri" w:eastAsia="仿宋_GB2312"/>
      <w:sz w:val="32"/>
    </w:rPr>
  </w:style>
  <w:style w:type="paragraph" w:styleId="4">
    <w:name w:val="footer"/>
    <w:basedOn w:val="1"/>
    <w:link w:val="11"/>
    <w:qFormat/>
    <w:uiPriority w:val="0"/>
    <w:pPr>
      <w:tabs>
        <w:tab w:val="center" w:pos="4153"/>
        <w:tab w:val="right" w:pos="8306"/>
      </w:tabs>
      <w:snapToGrid w:val="0"/>
      <w:jc w:val="left"/>
    </w:pPr>
    <w:rPr>
      <w:kern w:val="0"/>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style>
  <w:style w:type="character" w:styleId="10">
    <w:name w:val="Hyperlink"/>
    <w:basedOn w:val="8"/>
    <w:unhideWhenUsed/>
    <w:qFormat/>
    <w:uiPriority w:val="0"/>
    <w:rPr>
      <w:color w:val="0000FF"/>
      <w:u w:val="single"/>
    </w:rPr>
  </w:style>
  <w:style w:type="character" w:customStyle="1" w:styleId="11">
    <w:name w:val="页脚 Char"/>
    <w:link w:val="4"/>
    <w:qFormat/>
    <w:uiPriority w:val="0"/>
    <w:rPr>
      <w:rFonts w:eastAsia="宋体"/>
      <w:sz w:val="18"/>
      <w:szCs w:val="18"/>
      <w:lang w:bidi="ar-SA"/>
    </w:rPr>
  </w:style>
  <w:style w:type="character" w:customStyle="1" w:styleId="12">
    <w:name w:val="font01"/>
    <w:basedOn w:val="8"/>
    <w:qFormat/>
    <w:uiPriority w:val="0"/>
    <w:rPr>
      <w:rFonts w:ascii="Arial" w:hAnsi="Arial" w:cs="Arial"/>
      <w:b/>
      <w:color w:val="000000"/>
      <w:sz w:val="24"/>
      <w:szCs w:val="24"/>
      <w:u w:val="none"/>
    </w:rPr>
  </w:style>
  <w:style w:type="character" w:customStyle="1" w:styleId="13">
    <w:name w:val="font31"/>
    <w:basedOn w:val="8"/>
    <w:qFormat/>
    <w:uiPriority w:val="0"/>
    <w:rPr>
      <w:rFonts w:hint="eastAsia" w:ascii="宋体" w:hAnsi="宋体" w:eastAsia="宋体" w:cs="宋体"/>
      <w:b/>
      <w:color w:val="000000"/>
      <w:sz w:val="24"/>
      <w:szCs w:val="24"/>
      <w:u w:val="none"/>
    </w:rPr>
  </w:style>
  <w:style w:type="character" w:customStyle="1" w:styleId="14">
    <w:name w:val="标题 3 Char Char"/>
    <w:qFormat/>
    <w:uiPriority w:val="0"/>
    <w:rPr>
      <w:rFonts w:eastAsia="楷体_GB2312"/>
      <w:b/>
      <w:kern w:val="2"/>
      <w:sz w:val="32"/>
      <w:szCs w:val="24"/>
      <w:lang w:val="en-US" w:eastAsia="zh-CN" w:bidi="ar-SA"/>
    </w:rPr>
  </w:style>
  <w:style w:type="paragraph" w:customStyle="1" w:styleId="15">
    <w:name w:val=" Char"/>
    <w:basedOn w:val="1"/>
    <w:qFormat/>
    <w:uiPriority w:val="0"/>
    <w:pPr>
      <w:autoSpaceDE w:val="0"/>
      <w:autoSpaceDN w:val="0"/>
      <w:adjustRightInd w:val="0"/>
    </w:pPr>
    <w:rPr>
      <w:rFonts w:ascii="宋体" w:cs="宋体"/>
      <w:kern w:val="0"/>
      <w:sz w:val="20"/>
      <w:szCs w:val="20"/>
      <w:lang w:val="zh-CN"/>
    </w:rPr>
  </w:style>
  <w:style w:type="paragraph" w:customStyle="1" w:styleId="16">
    <w:name w:val=" Char1"/>
    <w:basedOn w:val="1"/>
    <w:qFormat/>
    <w:uiPriority w:val="0"/>
    <w:rPr>
      <w:rFonts w:ascii="仿宋_GB2312" w:eastAsia="仿宋_GB2312"/>
      <w:sz w:val="32"/>
    </w:rPr>
  </w:style>
  <w:style w:type="paragraph" w:customStyle="1" w:styleId="17">
    <w:name w:val="Char Char Char Char Char Char Char Char Char Char Char Char1 Char Char Char Char"/>
    <w:basedOn w:val="1"/>
    <w:qFormat/>
    <w:uiPriority w:val="0"/>
    <w:pPr>
      <w:numPr>
        <w:ilvl w:val="0"/>
        <w:numId w:val="1"/>
      </w:numPr>
      <w:tabs>
        <w:tab w:val="left" w:pos="720"/>
      </w:tabs>
    </w:pPr>
    <w:rPr>
      <w:szCs w:val="20"/>
    </w:rPr>
  </w:style>
  <w:style w:type="paragraph" w:styleId="1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Corporation</Company>
  <Pages>27</Pages>
  <Words>2092</Words>
  <Characters>11926</Characters>
  <Lines>99</Lines>
  <Paragraphs>27</Paragraphs>
  <TotalTime>1</TotalTime>
  <ScaleCrop>false</ScaleCrop>
  <LinksUpToDate>false</LinksUpToDate>
  <CharactersWithSpaces>13991</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2023-04-13T00:26:00Z</dcterms:created>
  <dc:creator>吴川 10.105.113.190</dc:creator>
  <cp:lastModifiedBy>Administrator</cp:lastModifiedBy>
  <cp:lastPrinted>2023-06-06T05:26:00Z</cp:lastPrinted>
  <dcterms:modified xsi:type="dcterms:W3CDTF">2023-07-05T03:20:42Z</dcterms:modified>
  <dc:title>岳阳市财政局文件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3F0E6105375447B38A455CEEF598417F</vt:lpwstr>
  </property>
</Properties>
</file>