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楷体_GB2312" w:hAnsi="宋体" w:eastAsia="楷体_GB2312"/>
          <w:b/>
          <w:sz w:val="32"/>
          <w:szCs w:val="32"/>
        </w:rPr>
      </w:pPr>
      <w:bookmarkStart w:id="0" w:name="_GoBack"/>
      <w:bookmarkEnd w:id="0"/>
    </w:p>
    <w:p>
      <w:pPr>
        <w:spacing w:line="1200" w:lineRule="exact"/>
        <w:ind w:firstLine="1285" w:firstLineChars="400"/>
        <w:rPr>
          <w:rFonts w:hint="default" w:ascii="楷体_GB2312" w:hAnsi="宋体" w:eastAsia="楷体_GB2312"/>
          <w:b/>
          <w:sz w:val="32"/>
          <w:szCs w:val="32"/>
          <w:lang w:val="en-US" w:eastAsia="zh-CN"/>
        </w:rPr>
      </w:pPr>
      <w:r>
        <w:rPr>
          <w:rFonts w:hint="eastAsia" w:ascii="楷体_GB2312" w:hAnsi="宋体" w:eastAsia="楷体_GB2312"/>
          <w:b/>
          <w:sz w:val="32"/>
          <w:szCs w:val="32"/>
          <w:lang w:eastAsia="zh-CN"/>
        </w:rPr>
        <w:t>岳阳市云溪区</w:t>
      </w:r>
      <w:r>
        <w:rPr>
          <w:rFonts w:hint="eastAsia" w:ascii="楷体_GB2312" w:hAnsi="宋体" w:eastAsia="楷体_GB2312"/>
          <w:b/>
          <w:sz w:val="32"/>
          <w:szCs w:val="32"/>
          <w:lang w:val="en-US" w:eastAsia="zh-CN"/>
        </w:rPr>
        <w:t>城南幼儿园建设专项债券</w:t>
      </w:r>
      <w:r>
        <w:rPr>
          <w:rFonts w:hint="eastAsia" w:ascii="楷体_GB2312" w:hAnsi="宋体" w:eastAsia="楷体_GB2312"/>
          <w:b/>
          <w:color w:val="auto"/>
          <w:sz w:val="32"/>
          <w:szCs w:val="32"/>
          <w:lang w:eastAsia="zh-CN"/>
        </w:rPr>
        <w:t>项目</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湘恒兴专审字（20</w:t>
      </w:r>
      <w:r>
        <w:rPr>
          <w:rFonts w:hint="eastAsia" w:ascii="楷体_GB2312" w:hAnsi="宋体" w:eastAsia="楷体_GB2312"/>
          <w:b/>
          <w:bCs/>
          <w:sz w:val="32"/>
          <w:szCs w:val="32"/>
          <w:lang w:val="en-US" w:eastAsia="zh-CN"/>
        </w:rPr>
        <w:t>23</w:t>
      </w:r>
      <w:r>
        <w:rPr>
          <w:rFonts w:hint="eastAsia" w:ascii="楷体_GB2312" w:hAnsi="宋体" w:eastAsia="楷体_GB2312"/>
          <w:b/>
          <w:bCs/>
          <w:sz w:val="32"/>
          <w:szCs w:val="32"/>
        </w:rPr>
        <w:t>）第0</w:t>
      </w:r>
      <w:r>
        <w:rPr>
          <w:rFonts w:hint="eastAsia" w:ascii="楷体_GB2312" w:hAnsi="宋体" w:eastAsia="楷体_GB2312"/>
          <w:b/>
          <w:bCs/>
          <w:sz w:val="32"/>
          <w:szCs w:val="32"/>
          <w:lang w:val="en-US" w:eastAsia="zh-CN"/>
        </w:rPr>
        <w:t>53</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hint="default" w:ascii="楷体_GB2312" w:hAnsi="宋体" w:eastAsia="楷体_GB2312"/>
          <w:b/>
          <w:bCs/>
          <w:spacing w:val="40"/>
          <w:sz w:val="30"/>
          <w:szCs w:val="30"/>
          <w:lang w:val="en-US" w:eastAsia="zh-CN"/>
        </w:rPr>
      </w:pPr>
      <w:r>
        <w:rPr>
          <w:rFonts w:hint="eastAsia" w:ascii="楷体_GB2312" w:hAnsi="宋体" w:eastAsia="楷体_GB2312"/>
          <w:b/>
          <w:bCs/>
          <w:spacing w:val="40"/>
          <w:sz w:val="32"/>
          <w:szCs w:val="32"/>
          <w:lang w:val="en-US" w:eastAsia="zh-CN"/>
        </w:rPr>
        <w:t xml:space="preserve">  </w:t>
      </w:r>
      <w:r>
        <w:rPr>
          <w:rFonts w:hint="eastAsia" w:ascii="楷体_GB2312" w:hAnsi="宋体" w:eastAsia="楷体_GB2312"/>
          <w:b/>
          <w:bCs/>
          <w:spacing w:val="40"/>
          <w:sz w:val="32"/>
          <w:szCs w:val="32"/>
        </w:rPr>
        <w:t>湖南恒兴联合会计师事务所</w:t>
      </w:r>
      <w:r>
        <w:rPr>
          <w:rFonts w:hint="eastAsia" w:ascii="楷体_GB2312" w:hAnsi="宋体" w:eastAsia="楷体_GB2312"/>
          <w:b/>
          <w:bCs/>
          <w:spacing w:val="40"/>
          <w:sz w:val="30"/>
          <w:szCs w:val="30"/>
          <w:lang w:eastAsia="zh-CN"/>
        </w:rPr>
        <w:t>（</w:t>
      </w:r>
      <w:r>
        <w:rPr>
          <w:rFonts w:hint="eastAsia" w:ascii="楷体_GB2312" w:hAnsi="宋体" w:eastAsia="楷体_GB2312"/>
          <w:b/>
          <w:bCs/>
          <w:spacing w:val="40"/>
          <w:sz w:val="30"/>
          <w:szCs w:val="30"/>
          <w:lang w:val="en-US" w:eastAsia="zh-CN"/>
        </w:rPr>
        <w:t>普通合伙）</w:t>
      </w:r>
    </w:p>
    <w:p>
      <w:pPr>
        <w:spacing w:line="760" w:lineRule="exact"/>
        <w:jc w:val="center"/>
        <w:rPr>
          <w:rFonts w:ascii="楷体_GB2312" w:hAnsi="宋体" w:eastAsia="楷体_GB2312"/>
          <w:b/>
          <w:bCs/>
          <w:sz w:val="32"/>
          <w:szCs w:val="32"/>
        </w:rPr>
      </w:pPr>
      <w:r>
        <w:rPr>
          <w:rFonts w:hint="eastAsia" w:ascii="楷体_GB2312" w:hAnsi="宋体" w:eastAsia="楷体_GB2312"/>
          <w:b/>
          <w:bCs/>
          <w:sz w:val="32"/>
          <w:szCs w:val="32"/>
        </w:rPr>
        <w:t>二0</w:t>
      </w:r>
      <w:r>
        <w:rPr>
          <w:rFonts w:hint="eastAsia" w:ascii="楷体_GB2312" w:hAnsi="宋体" w:eastAsia="楷体_GB2312"/>
          <w:b/>
          <w:bCs/>
          <w:sz w:val="32"/>
          <w:szCs w:val="32"/>
          <w:lang w:val="en-US" w:eastAsia="zh-CN"/>
        </w:rPr>
        <w:t>二三</w:t>
      </w:r>
      <w:r>
        <w:rPr>
          <w:rFonts w:hint="eastAsia" w:ascii="楷体_GB2312" w:hAnsi="宋体" w:eastAsia="楷体_GB2312"/>
          <w:b/>
          <w:bCs/>
          <w:sz w:val="32"/>
          <w:szCs w:val="32"/>
        </w:rPr>
        <w:t>年</w:t>
      </w:r>
      <w:r>
        <w:rPr>
          <w:rFonts w:hint="eastAsia" w:ascii="楷体_GB2312" w:hAnsi="宋体" w:eastAsia="楷体_GB2312"/>
          <w:b/>
          <w:bCs/>
          <w:sz w:val="32"/>
          <w:szCs w:val="32"/>
          <w:lang w:val="en-US" w:eastAsia="zh-CN"/>
        </w:rPr>
        <w:t>八</w:t>
      </w:r>
      <w:r>
        <w:rPr>
          <w:rFonts w:hint="eastAsia" w:ascii="楷体_GB2312" w:hAnsi="宋体" w:eastAsia="楷体_GB2312"/>
          <w:b/>
          <w:bCs/>
          <w:sz w:val="32"/>
          <w:szCs w:val="32"/>
        </w:rPr>
        <w:t>月</w:t>
      </w:r>
    </w:p>
    <w:p>
      <w:pPr>
        <w:spacing w:line="760" w:lineRule="exact"/>
        <w:ind w:firstLine="1446" w:firstLineChars="400"/>
        <w:jc w:val="both"/>
        <w:outlineLvl w:val="0"/>
        <w:rPr>
          <w:rFonts w:hint="eastAsia" w:ascii="黑体" w:hAnsi="黑体" w:eastAsia="黑体"/>
          <w:b/>
          <w:bCs/>
          <w:sz w:val="36"/>
          <w:szCs w:val="36"/>
        </w:rPr>
        <w:sectPr>
          <w:headerReference r:id="rId4" w:type="first"/>
          <w:headerReference r:id="rId3" w:type="default"/>
          <w:pgSz w:w="11906" w:h="16838"/>
          <w:pgMar w:top="1440" w:right="1644" w:bottom="1247" w:left="164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3855" w:firstLineChars="1200"/>
        <w:jc w:val="both"/>
        <w:textAlignment w:val="auto"/>
        <w:rPr>
          <w:rFonts w:hint="default" w:ascii="宋体" w:hAnsi="宋体" w:eastAsia="宋体" w:cs="宋体"/>
          <w:b/>
          <w:sz w:val="40"/>
          <w:szCs w:val="40"/>
          <w:lang w:val="en-US" w:eastAsia="zh-CN"/>
        </w:rPr>
      </w:pPr>
      <w:r>
        <w:rPr>
          <w:rFonts w:hint="eastAsia" w:ascii="宋体" w:hAnsi="宋体" w:eastAsia="宋体" w:cs="宋体"/>
          <w:b/>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distribute"/>
        <w:textAlignment w:val="auto"/>
        <w:rPr>
          <w:rFonts w:hint="eastAsia" w:ascii="宋体" w:hAnsi="宋体" w:eastAsia="宋体" w:cs="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内容简介............................................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一、基本情况</w:t>
      </w:r>
      <w:r>
        <w:rPr>
          <w:rFonts w:hint="eastAsia" w:ascii="宋体" w:hAnsi="宋体" w:eastAsia="宋体" w:cs="宋体"/>
          <w:b/>
          <w:bCs w:val="0"/>
          <w:sz w:val="21"/>
          <w:szCs w:val="21"/>
          <w:lang w:val="en-US" w:eastAsia="zh-CN"/>
        </w:rPr>
        <w:t>...................................................1</w:t>
      </w:r>
    </w:p>
    <w:p>
      <w:pPr>
        <w:keepNext w:val="0"/>
        <w:keepLines w:val="0"/>
        <w:pageBreakBefore w:val="0"/>
        <w:widowControl/>
        <w:shd w:val="clear" w:color="auto" w:fill="FFFFFF"/>
        <w:kinsoku/>
        <w:wordWrap/>
        <w:overflowPunct/>
        <w:topLinePunct w:val="0"/>
        <w:autoSpaceDE/>
        <w:bidi w:val="0"/>
        <w:snapToGrid/>
        <w:spacing w:line="360" w:lineRule="exact"/>
        <w:ind w:firstLine="422" w:firstLineChars="200"/>
        <w:jc w:val="distribute"/>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zh-CN"/>
        </w:rPr>
        <w:t>（一）</w:t>
      </w:r>
      <w:r>
        <w:rPr>
          <w:rFonts w:hint="eastAsia" w:ascii="宋体" w:hAnsi="宋体" w:eastAsia="宋体" w:cs="宋体"/>
          <w:b/>
          <w:bCs w:val="0"/>
          <w:kern w:val="0"/>
          <w:sz w:val="21"/>
          <w:szCs w:val="21"/>
          <w:lang w:val="en-US" w:eastAsia="zh-CN"/>
        </w:rPr>
        <w:t>项目</w:t>
      </w:r>
      <w:r>
        <w:rPr>
          <w:rFonts w:hint="eastAsia" w:ascii="宋体" w:hAnsi="宋体" w:eastAsia="宋体" w:cs="宋体"/>
          <w:b/>
          <w:bCs w:val="0"/>
          <w:kern w:val="0"/>
          <w:sz w:val="21"/>
          <w:szCs w:val="21"/>
          <w:lang w:val="zh-CN"/>
        </w:rPr>
        <w:t>概况</w:t>
      </w:r>
      <w:r>
        <w:rPr>
          <w:rFonts w:hint="eastAsia" w:ascii="宋体" w:hAnsi="宋体" w:eastAsia="宋体" w:cs="宋体"/>
          <w:b/>
          <w:bCs w:val="0"/>
          <w:kern w:val="0"/>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项目背景</w:t>
      </w:r>
      <w:r>
        <w:rPr>
          <w:rFonts w:hint="eastAsia" w:ascii="宋体" w:hAnsi="宋体" w:eastAsia="宋体" w:cs="宋体"/>
          <w:b w:val="0"/>
          <w:bCs/>
          <w:color w:val="auto"/>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2.项目基本情况.................................................2</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3.项目实际建设规模及内容.......................................2</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exact"/>
        <w:ind w:firstLine="422" w:firstLineChars="200"/>
        <w:jc w:val="distribute"/>
        <w:textAlignment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kern w:val="0"/>
          <w:sz w:val="21"/>
          <w:szCs w:val="21"/>
          <w:lang w:val="en-US" w:eastAsia="zh-CN"/>
        </w:rPr>
        <w:t>（二）项目资金情况</w:t>
      </w:r>
      <w:r>
        <w:rPr>
          <w:rFonts w:hint="eastAsia" w:ascii="宋体" w:hAnsi="宋体" w:eastAsia="宋体" w:cs="宋体"/>
          <w:b/>
          <w:bCs w:val="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1.项目计划总投资及资金来源</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sz w:val="21"/>
          <w:szCs w:val="21"/>
          <w:highlight w:val="none"/>
          <w:lang w:val="en-US" w:eastAsia="zh-CN"/>
        </w:rPr>
        <w:t xml:space="preserve">   </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2.专项债券资金基本性质及用途</w:t>
      </w:r>
      <w:r>
        <w:rPr>
          <w:rFonts w:hint="eastAsia" w:ascii="宋体" w:hAnsi="宋体" w:eastAsia="宋体" w:cs="宋体"/>
          <w:b w:val="0"/>
          <w:bCs/>
          <w:color w:val="auto"/>
          <w:sz w:val="21"/>
          <w:szCs w:val="21"/>
          <w:lang w:val="en-US" w:eastAsia="zh-CN"/>
        </w:rPr>
        <w:t>...................................3</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3.预期收益及偿债资金来源</w:t>
      </w:r>
      <w:r>
        <w:rPr>
          <w:rFonts w:hint="eastAsia" w:ascii="宋体" w:hAnsi="宋体" w:eastAsia="宋体" w:cs="宋体"/>
          <w:b w:val="0"/>
          <w:bCs/>
          <w:color w:val="auto"/>
          <w:sz w:val="21"/>
          <w:szCs w:val="21"/>
          <w:lang w:val="en-US" w:eastAsia="zh-CN"/>
        </w:rPr>
        <w:t>.......................................3</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4.资金到帐情况</w:t>
      </w:r>
      <w:r>
        <w:rPr>
          <w:rFonts w:hint="eastAsia" w:ascii="宋体" w:hAnsi="宋体" w:eastAsia="宋体" w:cs="宋体"/>
          <w:b w:val="0"/>
          <w:bCs/>
          <w:color w:val="auto"/>
          <w:sz w:val="21"/>
          <w:szCs w:val="21"/>
          <w:lang w:val="en-US" w:eastAsia="zh-CN"/>
        </w:rPr>
        <w:t>.................................................3</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5.项目资金实际收、支总体情况</w:t>
      </w:r>
      <w:r>
        <w:rPr>
          <w:rFonts w:hint="eastAsia" w:ascii="宋体" w:hAnsi="宋体" w:eastAsia="宋体" w:cs="宋体"/>
          <w:b w:val="0"/>
          <w:bCs/>
          <w:color w:val="auto"/>
          <w:sz w:val="21"/>
          <w:szCs w:val="21"/>
          <w:lang w:val="en-US" w:eastAsia="zh-CN"/>
        </w:rPr>
        <w:t>...................................3</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6.资金使用情况</w:t>
      </w:r>
      <w:r>
        <w:rPr>
          <w:rFonts w:hint="eastAsia" w:ascii="宋体" w:hAnsi="宋体" w:eastAsia="宋体" w:cs="宋体"/>
          <w:b w:val="0"/>
          <w:bCs/>
          <w:color w:val="auto"/>
          <w:sz w:val="21"/>
          <w:szCs w:val="21"/>
          <w:lang w:val="en-US" w:eastAsia="zh-CN"/>
        </w:rPr>
        <w:t>.................................................4</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7.应付未付情况</w:t>
      </w:r>
      <w:r>
        <w:rPr>
          <w:rFonts w:hint="eastAsia" w:ascii="宋体" w:hAnsi="宋体" w:eastAsia="宋体" w:cs="宋体"/>
          <w:b w:val="0"/>
          <w:bCs/>
          <w:color w:val="auto"/>
          <w:sz w:val="21"/>
          <w:szCs w:val="21"/>
          <w:lang w:val="en-US" w:eastAsia="zh-CN"/>
        </w:rPr>
        <w:t>.................................................5</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firstLine="422" w:firstLine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（三）项目绩效目标</w:t>
      </w:r>
      <w:r>
        <w:rPr>
          <w:rFonts w:hint="eastAsia" w:ascii="宋体" w:hAnsi="宋体" w:eastAsia="宋体" w:cs="宋体"/>
          <w:b/>
          <w:bCs w:val="0"/>
          <w:sz w:val="21"/>
          <w:szCs w:val="21"/>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sz w:val="21"/>
          <w:szCs w:val="21"/>
          <w:highlight w:val="none"/>
          <w:lang w:val="en-US" w:eastAsia="zh-CN"/>
        </w:rPr>
        <w:t>1.总体目标</w:t>
      </w:r>
      <w:r>
        <w:rPr>
          <w:rFonts w:hint="eastAsia" w:ascii="宋体" w:hAnsi="宋体" w:eastAsia="宋体" w:cs="宋体"/>
          <w:b w:val="0"/>
          <w:bCs/>
          <w:color w:val="auto"/>
          <w:sz w:val="21"/>
          <w:szCs w:val="21"/>
          <w:lang w:val="en-US" w:eastAsia="zh-CN"/>
        </w:rPr>
        <w:t>.....................................................6</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2.具体目标任务</w:t>
      </w:r>
      <w:r>
        <w:rPr>
          <w:rFonts w:hint="eastAsia" w:ascii="宋体" w:hAnsi="宋体" w:eastAsia="宋体" w:cs="宋体"/>
          <w:b w:val="0"/>
          <w:bCs/>
          <w:color w:val="auto"/>
          <w:sz w:val="21"/>
          <w:szCs w:val="21"/>
          <w:lang w:val="en-US" w:eastAsia="zh-CN"/>
        </w:rPr>
        <w:t>.................................................6</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000000"/>
          <w:sz w:val="21"/>
          <w:szCs w:val="21"/>
          <w:lang w:val="en-US" w:eastAsia="zh-CN"/>
        </w:rPr>
        <w:t>3.项目效率效果及幼儿家长满意度目标</w:t>
      </w:r>
      <w:r>
        <w:rPr>
          <w:rFonts w:hint="eastAsia" w:ascii="宋体" w:hAnsi="宋体" w:eastAsia="宋体" w:cs="宋体"/>
          <w:b w:val="0"/>
          <w:bCs/>
          <w:color w:val="auto"/>
          <w:sz w:val="21"/>
          <w:szCs w:val="21"/>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distribute"/>
        <w:textAlignment w:val="auto"/>
        <w:rPr>
          <w:rFonts w:hint="eastAsia" w:ascii="宋体" w:hAnsi="宋体" w:eastAsia="宋体" w:cs="宋体"/>
          <w:b/>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color w:val="auto"/>
          <w:sz w:val="21"/>
          <w:szCs w:val="21"/>
          <w:lang w:val="en-US" w:eastAsia="zh-CN"/>
        </w:rPr>
        <w:t>二、绩效评价工作情况</w:t>
      </w:r>
      <w:r>
        <w:rPr>
          <w:rFonts w:hint="eastAsia" w:ascii="宋体" w:hAnsi="宋体" w:eastAsia="宋体" w:cs="宋体"/>
          <w:b/>
          <w:bCs w:val="0"/>
          <w:sz w:val="21"/>
          <w:szCs w:val="21"/>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（一）债券资金绩效评价目的</w:t>
      </w:r>
      <w:r>
        <w:rPr>
          <w:rFonts w:hint="eastAsia" w:ascii="宋体" w:hAnsi="宋体" w:eastAsia="宋体" w:cs="宋体"/>
          <w:b/>
          <w:bCs w:val="0"/>
          <w:sz w:val="21"/>
          <w:szCs w:val="21"/>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（二）绩效评价对象、内容、范围及时段</w:t>
      </w:r>
      <w:r>
        <w:rPr>
          <w:rFonts w:hint="eastAsia" w:ascii="宋体" w:hAnsi="宋体" w:eastAsia="宋体" w:cs="宋体"/>
          <w:b/>
          <w:bCs w:val="0"/>
          <w:sz w:val="21"/>
          <w:szCs w:val="21"/>
          <w:lang w:val="en-US" w:eastAsia="zh-CN"/>
        </w:rPr>
        <w:t>................................8</w:t>
      </w:r>
    </w:p>
    <w:p>
      <w:pPr>
        <w:keepNext w:val="0"/>
        <w:keepLines w:val="0"/>
        <w:pageBreakBefore w:val="0"/>
        <w:widowControl w:val="0"/>
        <w:kinsoku/>
        <w:wordWrap/>
        <w:overflowPunct/>
        <w:topLinePunct w:val="0"/>
        <w:autoSpaceDE/>
        <w:autoSpaceDN/>
        <w:bidi w:val="0"/>
        <w:snapToGrid/>
        <w:spacing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1、评价对象</w:t>
      </w:r>
      <w:r>
        <w:rPr>
          <w:rFonts w:hint="eastAsia" w:ascii="宋体" w:hAnsi="宋体" w:eastAsia="宋体" w:cs="宋体"/>
          <w:b w:val="0"/>
          <w:bCs/>
          <w:color w:val="auto"/>
          <w:sz w:val="21"/>
          <w:szCs w:val="21"/>
          <w:lang w:val="en-US" w:eastAsia="zh-CN"/>
        </w:rPr>
        <w:t>....................................................8</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2、评价范围及时段</w:t>
      </w:r>
      <w:r>
        <w:rPr>
          <w:rFonts w:hint="eastAsia" w:ascii="宋体" w:hAnsi="宋体" w:eastAsia="宋体" w:cs="宋体"/>
          <w:b w:val="0"/>
          <w:bCs/>
          <w:color w:val="auto"/>
          <w:sz w:val="21"/>
          <w:szCs w:val="21"/>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i w:val="0"/>
          <w:caps w:val="0"/>
          <w:color w:val="333333"/>
          <w:spacing w:val="0"/>
          <w:sz w:val="21"/>
          <w:szCs w:val="21"/>
          <w:shd w:val="clear" w:color="auto" w:fill="FFFFFF"/>
          <w:lang w:val="en-US" w:eastAsia="zh-CN"/>
        </w:rPr>
      </w:pPr>
      <w:r>
        <w:rPr>
          <w:rFonts w:hint="eastAsia" w:ascii="宋体" w:hAnsi="宋体" w:eastAsia="宋体" w:cs="宋体"/>
          <w:b w:val="0"/>
          <w:bCs/>
          <w:sz w:val="21"/>
          <w:szCs w:val="21"/>
          <w:lang w:val="en-US" w:eastAsia="zh-CN"/>
        </w:rPr>
        <w:t>3、评价主要内容</w:t>
      </w:r>
      <w:r>
        <w:rPr>
          <w:rFonts w:hint="eastAsia" w:ascii="宋体" w:hAnsi="宋体" w:eastAsia="宋体" w:cs="宋体"/>
          <w:b w:val="0"/>
          <w:bCs/>
          <w:color w:val="auto"/>
          <w:sz w:val="21"/>
          <w:szCs w:val="21"/>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kern w:val="0"/>
          <w:sz w:val="21"/>
          <w:szCs w:val="21"/>
          <w:lang w:val="en-US" w:eastAsia="zh-CN"/>
        </w:rPr>
        <w:t>（三）绩效评价依据</w:t>
      </w:r>
      <w:r>
        <w:rPr>
          <w:rFonts w:hint="eastAsia" w:ascii="宋体" w:hAnsi="宋体" w:eastAsia="宋体" w:cs="宋体"/>
          <w:b/>
          <w:bCs w:val="0"/>
          <w:sz w:val="21"/>
          <w:szCs w:val="21"/>
          <w:lang w:val="en-US" w:eastAsia="zh-CN"/>
        </w:rPr>
        <w:t>.............................................8</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0" w:firstLineChars="200"/>
        <w:jc w:val="distribute"/>
        <w:textAlignment w:val="auto"/>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政府专项债券资金管理相关文件</w:t>
      </w:r>
      <w:r>
        <w:rPr>
          <w:rFonts w:hint="eastAsia" w:ascii="宋体" w:hAnsi="宋体" w:eastAsia="宋体" w:cs="宋体"/>
          <w:b w:val="0"/>
          <w:bCs/>
          <w:color w:val="auto"/>
          <w:sz w:val="21"/>
          <w:szCs w:val="21"/>
          <w:lang w:val="en-US" w:eastAsia="zh-CN"/>
        </w:rPr>
        <w:t>.................................8</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2.行业相关建设标准和技术规范</w:t>
      </w:r>
      <w:r>
        <w:rPr>
          <w:rFonts w:hint="eastAsia" w:ascii="宋体" w:hAnsi="宋体" w:eastAsia="宋体" w:cs="宋体"/>
          <w:b w:val="0"/>
          <w:bCs/>
          <w:color w:val="auto"/>
          <w:sz w:val="21"/>
          <w:szCs w:val="21"/>
          <w:lang w:val="en-US" w:eastAsia="zh-CN"/>
        </w:rPr>
        <w:t>...................................8</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3.项目建设相关资料</w:t>
      </w:r>
      <w:r>
        <w:rPr>
          <w:rFonts w:hint="eastAsia" w:ascii="宋体" w:hAnsi="宋体" w:eastAsia="宋体" w:cs="宋体"/>
          <w:b w:val="0"/>
          <w:bCs/>
          <w:color w:val="auto"/>
          <w:sz w:val="21"/>
          <w:szCs w:val="21"/>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kern w:val="0"/>
          <w:sz w:val="21"/>
          <w:szCs w:val="21"/>
          <w:lang w:val="en-US" w:eastAsia="zh-CN"/>
        </w:rPr>
        <w:t>（四）绩效评价原则、指标评价体系、评价方法..............</w:t>
      </w:r>
      <w:r>
        <w:rPr>
          <w:rFonts w:hint="eastAsia" w:ascii="宋体" w:hAnsi="宋体" w:eastAsia="宋体" w:cs="宋体"/>
          <w:b/>
          <w:bCs w:val="0"/>
          <w:sz w:val="21"/>
          <w:szCs w:val="21"/>
          <w:lang w:val="en-US" w:eastAsia="zh-CN"/>
        </w:rPr>
        <w:t>............9</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color w:val="auto"/>
          <w:sz w:val="21"/>
          <w:szCs w:val="21"/>
          <w:lang w:val="en-US" w:eastAsia="zh-CN"/>
        </w:rPr>
        <w:t>政府债券项目</w:t>
      </w:r>
      <w:r>
        <w:rPr>
          <w:rFonts w:hint="eastAsia" w:ascii="宋体" w:hAnsi="宋体" w:eastAsia="宋体" w:cs="宋体"/>
          <w:b w:val="0"/>
          <w:bCs/>
          <w:sz w:val="21"/>
          <w:szCs w:val="21"/>
        </w:rPr>
        <w:t>绩效评价原则</w:t>
      </w:r>
      <w:r>
        <w:rPr>
          <w:rFonts w:hint="eastAsia" w:ascii="宋体" w:hAnsi="宋体" w:eastAsia="宋体" w:cs="宋体"/>
          <w:b w:val="0"/>
          <w:bCs/>
          <w:color w:val="auto"/>
          <w:sz w:val="21"/>
          <w:szCs w:val="21"/>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2.项目</w:t>
      </w:r>
      <w:r>
        <w:rPr>
          <w:rFonts w:hint="eastAsia" w:ascii="宋体" w:hAnsi="宋体" w:eastAsia="宋体" w:cs="宋体"/>
          <w:b w:val="0"/>
          <w:bCs/>
          <w:sz w:val="21"/>
          <w:szCs w:val="21"/>
        </w:rPr>
        <w:t>支出绩效评价体系</w:t>
      </w:r>
      <w:r>
        <w:rPr>
          <w:rFonts w:hint="eastAsia" w:ascii="宋体" w:hAnsi="宋体" w:eastAsia="宋体" w:cs="宋体"/>
          <w:b w:val="0"/>
          <w:bCs/>
          <w:color w:val="auto"/>
          <w:sz w:val="21"/>
          <w:szCs w:val="21"/>
          <w:lang w:val="en-US" w:eastAsia="zh-CN"/>
        </w:rPr>
        <w:t>.........................................9</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3.评分标准</w:t>
      </w:r>
      <w:r>
        <w:rPr>
          <w:rFonts w:hint="eastAsia" w:ascii="宋体" w:hAnsi="宋体" w:eastAsia="宋体" w:cs="宋体"/>
          <w:b w:val="0"/>
          <w:bCs/>
          <w:color w:val="auto"/>
          <w:sz w:val="21"/>
          <w:szCs w:val="21"/>
          <w:lang w:val="en-US" w:eastAsia="zh-CN"/>
        </w:rPr>
        <w:t>.....................................................9</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绩效评价方法</w:t>
      </w:r>
      <w:r>
        <w:rPr>
          <w:rFonts w:hint="eastAsia" w:ascii="宋体" w:hAnsi="宋体" w:eastAsia="宋体" w:cs="宋体"/>
          <w:b w:val="0"/>
          <w:bCs/>
          <w:color w:val="auto"/>
          <w:sz w:val="21"/>
          <w:szCs w:val="21"/>
          <w:lang w:val="en-US" w:eastAsia="zh-CN"/>
        </w:rPr>
        <w:t>.................................................9</w:t>
      </w:r>
    </w:p>
    <w:p>
      <w:pPr>
        <w:keepNext w:val="0"/>
        <w:keepLines w:val="0"/>
        <w:pageBreakBefore w:val="0"/>
        <w:widowControl/>
        <w:shd w:val="clear" w:color="auto" w:fill="FFFFFF"/>
        <w:kinsoku/>
        <w:wordWrap/>
        <w:overflowPunct/>
        <w:topLinePunct w:val="0"/>
        <w:autoSpaceDE/>
        <w:bidi w:val="0"/>
        <w:snapToGrid/>
        <w:spacing w:line="360" w:lineRule="exact"/>
        <w:ind w:firstLine="422" w:firstLineChars="200"/>
        <w:jc w:val="distribute"/>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（五）绩效评价过程</w:t>
      </w:r>
      <w:r>
        <w:rPr>
          <w:rFonts w:hint="eastAsia" w:ascii="宋体" w:hAnsi="宋体" w:eastAsia="宋体" w:cs="宋体"/>
          <w:b/>
          <w:bCs w:val="0"/>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lang w:val="en-US"/>
        </w:rPr>
      </w:pP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前期准备</w:t>
      </w:r>
      <w:r>
        <w:rPr>
          <w:rFonts w:hint="eastAsia" w:ascii="宋体" w:hAnsi="宋体" w:eastAsia="宋体" w:cs="宋体"/>
          <w:b w:val="0"/>
          <w:bCs/>
          <w:color w:val="auto"/>
          <w:sz w:val="21"/>
          <w:szCs w:val="21"/>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lang w:val="en-US" w:eastAsia="zh-CN"/>
        </w:rPr>
        <w:sectPr>
          <w:headerReference r:id="rId5" w:type="default"/>
          <w:footerReference r:id="rId6" w:type="default"/>
          <w:pgSz w:w="11906" w:h="16838"/>
          <w:pgMar w:top="1440" w:right="1644" w:bottom="1247" w:left="1644"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highlight w:val="none"/>
          <w:lang w:val="en-US" w:eastAsia="zh-CN"/>
        </w:rPr>
        <w:t>具体</w:t>
      </w:r>
      <w:r>
        <w:rPr>
          <w:rFonts w:hint="eastAsia" w:ascii="宋体" w:hAnsi="宋体" w:eastAsia="宋体" w:cs="宋体"/>
          <w:b w:val="0"/>
          <w:bCs/>
          <w:sz w:val="21"/>
          <w:szCs w:val="21"/>
          <w:highlight w:val="none"/>
        </w:rPr>
        <w:t>实施</w:t>
      </w:r>
      <w:r>
        <w:rPr>
          <w:rFonts w:hint="eastAsia" w:ascii="宋体" w:hAnsi="宋体" w:eastAsia="宋体" w:cs="宋体"/>
          <w:b w:val="0"/>
          <w:bCs/>
          <w:sz w:val="21"/>
          <w:szCs w:val="21"/>
          <w:highlight w:val="none"/>
          <w:lang w:val="en-US" w:eastAsia="zh-CN"/>
        </w:rPr>
        <w:t>情况</w:t>
      </w:r>
      <w:r>
        <w:rPr>
          <w:rFonts w:hint="eastAsia" w:ascii="宋体" w:hAnsi="宋体" w:eastAsia="宋体" w:cs="宋体"/>
          <w:b w:val="0"/>
          <w:bCs/>
          <w:color w:val="auto"/>
          <w:sz w:val="21"/>
          <w:szCs w:val="21"/>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分析评价</w:t>
      </w:r>
      <w:r>
        <w:rPr>
          <w:rFonts w:hint="eastAsia" w:ascii="宋体" w:hAnsi="宋体" w:eastAsia="宋体" w:cs="宋体"/>
          <w:b w:val="0"/>
          <w:bCs/>
          <w:color w:val="auto"/>
          <w:sz w:val="21"/>
          <w:szCs w:val="21"/>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绩效评价报告</w:t>
      </w:r>
      <w:r>
        <w:rPr>
          <w:rFonts w:hint="eastAsia" w:ascii="宋体" w:hAnsi="宋体" w:eastAsia="宋体" w:cs="宋体"/>
          <w:b w:val="0"/>
          <w:bCs/>
          <w:sz w:val="21"/>
          <w:szCs w:val="21"/>
          <w:lang w:val="en-US" w:eastAsia="zh-CN"/>
        </w:rPr>
        <w:t>的形成</w:t>
      </w:r>
      <w:r>
        <w:rPr>
          <w:rFonts w:hint="eastAsia" w:ascii="宋体" w:hAnsi="宋体" w:eastAsia="宋体" w:cs="宋体"/>
          <w:b w:val="0"/>
          <w:bCs/>
          <w:color w:val="auto"/>
          <w:sz w:val="21"/>
          <w:szCs w:val="21"/>
          <w:lang w:val="en-US" w:eastAsia="zh-CN"/>
        </w:rPr>
        <w:t>..........................................11</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2" w:firstLineChars="200"/>
        <w:jc w:val="distribute"/>
        <w:textAlignment w:val="auto"/>
        <w:rPr>
          <w:rFonts w:hint="eastAsia" w:ascii="宋体" w:hAnsi="宋体" w:eastAsia="宋体" w:cs="宋体"/>
          <w:b/>
          <w:bCs w:val="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2" w:firstLineChars="200"/>
        <w:jc w:val="distribute"/>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三、绩效评价结论和绩效分析</w:t>
      </w:r>
      <w:r>
        <w:rPr>
          <w:rFonts w:hint="eastAsia" w:ascii="宋体" w:hAnsi="宋体" w:eastAsia="宋体" w:cs="宋体"/>
          <w:b/>
          <w:bCs w:val="0"/>
          <w:sz w:val="21"/>
          <w:szCs w:val="21"/>
          <w:lang w:val="en-US" w:eastAsia="zh-CN"/>
        </w:rPr>
        <w:t>....................................11</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2" w:firstLine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（一）评价结论</w:t>
      </w:r>
      <w:r>
        <w:rPr>
          <w:rFonts w:hint="eastAsia" w:ascii="宋体" w:hAnsi="宋体" w:eastAsia="宋体" w:cs="宋体"/>
          <w:b/>
          <w:bCs w:val="0"/>
          <w:sz w:val="21"/>
          <w:szCs w:val="21"/>
          <w:lang w:val="en-US" w:eastAsia="zh-CN"/>
        </w:rPr>
        <w:t>................................................11</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2" w:firstLineChars="200"/>
        <w:jc w:val="distribute"/>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kern w:val="0"/>
          <w:sz w:val="21"/>
          <w:szCs w:val="21"/>
          <w:lang w:val="en-US" w:eastAsia="zh-CN"/>
        </w:rPr>
        <w:t>（二）主要绩效</w:t>
      </w:r>
      <w:r>
        <w:rPr>
          <w:rFonts w:hint="eastAsia" w:ascii="宋体" w:hAnsi="宋体" w:eastAsia="宋体" w:cs="宋体"/>
          <w:b/>
          <w:bCs w:val="0"/>
          <w:sz w:val="21"/>
          <w:szCs w:val="21"/>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2" w:firstLineChars="200"/>
        <w:jc w:val="distribute"/>
        <w:textAlignment w:val="auto"/>
        <w:rPr>
          <w:rFonts w:hint="eastAsia" w:ascii="宋体" w:hAnsi="宋体" w:eastAsia="宋体" w:cs="宋体"/>
          <w:b/>
          <w:bCs w:val="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2" w:firstLineChars="200"/>
        <w:jc w:val="distribute"/>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四、绩效评价指标分析</w:t>
      </w:r>
      <w:r>
        <w:rPr>
          <w:rFonts w:hint="eastAsia" w:ascii="宋体" w:hAnsi="宋体" w:eastAsia="宋体" w:cs="宋体"/>
          <w:b/>
          <w:bCs w:val="0"/>
          <w:sz w:val="21"/>
          <w:szCs w:val="21"/>
          <w:lang w:val="en-US" w:eastAsia="zh-CN"/>
        </w:rPr>
        <w:t>...........................................13</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2" w:firstLineChars="200"/>
        <w:jc w:val="distribute"/>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kern w:val="0"/>
          <w:sz w:val="21"/>
          <w:szCs w:val="21"/>
          <w:lang w:val="en-US" w:eastAsia="zh-CN"/>
        </w:rPr>
        <w:t>（一）决策方面</w:t>
      </w:r>
      <w:r>
        <w:rPr>
          <w:rFonts w:hint="eastAsia" w:ascii="宋体" w:hAnsi="宋体" w:eastAsia="宋体" w:cs="宋体"/>
          <w:b/>
          <w:bCs w:val="0"/>
          <w:sz w:val="21"/>
          <w:szCs w:val="21"/>
          <w:lang w:val="en-US" w:eastAsia="zh-CN"/>
        </w:rPr>
        <w:t>.................................................13</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1.项目决策过程分析</w:t>
      </w:r>
      <w:r>
        <w:rPr>
          <w:rFonts w:hint="eastAsia" w:ascii="宋体" w:hAnsi="宋体" w:eastAsia="宋体" w:cs="宋体"/>
          <w:b w:val="0"/>
          <w:bCs/>
          <w:color w:val="auto"/>
          <w:sz w:val="21"/>
          <w:szCs w:val="21"/>
          <w:lang w:val="en-US" w:eastAsia="zh-CN"/>
        </w:rPr>
        <w:t>.............................................13</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2.项目绩效管理情况</w:t>
      </w:r>
      <w:r>
        <w:rPr>
          <w:rFonts w:hint="eastAsia" w:ascii="宋体" w:hAnsi="宋体" w:eastAsia="宋体" w:cs="宋体"/>
          <w:b w:val="0"/>
          <w:bCs/>
          <w:color w:val="auto"/>
          <w:sz w:val="21"/>
          <w:szCs w:val="21"/>
          <w:lang w:val="en-US" w:eastAsia="zh-CN"/>
        </w:rPr>
        <w:t>.............................................13</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distribute"/>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highlight w:val="none"/>
          <w:lang w:val="en-US" w:eastAsia="zh-CN"/>
        </w:rPr>
        <w:t>3.资金投入分析</w:t>
      </w:r>
      <w:r>
        <w:rPr>
          <w:rFonts w:hint="eastAsia" w:ascii="宋体" w:hAnsi="宋体" w:eastAsia="宋体" w:cs="宋体"/>
          <w:b w:val="0"/>
          <w:bCs/>
          <w:color w:val="auto"/>
          <w:sz w:val="21"/>
          <w:szCs w:val="21"/>
          <w:lang w:val="en-US" w:eastAsia="zh-CN"/>
        </w:rPr>
        <w:t>.................................................14</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2" w:firstLine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（二）过程管理方面</w:t>
      </w:r>
      <w:r>
        <w:rPr>
          <w:rFonts w:hint="eastAsia" w:ascii="宋体" w:hAnsi="宋体" w:eastAsia="宋体" w:cs="宋体"/>
          <w:b/>
          <w:bCs w:val="0"/>
          <w:sz w:val="21"/>
          <w:szCs w:val="21"/>
          <w:lang w:val="en-US" w:eastAsia="zh-CN"/>
        </w:rPr>
        <w:t>.............................................14</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1.资金管理情况分析</w:t>
      </w:r>
      <w:r>
        <w:rPr>
          <w:rFonts w:hint="eastAsia" w:ascii="宋体" w:hAnsi="宋体" w:eastAsia="宋体" w:cs="宋体"/>
          <w:b w:val="0"/>
          <w:bCs/>
          <w:color w:val="auto"/>
          <w:sz w:val="21"/>
          <w:szCs w:val="21"/>
          <w:lang w:val="en-US" w:eastAsia="zh-CN"/>
        </w:rPr>
        <w:t>.............................................14</w:t>
      </w:r>
    </w:p>
    <w:p>
      <w:pPr>
        <w:keepNext w:val="0"/>
        <w:keepLines w:val="0"/>
        <w:pageBreakBefore w:val="0"/>
        <w:widowControl w:val="0"/>
        <w:kinsoku/>
        <w:wordWrap/>
        <w:overflowPunct/>
        <w:topLinePunct w:val="0"/>
        <w:autoSpaceDE/>
        <w:autoSpaceDN w:val="0"/>
        <w:bidi w:val="0"/>
        <w:snapToGrid/>
        <w:spacing w:line="360" w:lineRule="exact"/>
        <w:ind w:firstLine="420" w:firstLineChars="200"/>
        <w:jc w:val="distribute"/>
        <w:textAlignment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2.债券资金还本付息情况分析</w:t>
      </w:r>
      <w:r>
        <w:rPr>
          <w:rFonts w:hint="eastAsia" w:ascii="宋体" w:hAnsi="宋体" w:eastAsia="宋体" w:cs="宋体"/>
          <w:b w:val="0"/>
          <w:bCs/>
          <w:color w:val="auto"/>
          <w:sz w:val="21"/>
          <w:szCs w:val="21"/>
          <w:lang w:val="en-US" w:eastAsia="zh-CN"/>
        </w:rPr>
        <w:t>.....................................15</w:t>
      </w:r>
    </w:p>
    <w:p>
      <w:pPr>
        <w:keepNext w:val="0"/>
        <w:keepLines w:val="0"/>
        <w:pageBreakBefore w:val="0"/>
        <w:widowControl w:val="0"/>
        <w:numPr>
          <w:ilvl w:val="0"/>
          <w:numId w:val="0"/>
        </w:numPr>
        <w:kinsoku/>
        <w:wordWrap/>
        <w:overflowPunct/>
        <w:topLinePunct w:val="0"/>
        <w:autoSpaceDE/>
        <w:autoSpaceDN w:val="0"/>
        <w:bidi w:val="0"/>
        <w:snapToGrid/>
        <w:spacing w:line="360" w:lineRule="exact"/>
        <w:ind w:firstLine="420" w:firstLineChars="200"/>
        <w:jc w:val="distribute"/>
        <w:textAlignment w:val="center"/>
        <w:rPr>
          <w:rFonts w:hint="eastAsia" w:ascii="宋体" w:hAnsi="宋体" w:eastAsia="宋体" w:cs="宋体"/>
          <w:b w:val="0"/>
          <w:bCs/>
          <w:sz w:val="21"/>
          <w:szCs w:val="21"/>
          <w:highlight w:val="none"/>
          <w:lang w:val="en-US"/>
        </w:rPr>
      </w:pP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专项债券期限与项目建设运营期限匹配情况</w:t>
      </w:r>
      <w:r>
        <w:rPr>
          <w:rFonts w:hint="eastAsia" w:ascii="宋体" w:hAnsi="宋体" w:eastAsia="宋体" w:cs="宋体"/>
          <w:b w:val="0"/>
          <w:bCs/>
          <w:color w:val="auto"/>
          <w:sz w:val="21"/>
          <w:szCs w:val="21"/>
          <w:lang w:val="en-US" w:eastAsia="zh-CN"/>
        </w:rPr>
        <w:t>.......................15</w:t>
      </w:r>
    </w:p>
    <w:p>
      <w:pPr>
        <w:keepNext w:val="0"/>
        <w:keepLines w:val="0"/>
        <w:pageBreakBefore w:val="0"/>
        <w:widowControl w:val="0"/>
        <w:kinsoku/>
        <w:wordWrap/>
        <w:overflowPunct/>
        <w:topLinePunct w:val="0"/>
        <w:autoSpaceDE/>
        <w:autoSpaceDN w:val="0"/>
        <w:bidi w:val="0"/>
        <w:snapToGrid/>
        <w:spacing w:line="360" w:lineRule="exact"/>
        <w:ind w:firstLine="420" w:firstLineChars="200"/>
        <w:jc w:val="distribute"/>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4.运营期实际与</w:t>
      </w:r>
      <w:r>
        <w:rPr>
          <w:rFonts w:hint="eastAsia" w:ascii="宋体" w:hAnsi="宋体" w:eastAsia="宋体" w:cs="宋体"/>
          <w:b w:val="0"/>
          <w:bCs/>
          <w:sz w:val="21"/>
          <w:szCs w:val="21"/>
        </w:rPr>
        <w:t>预</w:t>
      </w:r>
      <w:r>
        <w:rPr>
          <w:rFonts w:hint="eastAsia" w:ascii="宋体" w:hAnsi="宋体" w:eastAsia="宋体" w:cs="宋体"/>
          <w:b w:val="0"/>
          <w:bCs/>
          <w:sz w:val="21"/>
          <w:szCs w:val="21"/>
          <w:lang w:val="en-US" w:eastAsia="zh-CN"/>
        </w:rPr>
        <w:t>测</w:t>
      </w:r>
      <w:r>
        <w:rPr>
          <w:rFonts w:hint="eastAsia" w:ascii="宋体" w:hAnsi="宋体" w:eastAsia="宋体" w:cs="宋体"/>
          <w:b w:val="0"/>
          <w:bCs/>
          <w:sz w:val="21"/>
          <w:szCs w:val="21"/>
        </w:rPr>
        <w:t>收入、成本</w:t>
      </w:r>
      <w:r>
        <w:rPr>
          <w:rFonts w:hint="eastAsia" w:ascii="宋体" w:hAnsi="宋体" w:eastAsia="宋体" w:cs="宋体"/>
          <w:b w:val="0"/>
          <w:bCs/>
          <w:sz w:val="21"/>
          <w:szCs w:val="21"/>
          <w:lang w:val="en-US" w:eastAsia="zh-CN"/>
        </w:rPr>
        <w:t>及净收益比较</w:t>
      </w:r>
      <w:r>
        <w:rPr>
          <w:rFonts w:hint="eastAsia" w:ascii="宋体" w:hAnsi="宋体" w:eastAsia="宋体" w:cs="宋体"/>
          <w:b w:val="0"/>
          <w:bCs/>
          <w:color w:val="auto"/>
          <w:sz w:val="21"/>
          <w:szCs w:val="21"/>
          <w:lang w:val="en-US" w:eastAsia="zh-CN"/>
        </w:rPr>
        <w:t>.......................15</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5.项目实施情况分析</w:t>
      </w:r>
      <w:r>
        <w:rPr>
          <w:rFonts w:hint="eastAsia" w:ascii="宋体" w:hAnsi="宋体" w:eastAsia="宋体" w:cs="宋体"/>
          <w:b w:val="0"/>
          <w:bCs/>
          <w:color w:val="auto"/>
          <w:sz w:val="21"/>
          <w:szCs w:val="21"/>
          <w:lang w:val="en-US" w:eastAsia="zh-CN"/>
        </w:rPr>
        <w:t>.............................................17</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6.风控机制及措施</w:t>
      </w:r>
      <w:r>
        <w:rPr>
          <w:rFonts w:hint="eastAsia" w:ascii="宋体" w:hAnsi="宋体" w:eastAsia="宋体" w:cs="宋体"/>
          <w:b w:val="0"/>
          <w:bCs/>
          <w:color w:val="auto"/>
          <w:sz w:val="21"/>
          <w:szCs w:val="21"/>
          <w:lang w:val="en-US" w:eastAsia="zh-CN"/>
        </w:rPr>
        <w:t>...............................................19</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422" w:firstLine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（三）项目产出方面</w:t>
      </w:r>
      <w:r>
        <w:rPr>
          <w:rFonts w:hint="eastAsia" w:ascii="宋体" w:hAnsi="宋体" w:eastAsia="宋体" w:cs="宋体"/>
          <w:b/>
          <w:bCs w:val="0"/>
          <w:sz w:val="21"/>
          <w:szCs w:val="21"/>
          <w:lang w:val="en-US" w:eastAsia="zh-CN"/>
        </w:rPr>
        <w:t>.............................................19</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distribute"/>
        <w:textAlignment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1.产出数量任务完成情况</w:t>
      </w:r>
      <w:r>
        <w:rPr>
          <w:rFonts w:hint="eastAsia" w:ascii="宋体" w:hAnsi="宋体" w:eastAsia="宋体" w:cs="宋体"/>
          <w:b w:val="0"/>
          <w:bCs/>
          <w:color w:val="auto"/>
          <w:sz w:val="21"/>
          <w:szCs w:val="21"/>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2.产出质量任务完成情况</w:t>
      </w:r>
      <w:r>
        <w:rPr>
          <w:rFonts w:hint="eastAsia" w:ascii="宋体" w:hAnsi="宋体" w:eastAsia="宋体" w:cs="宋体"/>
          <w:b w:val="0"/>
          <w:bCs/>
          <w:color w:val="auto"/>
          <w:sz w:val="21"/>
          <w:szCs w:val="21"/>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i w:val="0"/>
          <w:color w:val="000000"/>
          <w:kern w:val="0"/>
          <w:sz w:val="21"/>
          <w:szCs w:val="21"/>
          <w:u w:val="none"/>
          <w:lang w:val="en-US" w:eastAsia="zh-CN" w:bidi="ar"/>
        </w:rPr>
        <w:t>3.时效目标完成情况</w:t>
      </w:r>
      <w:r>
        <w:rPr>
          <w:rFonts w:hint="eastAsia" w:ascii="宋体" w:hAnsi="宋体" w:eastAsia="宋体" w:cs="宋体"/>
          <w:b w:val="0"/>
          <w:bCs/>
          <w:color w:val="auto"/>
          <w:sz w:val="21"/>
          <w:szCs w:val="21"/>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4.成本控制目标完成情况</w:t>
      </w:r>
      <w:r>
        <w:rPr>
          <w:rFonts w:hint="eastAsia" w:ascii="宋体" w:hAnsi="宋体" w:eastAsia="宋体" w:cs="宋体"/>
          <w:b w:val="0"/>
          <w:bCs/>
          <w:color w:val="auto"/>
          <w:sz w:val="21"/>
          <w:szCs w:val="21"/>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distribute"/>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5.项目实施效益及幼儿家长满意度目标完成情况</w:t>
      </w:r>
      <w:r>
        <w:rPr>
          <w:rFonts w:hint="eastAsia" w:ascii="宋体" w:hAnsi="宋体" w:eastAsia="宋体" w:cs="宋体"/>
          <w:b w:val="0"/>
          <w:bCs/>
          <w:color w:val="auto"/>
          <w:sz w:val="21"/>
          <w:szCs w:val="21"/>
          <w:lang w:val="en-US" w:eastAsia="zh-CN"/>
        </w:rPr>
        <w:t>......................21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五、</w:t>
      </w:r>
      <w:r>
        <w:rPr>
          <w:rFonts w:hint="eastAsia" w:ascii="宋体" w:hAnsi="宋体" w:eastAsia="宋体" w:cs="宋体"/>
          <w:b/>
          <w:bCs w:val="0"/>
          <w:sz w:val="21"/>
          <w:szCs w:val="21"/>
        </w:rPr>
        <w:t>存在的问题</w:t>
      </w:r>
      <w:r>
        <w:rPr>
          <w:rFonts w:hint="eastAsia" w:ascii="宋体" w:hAnsi="宋体" w:eastAsia="宋体" w:cs="宋体"/>
          <w:b/>
          <w:bCs w:val="0"/>
          <w:sz w:val="21"/>
          <w:szCs w:val="21"/>
          <w:lang w:eastAsia="zh-CN"/>
        </w:rPr>
        <w:t>及建议</w:t>
      </w:r>
      <w:r>
        <w:rPr>
          <w:rFonts w:hint="eastAsia" w:ascii="宋体" w:hAnsi="宋体" w:eastAsia="宋体" w:cs="宋体"/>
          <w:b/>
          <w:bCs w:val="0"/>
          <w:sz w:val="21"/>
          <w:szCs w:val="21"/>
          <w:lang w:val="en-US" w:eastAsia="zh-CN"/>
        </w:rPr>
        <w:t>...........................................22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bCs w:val="0"/>
          <w:kern w:val="0"/>
          <w:sz w:val="21"/>
          <w:szCs w:val="21"/>
          <w:lang w:val="en-US" w:eastAsia="zh-CN"/>
        </w:rPr>
        <w:t>存在问题</w:t>
      </w:r>
      <w:r>
        <w:rPr>
          <w:rFonts w:hint="eastAsia" w:ascii="宋体" w:hAnsi="宋体" w:eastAsia="宋体" w:cs="宋体"/>
          <w:b/>
          <w:bCs w:val="0"/>
          <w:sz w:val="21"/>
          <w:szCs w:val="21"/>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（二）相关建议</w:t>
      </w:r>
      <w:r>
        <w:rPr>
          <w:rFonts w:hint="eastAsia" w:ascii="宋体" w:hAnsi="宋体" w:eastAsia="宋体" w:cs="宋体"/>
          <w:b/>
          <w:bCs w:val="0"/>
          <w:sz w:val="21"/>
          <w:szCs w:val="21"/>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distribute"/>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sz w:val="21"/>
          <w:szCs w:val="21"/>
          <w:lang w:val="en-US" w:eastAsia="zh-CN"/>
        </w:rPr>
        <w:t>六、其他需要说明的问题.........................................28</w:t>
      </w:r>
    </w:p>
    <w:p>
      <w:pPr>
        <w:keepNext w:val="0"/>
        <w:keepLines w:val="0"/>
        <w:pageBreakBefore w:val="0"/>
        <w:widowControl/>
        <w:shd w:val="clear" w:color="auto" w:fill="FFFFFF"/>
        <w:kinsoku/>
        <w:wordWrap/>
        <w:overflowPunct/>
        <w:topLinePunct w:val="0"/>
        <w:autoSpaceDE/>
        <w:bidi w:val="0"/>
        <w:snapToGrid/>
        <w:spacing w:line="360" w:lineRule="exact"/>
        <w:ind w:firstLine="422" w:firstLineChars="200"/>
        <w:jc w:val="distribute"/>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（一）本报告的局限性</w:t>
      </w:r>
      <w:r>
        <w:rPr>
          <w:rFonts w:hint="eastAsia" w:ascii="宋体" w:hAnsi="宋体" w:eastAsia="宋体" w:cs="宋体"/>
          <w:b/>
          <w:bCs w:val="0"/>
          <w:sz w:val="21"/>
          <w:szCs w:val="21"/>
          <w:lang w:val="en-US" w:eastAsia="zh-CN"/>
        </w:rPr>
        <w:t>...........................................28</w:t>
      </w:r>
    </w:p>
    <w:p>
      <w:pPr>
        <w:keepNext w:val="0"/>
        <w:keepLines w:val="0"/>
        <w:pageBreakBefore w:val="0"/>
        <w:widowControl w:val="0"/>
        <w:shd w:val="clear" w:color="auto" w:fill="FFFFFF"/>
        <w:kinsoku/>
        <w:wordWrap/>
        <w:overflowPunct/>
        <w:topLinePunct w:val="0"/>
        <w:autoSpaceDE/>
        <w:bidi w:val="0"/>
        <w:snapToGrid/>
        <w:spacing w:line="360" w:lineRule="exact"/>
        <w:ind w:firstLine="422" w:firstLineChars="200"/>
        <w:jc w:val="distribute"/>
        <w:rPr>
          <w:rFonts w:hint="eastAsia" w:ascii="宋体" w:hAnsi="宋体" w:eastAsia="宋体" w:cs="宋体"/>
          <w:b/>
          <w:bCs w:val="0"/>
          <w:sz w:val="21"/>
          <w:szCs w:val="21"/>
          <w:lang w:val="en-US"/>
        </w:rPr>
      </w:pPr>
      <w:r>
        <w:rPr>
          <w:rFonts w:hint="eastAsia" w:ascii="宋体" w:hAnsi="宋体" w:eastAsia="宋体" w:cs="宋体"/>
          <w:b/>
          <w:bCs w:val="0"/>
          <w:kern w:val="0"/>
          <w:sz w:val="21"/>
          <w:szCs w:val="21"/>
          <w:lang w:val="en-US" w:eastAsia="zh-CN"/>
        </w:rPr>
        <w:t>（二）本报告用途说明</w:t>
      </w:r>
      <w:r>
        <w:rPr>
          <w:rFonts w:hint="eastAsia" w:ascii="宋体" w:hAnsi="宋体" w:eastAsia="宋体" w:cs="宋体"/>
          <w:b/>
          <w:bCs w:val="0"/>
          <w:sz w:val="21"/>
          <w:szCs w:val="21"/>
          <w:lang w:val="en-US" w:eastAsia="zh-CN"/>
        </w:rPr>
        <w:t>...........................................29</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val="0"/>
          <w:sz w:val="21"/>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附件...................................................................29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22" w:firstLineChars="200"/>
        <w:textAlignment w:val="auto"/>
        <w:rPr>
          <w:rFonts w:hint="eastAsia" w:ascii="宋体" w:hAnsi="宋体" w:eastAsia="宋体" w:cs="宋体"/>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534" w:firstLineChars="1100"/>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3534" w:firstLineChars="1100"/>
        <w:textAlignment w:val="auto"/>
        <w:rPr>
          <w:rFonts w:hint="eastAsia" w:ascii="宋体" w:hAnsi="宋体" w:eastAsia="宋体" w:cs="宋体"/>
          <w:b/>
          <w:sz w:val="32"/>
          <w:szCs w:val="32"/>
        </w:rPr>
        <w:sectPr>
          <w:footerReference r:id="rId7" w:type="default"/>
          <w:pgSz w:w="11906" w:h="16838"/>
          <w:pgMar w:top="1440" w:right="1644" w:bottom="1247" w:left="164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3534" w:firstLineChars="1100"/>
        <w:textAlignment w:val="auto"/>
        <w:rPr>
          <w:rFonts w:hint="eastAsia" w:ascii="宋体" w:hAnsi="宋体" w:eastAsia="宋体" w:cs="宋体"/>
          <w:b/>
          <w:sz w:val="36"/>
          <w:szCs w:val="36"/>
          <w:lang w:val="en-US" w:eastAsia="zh-CN"/>
        </w:rPr>
      </w:pPr>
      <w:r>
        <w:rPr>
          <w:rFonts w:hint="eastAsia" w:ascii="宋体" w:hAnsi="宋体" w:eastAsia="宋体" w:cs="宋体"/>
          <w:b/>
          <w:sz w:val="32"/>
          <w:szCs w:val="32"/>
        </w:rPr>
        <w:t>内容</w:t>
      </w:r>
      <w:r>
        <w:rPr>
          <w:rFonts w:hint="eastAsia" w:ascii="宋体" w:hAnsi="宋体" w:eastAsia="宋体" w:cs="宋体"/>
          <w:b/>
          <w:sz w:val="32"/>
          <w:szCs w:val="32"/>
          <w:lang w:val="en-US" w:eastAsia="zh-CN"/>
        </w:rPr>
        <w:t>简介</w:t>
      </w:r>
    </w:p>
    <w:p>
      <w:pPr>
        <w:spacing w:line="500" w:lineRule="exact"/>
        <w:rPr>
          <w:rFonts w:hint="eastAsia" w:ascii="宋体" w:hAnsi="宋体" w:eastAsia="宋体" w:cs="宋体"/>
          <w:b/>
          <w:bCs w:val="0"/>
          <w:sz w:val="28"/>
          <w:szCs w:val="28"/>
        </w:rPr>
      </w:pPr>
      <w:r>
        <w:rPr>
          <w:rFonts w:hint="eastAsia" w:ascii="宋体" w:hAnsi="宋体" w:eastAsia="宋体" w:cs="宋体"/>
          <w:b/>
          <w:bCs/>
          <w:sz w:val="24"/>
          <w:szCs w:val="24"/>
          <w:highlight w:val="none"/>
        </w:rPr>
        <w:t>●</w:t>
      </w:r>
      <w:r>
        <w:rPr>
          <w:rFonts w:hint="eastAsia" w:ascii="宋体" w:hAnsi="宋体" w:eastAsia="宋体" w:cs="宋体"/>
          <w:b/>
          <w:bCs w:val="0"/>
          <w:sz w:val="28"/>
          <w:szCs w:val="28"/>
        </w:rPr>
        <w:t>项目基本概况</w:t>
      </w:r>
    </w:p>
    <w:tbl>
      <w:tblPr>
        <w:tblStyle w:val="22"/>
        <w:tblW w:w="8833"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8"/>
        <w:gridCol w:w="1234"/>
        <w:gridCol w:w="1308"/>
        <w:gridCol w:w="1550"/>
        <w:gridCol w:w="1367"/>
        <w:gridCol w:w="825"/>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762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岳阳市云溪区城南幼儿园专项债券项目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项目地址</w:t>
            </w:r>
          </w:p>
        </w:tc>
        <w:tc>
          <w:tcPr>
            <w:tcW w:w="762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岳阳市云溪区云鹰小学西侧，开泰路以南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项目业主</w:t>
            </w:r>
          </w:p>
        </w:tc>
        <w:tc>
          <w:tcPr>
            <w:tcW w:w="762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岳阳市云溪区教育体育局</w:t>
            </w:r>
          </w:p>
          <w:p>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（云溪区教育阳光服务中心负责组织具体实施）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项目相关单位</w:t>
            </w:r>
          </w:p>
        </w:tc>
        <w:tc>
          <w:tcPr>
            <w:tcW w:w="762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建设单位：湖南和庆源建设工程有限公司（牵头方）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2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762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湖南泽天源建设工程有限公司（成员方）</w:t>
            </w:r>
          </w:p>
          <w:p>
            <w:pPr>
              <w:keepNext w:val="0"/>
              <w:keepLines w:val="0"/>
              <w:widowControl/>
              <w:suppressLineNumbers w:val="0"/>
              <w:ind w:firstLine="1200" w:firstLineChars="500"/>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浙江新苑建设设计有限公司   （成员方）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762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运营单位：岳阳市云溪区城南幼儿园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08"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立项总投资3000（万元）</w:t>
            </w:r>
          </w:p>
        </w:tc>
        <w:tc>
          <w:tcPr>
            <w:tcW w:w="254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资金来源（万元）</w:t>
            </w:r>
          </w:p>
        </w:tc>
        <w:tc>
          <w:tcPr>
            <w:tcW w:w="1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资金到位</w:t>
            </w:r>
          </w:p>
        </w:tc>
        <w:tc>
          <w:tcPr>
            <w:tcW w:w="219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至2023年6月止</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未付合同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来源</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金额</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金额（</w:t>
            </w:r>
            <w:r>
              <w:rPr>
                <w:rFonts w:hint="eastAsia" w:ascii="宋体" w:hAnsi="宋体" w:eastAsia="宋体" w:cs="宋体"/>
                <w:b w:val="0"/>
                <w:bCs w:val="0"/>
                <w:i w:val="0"/>
                <w:iCs w:val="0"/>
                <w:color w:val="000000"/>
                <w:kern w:val="0"/>
                <w:sz w:val="21"/>
                <w:szCs w:val="21"/>
                <w:u w:val="none"/>
                <w:lang w:val="en-US" w:eastAsia="zh-CN" w:bidi="ar"/>
              </w:rPr>
              <w:t>万元</w:t>
            </w:r>
            <w:r>
              <w:rPr>
                <w:rFonts w:hint="eastAsia" w:ascii="宋体" w:hAnsi="宋体" w:eastAsia="宋体" w:cs="宋体"/>
                <w:b/>
                <w:bCs/>
                <w:i w:val="0"/>
                <w:iCs w:val="0"/>
                <w:color w:val="000000"/>
                <w:kern w:val="0"/>
                <w:sz w:val="21"/>
                <w:szCs w:val="21"/>
                <w:u w:val="none"/>
                <w:lang w:val="en-US" w:eastAsia="zh-CN" w:bidi="ar"/>
              </w:rPr>
              <w:t>）</w:t>
            </w:r>
          </w:p>
        </w:tc>
        <w:tc>
          <w:tcPr>
            <w:tcW w:w="136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1"/>
                <w:szCs w:val="21"/>
                <w:u w:val="none"/>
                <w:lang w:val="en-US" w:eastAsia="zh-CN" w:bidi="ar"/>
              </w:rPr>
              <w:t>实际支出金额</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万元</w:t>
            </w:r>
            <w:r>
              <w:rPr>
                <w:rFonts w:hint="eastAsia" w:ascii="宋体" w:hAnsi="宋体" w:eastAsia="宋体" w:cs="宋体"/>
                <w:b/>
                <w:bCs/>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资金结存</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金额</w:t>
            </w:r>
            <w:r>
              <w:rPr>
                <w:rFonts w:hint="eastAsia" w:ascii="宋体" w:hAnsi="宋体" w:eastAsia="宋体" w:cs="宋体"/>
                <w:b w:val="0"/>
                <w:bCs w:val="0"/>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债券资金</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2,000.00</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sz w:val="22"/>
                <w:szCs w:val="22"/>
                <w:u w:val="none"/>
                <w:lang w:val="en-US" w:eastAsia="zh-CN"/>
              </w:rPr>
              <w:t>2,032.24</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rPr>
            </w:pPr>
            <w:r>
              <w:rPr>
                <w:rFonts w:hint="default" w:ascii="Times New Roman" w:hAnsi="Times New Roman" w:eastAsia="宋体" w:cs="Times New Roman"/>
                <w:b w:val="0"/>
                <w:bCs w:val="0"/>
                <w:i w:val="0"/>
                <w:iCs w:val="0"/>
                <w:color w:val="000000"/>
                <w:kern w:val="0"/>
                <w:sz w:val="22"/>
                <w:szCs w:val="22"/>
                <w:u w:val="none"/>
                <w:lang w:val="en-US" w:eastAsia="zh-CN" w:bidi="ar"/>
              </w:rPr>
              <w:t>0</w:t>
            </w:r>
          </w:p>
        </w:tc>
        <w:tc>
          <w:tcPr>
            <w:tcW w:w="13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eastAsia="zh-CN"/>
              </w:rPr>
            </w:pPr>
            <w:r>
              <w:rPr>
                <w:rFonts w:hint="default" w:ascii="Times New Roman" w:hAnsi="Times New Roman" w:eastAsia="宋体" w:cs="Times New Roman"/>
                <w:b w:val="0"/>
                <w:bCs w:val="0"/>
                <w:i w:val="0"/>
                <w:iCs w:val="0"/>
                <w:color w:val="000000"/>
                <w:sz w:val="22"/>
                <w:szCs w:val="22"/>
                <w:u w:val="none"/>
                <w:lang w:val="en-US" w:eastAsia="zh-CN"/>
              </w:rPr>
              <w:t>1,254.07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自筹资金</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eastAsia="zh-CN"/>
              </w:rPr>
            </w:pPr>
            <w:r>
              <w:rPr>
                <w:rFonts w:hint="default" w:ascii="Times New Roman" w:hAnsi="Times New Roman" w:eastAsia="宋体" w:cs="Times New Roman"/>
                <w:b w:val="0"/>
                <w:bCs w:val="0"/>
                <w:i w:val="0"/>
                <w:iCs w:val="0"/>
                <w:color w:val="000000"/>
                <w:sz w:val="22"/>
                <w:szCs w:val="22"/>
                <w:u w:val="none"/>
                <w:lang w:val="en-US" w:eastAsia="zh-CN"/>
              </w:rPr>
              <w:t>32.24</w:t>
            </w: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ind w:firstLineChars="100"/>
              <w:jc w:val="both"/>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rPr>
            </w:pPr>
            <w:r>
              <w:rPr>
                <w:rFonts w:hint="default" w:ascii="Times New Roman" w:hAnsi="Times New Roman" w:eastAsia="宋体" w:cs="Times New Roman"/>
                <w:b w:val="0"/>
                <w:bCs w:val="0"/>
                <w:i w:val="0"/>
                <w:iCs w:val="0"/>
                <w:color w:val="000000"/>
                <w:kern w:val="0"/>
                <w:sz w:val="22"/>
                <w:szCs w:val="22"/>
                <w:u w:val="none"/>
                <w:lang w:val="en-US" w:eastAsia="zh-CN" w:bidi="ar"/>
              </w:rPr>
              <w:t>3,000.00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rPr>
            </w:pPr>
            <w:r>
              <w:rPr>
                <w:rFonts w:hint="default" w:ascii="Times New Roman" w:hAnsi="Times New Roman" w:eastAsia="宋体" w:cs="Times New Roman"/>
                <w:b w:val="0"/>
                <w:bCs w:val="0"/>
                <w:i w:val="0"/>
                <w:iCs w:val="0"/>
                <w:color w:val="000000"/>
                <w:sz w:val="22"/>
                <w:szCs w:val="22"/>
                <w:u w:val="none"/>
                <w:lang w:val="en-US" w:eastAsia="zh-CN"/>
              </w:rPr>
              <w:t>2,032.24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22"/>
                <w:szCs w:val="22"/>
                <w:u w:val="none"/>
                <w:lang w:val="en-US" w:eastAsia="zh-CN" w:bidi="ar-SA"/>
              </w:rPr>
            </w:pPr>
            <w:r>
              <w:rPr>
                <w:rFonts w:hint="default" w:ascii="Times New Roman" w:hAnsi="Times New Roman" w:eastAsia="宋体" w:cs="Times New Roman"/>
                <w:b w:val="0"/>
                <w:bCs w:val="0"/>
                <w:i w:val="0"/>
                <w:iCs w:val="0"/>
                <w:color w:val="000000"/>
                <w:sz w:val="22"/>
                <w:szCs w:val="22"/>
                <w:u w:val="none"/>
                <w:lang w:val="en-US" w:eastAsia="zh-CN"/>
              </w:rPr>
              <w:t>2,032.24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22"/>
                <w:szCs w:val="22"/>
                <w:u w:val="no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22"/>
                <w:szCs w:val="22"/>
                <w:u w:val="none"/>
                <w:lang w:val="en-US" w:eastAsia="zh-CN" w:bidi="ar-SA"/>
              </w:rPr>
            </w:pPr>
            <w:r>
              <w:rPr>
                <w:rFonts w:hint="default" w:ascii="Times New Roman" w:hAnsi="Times New Roman" w:eastAsia="宋体" w:cs="Times New Roman"/>
                <w:b w:val="0"/>
                <w:bCs w:val="0"/>
                <w:i w:val="0"/>
                <w:iCs w:val="0"/>
                <w:color w:val="000000"/>
                <w:sz w:val="22"/>
                <w:szCs w:val="22"/>
                <w:u w:val="none"/>
                <w:lang w:val="en-US" w:eastAsia="zh-CN"/>
              </w:rPr>
              <w:t>1,254.07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6" w:hRule="atLeast"/>
        </w:trPr>
        <w:tc>
          <w:tcPr>
            <w:tcW w:w="12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40" w:firstLineChars="1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说明</w:t>
            </w:r>
          </w:p>
        </w:tc>
        <w:tc>
          <w:tcPr>
            <w:tcW w:w="762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区发改局可行性研究报告批复（岳云发改审[2022]52号）总投资概算3000万元，建筑总面积9220</w:t>
            </w:r>
            <w:r>
              <w:rPr>
                <w:rFonts w:hint="eastAsia" w:ascii="宋体" w:hAnsi="宋体" w:eastAsia="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lang w:val="en-US" w:eastAsia="zh-CN"/>
              </w:rPr>
              <w:t>；区发改局概算部投资批复（岳云发改概审[2022]5号）3066.89万元。</w:t>
            </w:r>
          </w:p>
          <w:p>
            <w:pPr>
              <w:keepNext w:val="0"/>
              <w:keepLines w:val="0"/>
              <w:widowControl/>
              <w:numPr>
                <w:ilvl w:val="0"/>
                <w:numId w:val="4"/>
              </w:numPr>
              <w:suppressLineNumbers w:val="0"/>
              <w:jc w:val="left"/>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区住建局初步设计审查批复（岳云住建复[2022]5号）建筑总面积5172㎡，估算总投资3000万元。</w:t>
            </w:r>
          </w:p>
          <w:p>
            <w:pPr>
              <w:keepNext w:val="0"/>
              <w:keepLines w:val="0"/>
              <w:widowControl/>
              <w:numPr>
                <w:ilvl w:val="0"/>
                <w:numId w:val="4"/>
              </w:numPr>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2"/>
                <w:szCs w:val="22"/>
                <w:u w:val="none"/>
                <w:lang w:val="en-US" w:eastAsia="zh-CN"/>
              </w:rPr>
              <w:t>应付未付合同中包含工程前期费用合同337万元，在最终审计结算中应予抵减总工程费用。</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val="0"/>
        <w:bidi w:val="0"/>
        <w:adjustRightInd/>
        <w:snapToGrid/>
        <w:spacing w:line="440" w:lineRule="exact"/>
        <w:ind w:firstLine="562" w:firstLineChars="200"/>
        <w:jc w:val="both"/>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项目绩效目标</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color w:val="auto"/>
          <w:sz w:val="24"/>
          <w:szCs w:val="24"/>
          <w:lang w:val="en-US" w:eastAsia="zh-CN"/>
        </w:rPr>
        <w:t>为进一步促进云溪区学前教育的发展，提高学前教育幼儿入园率，改善中心城区的办园条件，为孩子启蒙教育与学前</w:t>
      </w:r>
      <w:r>
        <w:rPr>
          <w:rFonts w:hint="eastAsia" w:ascii="宋体" w:hAnsi="宋体" w:eastAsia="宋体" w:cs="宋体"/>
          <w:b w:val="0"/>
          <w:bCs w:val="0"/>
          <w:sz w:val="24"/>
          <w:szCs w:val="24"/>
          <w:highlight w:val="none"/>
          <w:lang w:val="en-US" w:eastAsia="zh-CN"/>
        </w:rPr>
        <w:t>教育打下坚实基础。</w:t>
      </w:r>
    </w:p>
    <w:p>
      <w:pPr>
        <w:keepNext w:val="0"/>
        <w:keepLines w:val="0"/>
        <w:pageBreakBefore w:val="0"/>
        <w:widowControl w:val="0"/>
        <w:numPr>
          <w:ilvl w:val="0"/>
          <w:numId w:val="5"/>
        </w:numPr>
        <w:kinsoku/>
        <w:wordWrap/>
        <w:overflowPunct/>
        <w:topLinePunct w:val="0"/>
        <w:autoSpaceDE/>
        <w:autoSpaceDN w:val="0"/>
        <w:bidi w:val="0"/>
        <w:adjustRightInd/>
        <w:snapToGrid/>
        <w:spacing w:line="440" w:lineRule="exact"/>
        <w:ind w:left="0" w:leftChars="0" w:firstLine="482" w:firstLineChars="200"/>
        <w:jc w:val="both"/>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目标具体任务</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2" w:firstLineChars="200"/>
        <w:jc w:val="both"/>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1.产出数量目标任务</w:t>
      </w:r>
    </w:p>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sz w:val="24"/>
          <w:szCs w:val="24"/>
          <w:highlight w:val="none"/>
          <w:lang w:val="en-US" w:eastAsia="zh-CN"/>
        </w:rPr>
        <w:sectPr>
          <w:footerReference r:id="rId8" w:type="default"/>
          <w:pgSz w:w="11906" w:h="16838"/>
          <w:pgMar w:top="1440" w:right="1644" w:bottom="1247" w:left="1644" w:header="851" w:footer="992" w:gutter="0"/>
          <w:pgNumType w:fmt="decimal" w:start="1"/>
          <w:cols w:space="720" w:num="1"/>
          <w:docGrid w:type="lines" w:linePitch="312" w:charSpace="0"/>
        </w:sectPr>
      </w:pPr>
      <w:r>
        <w:rPr>
          <w:rFonts w:hint="eastAsia" w:ascii="宋体" w:hAnsi="宋体" w:eastAsia="宋体" w:cs="宋体"/>
          <w:color w:val="000000"/>
          <w:sz w:val="24"/>
          <w:szCs w:val="24"/>
          <w:lang w:val="en-US" w:eastAsia="zh-CN"/>
        </w:rPr>
        <w:t>（1）工程建设目标：</w:t>
      </w:r>
      <w:r>
        <w:rPr>
          <w:rFonts w:hint="eastAsia" w:ascii="宋体" w:hAnsi="宋体" w:eastAsia="宋体" w:cs="宋体"/>
          <w:b w:val="0"/>
          <w:bCs/>
          <w:kern w:val="0"/>
          <w:sz w:val="24"/>
          <w:szCs w:val="24"/>
          <w:lang w:val="en-US" w:eastAsia="zh-CN"/>
        </w:rPr>
        <w:t>总建筑面积 5172.35 ㎡，其中主体建筑一栋地上共3层，包括幼儿教学用房、教师办公用房、多功能活动室、厨房及储藏室等。室外地面活动场所1440平方米、绿地面积2215平方米，</w:t>
      </w:r>
      <w:r>
        <w:rPr>
          <w:rFonts w:hint="eastAsia" w:ascii="宋体" w:hAnsi="宋体" w:eastAsia="宋体" w:cs="宋体"/>
          <w:b w:val="0"/>
          <w:bCs/>
          <w:kern w:val="0"/>
          <w:sz w:val="24"/>
          <w:szCs w:val="24"/>
          <w:highlight w:val="none"/>
          <w:lang w:val="en-US" w:eastAsia="zh-CN"/>
        </w:rPr>
        <w:t>停车位16个。</w:t>
      </w:r>
      <w:r>
        <w:rPr>
          <w:rFonts w:hint="eastAsia" w:ascii="宋体" w:hAnsi="宋体" w:eastAsia="宋体" w:cs="宋体"/>
          <w:b w:val="0"/>
          <w:bCs/>
          <w:sz w:val="24"/>
          <w:szCs w:val="24"/>
          <w:highlight w:val="none"/>
          <w:lang w:val="en-US" w:eastAsia="zh-CN"/>
        </w:rPr>
        <w:t>办学规模达到12个教</w:t>
      </w:r>
    </w:p>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highlight w:val="none"/>
          <w:lang w:val="en-US" w:eastAsia="zh-CN"/>
        </w:rPr>
        <w:t>学班（大、中、小各4个班），可容纳360名幼儿。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000000"/>
          <w:kern w:val="2"/>
          <w:sz w:val="24"/>
          <w:szCs w:val="24"/>
          <w:lang w:val="en-US" w:eastAsia="zh-CN" w:bidi="ar-SA"/>
        </w:rPr>
        <w:t>（2）运营期目标：</w:t>
      </w:r>
      <w:r>
        <w:rPr>
          <w:rFonts w:hint="eastAsia" w:ascii="宋体" w:hAnsi="宋体" w:eastAsia="宋体" w:cs="宋体"/>
          <w:b w:val="0"/>
          <w:bCs/>
          <w:sz w:val="24"/>
          <w:szCs w:val="24"/>
          <w:highlight w:val="none"/>
          <w:lang w:val="en-US" w:eastAsia="zh-CN"/>
        </w:rPr>
        <w:t>2023年幼儿入园人数达到预测数306名（第一年招生人数占计划总招生规模360名比例的85%）；按照每班"两教一保"的要求配备专任教师和保育员24人（8班*3人）。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2.产出质量目标任务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（1）建筑安装工程质量验收合格率100%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（2）采购设施设备质量验收合格率100%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（3）省市教育相关部门验收合格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（4）消防验收合格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i w:val="0"/>
          <w:color w:val="000000"/>
          <w:kern w:val="0"/>
          <w:sz w:val="24"/>
          <w:szCs w:val="24"/>
          <w:u w:val="none"/>
          <w:lang w:val="en-US" w:eastAsia="zh-CN" w:bidi="ar"/>
        </w:rPr>
        <w:t>3.时限目标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（1）按合同计划时间开工（2022年8月25日）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（2）按合同计划时间竣工验收（2023年4月25日）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（3）按区政府要求时间交付使用（2023年9月1日前）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4.成本控制目标</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（1）项目工程建设总投资控制在3,000.00万元内</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lang w:val="en-US" w:eastAsia="zh-CN"/>
        </w:rPr>
        <w:t>（2）投资估算、</w:t>
      </w:r>
      <w:r>
        <w:rPr>
          <w:rFonts w:hint="eastAsia" w:ascii="宋体" w:hAnsi="宋体" w:eastAsia="宋体" w:cs="宋体"/>
          <w:color w:val="000000"/>
          <w:sz w:val="24"/>
          <w:szCs w:val="24"/>
          <w:highlight w:val="none"/>
          <w:lang w:val="en-US" w:eastAsia="zh-CN"/>
        </w:rPr>
        <w:t>人均建筑面积</w:t>
      </w:r>
      <w:r>
        <w:rPr>
          <w:rFonts w:hint="eastAsia" w:ascii="宋体" w:hAnsi="宋体" w:eastAsia="宋体" w:cs="宋体"/>
          <w:color w:val="000000"/>
          <w:sz w:val="24"/>
          <w:szCs w:val="24"/>
          <w:lang w:val="en-US" w:eastAsia="zh-CN"/>
        </w:rPr>
        <w:t>基本符合《幼儿园建设标准》（建标175-2016）</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color w:val="000000"/>
          <w:sz w:val="24"/>
          <w:szCs w:val="24"/>
        </w:rPr>
      </w:pPr>
      <w:r>
        <w:rPr>
          <w:rFonts w:hint="eastAsia" w:ascii="宋体" w:hAnsi="宋体" w:eastAsia="宋体" w:cs="宋体"/>
          <w:b w:val="0"/>
          <w:bCs w:val="0"/>
          <w:color w:val="000000"/>
          <w:sz w:val="24"/>
          <w:szCs w:val="24"/>
          <w:highlight w:val="none"/>
          <w:lang w:val="en-US" w:eastAsia="zh-CN"/>
        </w:rPr>
        <w:t>（3）2</w:t>
      </w:r>
      <w:r>
        <w:rPr>
          <w:rFonts w:hint="eastAsia" w:ascii="宋体" w:hAnsi="宋体" w:eastAsia="宋体" w:cs="宋体"/>
          <w:color w:val="000000"/>
          <w:sz w:val="24"/>
          <w:szCs w:val="24"/>
          <w:lang w:val="en-US" w:eastAsia="zh-CN"/>
        </w:rPr>
        <w:t>023年债券资金</w:t>
      </w:r>
      <w:r>
        <w:rPr>
          <w:rFonts w:hint="eastAsia" w:ascii="宋体" w:hAnsi="宋体" w:eastAsia="宋体" w:cs="宋体"/>
          <w:color w:val="000000"/>
          <w:sz w:val="24"/>
          <w:szCs w:val="24"/>
        </w:rPr>
        <w:t>付息率100%</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000000"/>
          <w:sz w:val="24"/>
          <w:szCs w:val="24"/>
          <w:lang w:val="en-US" w:eastAsia="zh-CN"/>
        </w:rPr>
        <w:t>（4）根据2023年收支测算，</w:t>
      </w:r>
      <w:r>
        <w:rPr>
          <w:rFonts w:hint="eastAsia" w:ascii="宋体" w:hAnsi="宋体" w:eastAsia="宋体" w:cs="宋体"/>
          <w:b w:val="0"/>
          <w:bCs w:val="0"/>
          <w:sz w:val="24"/>
          <w:szCs w:val="24"/>
          <w:highlight w:val="none"/>
          <w:lang w:val="en-US" w:eastAsia="zh-CN"/>
        </w:rPr>
        <w:t>项目收益与融资能实现自求平衡</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b w:val="0"/>
          <w:bCs w:val="0"/>
          <w:sz w:val="24"/>
          <w:szCs w:val="24"/>
          <w:highlight w:val="none"/>
          <w:lang w:val="en-US" w:eastAsia="zh-CN"/>
        </w:rPr>
        <w:t>（5）收费按标准收取，无漏收、少收现象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5.项目效率效果及幼儿家长满意度目标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lang w:val="en-US" w:eastAsia="zh-CN"/>
        </w:rPr>
        <w:t>（1）资产、</w:t>
      </w:r>
      <w:r>
        <w:rPr>
          <w:rFonts w:hint="eastAsia" w:ascii="宋体" w:hAnsi="宋体" w:eastAsia="宋体" w:cs="宋体"/>
          <w:b w:val="0"/>
          <w:bCs w:val="0"/>
          <w:color w:val="000000"/>
          <w:sz w:val="24"/>
          <w:szCs w:val="24"/>
          <w:highlight w:val="none"/>
          <w:lang w:val="en-US" w:eastAsia="zh-CN"/>
        </w:rPr>
        <w:t>设施设备利用率100%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highlight w:val="none"/>
          <w:lang w:val="en-US" w:eastAsia="zh-CN"/>
        </w:rPr>
        <w:t>2）经济效益：达到《</w:t>
      </w:r>
      <w:r>
        <w:rPr>
          <w:rFonts w:hint="eastAsia" w:ascii="宋体" w:hAnsi="宋体" w:eastAsia="宋体" w:cs="宋体"/>
          <w:b w:val="0"/>
          <w:bCs w:val="0"/>
          <w:sz w:val="24"/>
          <w:szCs w:val="24"/>
          <w:highlight w:val="none"/>
          <w:lang w:val="en-US" w:eastAsia="zh-CN"/>
        </w:rPr>
        <w:t>融资平衡方案</w:t>
      </w:r>
      <w:r>
        <w:rPr>
          <w:rFonts w:hint="eastAsia" w:ascii="宋体" w:hAnsi="宋体" w:eastAsia="宋体" w:cs="宋体"/>
          <w:b w:val="0"/>
          <w:bCs w:val="0"/>
          <w:color w:val="000000"/>
          <w:sz w:val="24"/>
          <w:szCs w:val="24"/>
          <w:highlight w:val="none"/>
          <w:lang w:val="en-US" w:eastAsia="zh-CN"/>
        </w:rPr>
        <w:t>》预测的学费收入151.2万元，上交保教费收入100%。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（3）社会效益：提高云溪区基础教育水平，改善幼儿阶段办学条件，提高教育质量，维护教育公平。</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（4）可持续性：一是本区新生儿出生人口对后期招生人数影响较小，二是有区财政资金扶持，三是幼儿园评定等级达到市、省级标准。</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（5）对项目建设质量及运营管理</w:t>
      </w:r>
      <w:r>
        <w:rPr>
          <w:rFonts w:hint="eastAsia" w:ascii="宋体" w:hAnsi="宋体" w:eastAsia="宋体" w:cs="宋体"/>
          <w:b w:val="0"/>
          <w:bCs w:val="0"/>
          <w:sz w:val="24"/>
          <w:szCs w:val="24"/>
        </w:rPr>
        <w:t>满意度</w:t>
      </w:r>
      <w:r>
        <w:rPr>
          <w:rFonts w:hint="eastAsia" w:ascii="宋体" w:hAnsi="宋体" w:eastAsia="宋体" w:cs="宋体"/>
          <w:b w:val="0"/>
          <w:bCs w:val="0"/>
          <w:sz w:val="24"/>
          <w:szCs w:val="24"/>
          <w:lang w:val="en-US" w:eastAsia="zh-CN"/>
        </w:rPr>
        <w:t>达90</w:t>
      </w:r>
      <w:r>
        <w:rPr>
          <w:rFonts w:hint="eastAsia" w:ascii="宋体" w:hAnsi="宋体" w:eastAsia="宋体" w:cs="宋体"/>
          <w:b w:val="0"/>
          <w:bCs w:val="0"/>
          <w:sz w:val="24"/>
          <w:szCs w:val="24"/>
        </w:rPr>
        <w:t>%以上</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●评价结论</w:t>
      </w:r>
      <w:r>
        <w:rPr>
          <w:rFonts w:hint="eastAsia" w:ascii="宋体" w:hAnsi="宋体" w:eastAsia="宋体" w:cs="宋体"/>
          <w:b/>
          <w:bCs/>
          <w:sz w:val="28"/>
          <w:szCs w:val="28"/>
          <w:highlight w:val="none"/>
          <w:lang w:val="en-US" w:eastAsia="zh-CN"/>
        </w:rPr>
        <w:t>及主要绩效</w:t>
      </w:r>
    </w:p>
    <w:p>
      <w:pPr>
        <w:keepNext w:val="0"/>
        <w:keepLines w:val="0"/>
        <w:pageBreakBefore w:val="0"/>
        <w:widowControl w:val="0"/>
        <w:numPr>
          <w:ilvl w:val="0"/>
          <w:numId w:val="6"/>
        </w:numPr>
        <w:kinsoku/>
        <w:wordWrap/>
        <w:overflowPunct/>
        <w:topLinePunct w:val="0"/>
        <w:autoSpaceDE/>
        <w:autoSpaceDN/>
        <w:bidi w:val="0"/>
        <w:adjustRightInd w:val="0"/>
        <w:snapToGrid/>
        <w:spacing w:line="440" w:lineRule="exact"/>
        <w:ind w:left="-142" w:leftChars="0" w:firstLine="562" w:firstLineChars="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评价结论</w:t>
      </w:r>
    </w:p>
    <w:p>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经绩效评价小组评定项目得分80分，等级为“良好”。其中：</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1、项目决策： 分值15分   得分13分     扣分2分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sectPr>
          <w:footerReference r:id="rId9" w:type="default"/>
          <w:pgSz w:w="11906" w:h="16838"/>
          <w:pgMar w:top="1440" w:right="1644" w:bottom="1247" w:left="164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2、过程管理： 分值25分   得分18.5分  扣分6.5分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3、项目产出： 分值30分   得分20.5分  扣分9.5分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4、项目效益： 分值30分   得分28分    扣分2分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具体见《</w:t>
      </w:r>
      <w:r>
        <w:rPr>
          <w:rFonts w:hint="eastAsia" w:ascii="宋体" w:hAnsi="宋体" w:eastAsia="宋体" w:cs="宋体"/>
          <w:b w:val="0"/>
          <w:bCs w:val="0"/>
          <w:sz w:val="24"/>
          <w:szCs w:val="24"/>
          <w:highlight w:val="none"/>
          <w:lang w:val="en-US" w:eastAsia="zh-CN"/>
        </w:rPr>
        <w:t>云溪区城南幼儿园建设专项债券项目绩效</w:t>
      </w:r>
      <w:r>
        <w:rPr>
          <w:rFonts w:hint="eastAsia" w:ascii="宋体" w:hAnsi="宋体" w:eastAsia="宋体" w:cs="宋体"/>
          <w:b w:val="0"/>
          <w:bCs w:val="0"/>
          <w:sz w:val="24"/>
          <w:szCs w:val="24"/>
          <w:lang w:val="en-US" w:eastAsia="zh-CN"/>
        </w:rPr>
        <w:t>评分表》（附件2）</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142" w:leftChars="0" w:firstLine="562" w:firstLineChars="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主要绩效</w:t>
      </w:r>
    </w:p>
    <w:p>
      <w:pPr>
        <w:keepNext w:val="0"/>
        <w:keepLines w:val="0"/>
        <w:pageBreakBefore w:val="0"/>
        <w:widowControl w:val="0"/>
        <w:numPr>
          <w:ilvl w:val="0"/>
          <w:numId w:val="0"/>
        </w:numPr>
        <w:tabs>
          <w:tab w:val="left" w:pos="626"/>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1.扩大办学规模，</w:t>
      </w:r>
      <w:r>
        <w:rPr>
          <w:rFonts w:hint="eastAsia" w:ascii="宋体" w:hAnsi="宋体" w:eastAsia="宋体" w:cs="宋体"/>
          <w:b w:val="0"/>
          <w:bCs w:val="0"/>
          <w:color w:val="auto"/>
          <w:sz w:val="24"/>
          <w:szCs w:val="24"/>
          <w:lang w:val="en-US" w:eastAsia="zh-CN"/>
        </w:rPr>
        <w:t>满足社会需求</w:t>
      </w:r>
    </w:p>
    <w:p>
      <w:pPr>
        <w:keepNext w:val="0"/>
        <w:keepLines w:val="0"/>
        <w:pageBreakBefore w:val="0"/>
        <w:widowControl w:val="0"/>
        <w:numPr>
          <w:ilvl w:val="0"/>
          <w:numId w:val="0"/>
        </w:numPr>
        <w:tabs>
          <w:tab w:val="left" w:pos="626"/>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2.提高教学质量，促进基础教育持续健康发展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3.为幼儿及教职工提供一个良好的学习和生活环境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kern w:val="0"/>
          <w:sz w:val="24"/>
          <w:szCs w:val="24"/>
          <w:lang w:val="en-US" w:eastAsia="zh-CN" w:bidi="ar-SA"/>
        </w:rPr>
        <w:t>4.项目运营带来一定的经济效益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存在问题及建议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（一）存在问题</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1.项目绩效指标设置不完整、不规范</w:t>
      </w:r>
    </w:p>
    <w:p>
      <w:pPr>
        <w:keepNext w:val="0"/>
        <w:keepLines w:val="0"/>
        <w:pageBreakBefore w:val="0"/>
        <w:widowControl w:val="0"/>
        <w:numPr>
          <w:ilvl w:val="0"/>
          <w:numId w:val="0"/>
        </w:numPr>
        <w:kinsoku/>
        <w:wordWrap/>
        <w:overflowPunct/>
        <w:topLinePunct w:val="0"/>
        <w:autoSpaceDE/>
        <w:bidi w:val="0"/>
        <w:adjustRightInd/>
        <w:snapToGrid/>
        <w:spacing w:line="440" w:lineRule="exact"/>
        <w:ind w:firstLine="480" w:firstLineChars="20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2.立项规模发生变更，未</w:t>
      </w:r>
      <w:r>
        <w:rPr>
          <w:rFonts w:hint="eastAsia" w:ascii="宋体" w:hAnsi="宋体" w:eastAsia="宋体" w:cs="宋体"/>
          <w:b w:val="0"/>
          <w:bCs w:val="0"/>
          <w:kern w:val="2"/>
          <w:sz w:val="24"/>
          <w:szCs w:val="24"/>
          <w:highlight w:val="none"/>
          <w:lang w:val="en-US" w:eastAsia="zh-CN" w:bidi="ar-SA"/>
        </w:rPr>
        <w:t>按照规定的程序办理相关变更手续</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3.项目建筑面积及投资额超相关标准，建设成本控制不到位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4.未按时开工及竣工验收，项目建设时效控制不到位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5.投入运营手续不齐全，资产管理不规范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val="0"/>
          <w:bCs w:val="0"/>
          <w:color w:val="000000"/>
          <w:sz w:val="24"/>
          <w:szCs w:val="24"/>
          <w:lang w:val="en-US" w:eastAsia="zh-CN"/>
        </w:rPr>
        <w:t>6.项目合同管理欠规范，合同金额超概算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7.收费标准未经相关部门审核，依据不充分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8.实际与预期净收益存在很大差异，无法实现项目实际收益和融资自求平衡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9.招生人数将低于预期，教育资源未得到充分利用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10.监管不到位，未建立应对的债券风险防范措施。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（二）相关建议</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both"/>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1.加强</w:t>
      </w:r>
      <w:r>
        <w:rPr>
          <w:rFonts w:hint="eastAsia" w:ascii="宋体" w:hAnsi="宋体" w:eastAsia="宋体" w:cs="宋体"/>
          <w:b w:val="0"/>
          <w:bCs w:val="0"/>
          <w:sz w:val="24"/>
          <w:szCs w:val="24"/>
        </w:rPr>
        <w:t>绩效</w:t>
      </w:r>
      <w:r>
        <w:rPr>
          <w:rFonts w:hint="eastAsia" w:ascii="宋体" w:hAnsi="宋体" w:eastAsia="宋体" w:cs="宋体"/>
          <w:b w:val="0"/>
          <w:bCs w:val="0"/>
          <w:sz w:val="24"/>
          <w:szCs w:val="24"/>
          <w:lang w:val="en-US" w:eastAsia="zh-CN"/>
        </w:rPr>
        <w:t>管理</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按要求设置绩效指标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2.按照规定的程序补办相关手续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3.增收节支，争取运营收益达到预测标准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4.加强财务核算，未经批准不得擅自确定收费标准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5.制订风控机制及措施，严控债券资金风险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6.加快办理项目竣工手续及项目工程预算、决算审计工作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7.加强项目资产管理，及时办理交接手续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ascii="宋体" w:hAnsi="宋体" w:eastAsia="宋体" w:cs="宋体"/>
          <w:b/>
          <w:bCs w:val="0"/>
          <w:sz w:val="21"/>
          <w:szCs w:val="21"/>
          <w:lang w:val="en-US" w:eastAsia="zh-CN"/>
        </w:rPr>
        <w:sectPr>
          <w:footerReference r:id="rId10" w:type="default"/>
          <w:pgSz w:w="11906" w:h="16838"/>
          <w:pgMar w:top="1440" w:right="1644" w:bottom="1247" w:left="1644" w:header="851" w:footer="992" w:gutter="0"/>
          <w:pgNumType w:fmt="decimal" w:start="1"/>
          <w:cols w:space="720" w:num="1"/>
          <w:docGrid w:type="lines" w:linePitch="312" w:charSpace="0"/>
        </w:sectPr>
      </w:pPr>
      <w:r>
        <w:rPr>
          <w:rFonts w:hint="eastAsia" w:ascii="宋体" w:hAnsi="宋体" w:eastAsia="宋体" w:cs="宋体"/>
          <w:b/>
          <w:bCs/>
          <w:color w:val="000000"/>
          <w:sz w:val="28"/>
          <w:szCs w:val="28"/>
          <w:lang w:val="en-US" w:eastAsia="zh-CN"/>
        </w:rPr>
        <w:t>具体内容见报告正文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bCs w:val="0"/>
          <w:sz w:val="21"/>
          <w:szCs w:val="21"/>
          <w:lang w:val="en-US" w:eastAsia="zh-CN"/>
        </w:rPr>
      </w:pPr>
    </w:p>
    <w:p>
      <w:pPr>
        <w:tabs>
          <w:tab w:val="left" w:pos="2835"/>
          <w:tab w:val="left" w:pos="4725"/>
        </w:tabs>
        <w:spacing w:line="940" w:lineRule="exact"/>
        <w:ind w:firstLine="601" w:firstLineChars="100"/>
        <w:outlineLvl w:val="1"/>
        <w:rPr>
          <w:rFonts w:hint="eastAsia"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hint="eastAsia"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hint="eastAsia" w:ascii="楷体_GB2312" w:hAnsi="宋体" w:eastAsia="楷体_GB2312"/>
          <w:b/>
          <w:color w:val="auto"/>
          <w:spacing w:val="20"/>
          <w:sz w:val="36"/>
          <w:szCs w:val="36"/>
        </w:rPr>
      </w:pPr>
      <w:r>
        <w:rPr>
          <w:rFonts w:hint="eastAsia" w:ascii="楷体_GB2312" w:hAnsi="宋体" w:eastAsia="楷体_GB2312"/>
          <w:b/>
          <w:color w:val="auto"/>
          <w:spacing w:val="20"/>
          <w:sz w:val="36"/>
          <w:szCs w:val="36"/>
        </w:rPr>
        <w:t>湘恒兴专审字（20</w:t>
      </w:r>
      <w:r>
        <w:rPr>
          <w:rFonts w:hint="eastAsia" w:ascii="楷体_GB2312" w:hAnsi="宋体" w:eastAsia="楷体_GB2312"/>
          <w:b/>
          <w:color w:val="auto"/>
          <w:spacing w:val="20"/>
          <w:sz w:val="36"/>
          <w:szCs w:val="36"/>
          <w:lang w:val="en-US" w:eastAsia="zh-CN"/>
        </w:rPr>
        <w:t>23</w:t>
      </w:r>
      <w:r>
        <w:rPr>
          <w:rFonts w:hint="eastAsia" w:ascii="楷体_GB2312" w:hAnsi="宋体" w:eastAsia="楷体_GB2312"/>
          <w:b/>
          <w:color w:val="auto"/>
          <w:spacing w:val="20"/>
          <w:sz w:val="36"/>
          <w:szCs w:val="36"/>
        </w:rPr>
        <w:t>）第0</w:t>
      </w:r>
      <w:r>
        <w:rPr>
          <w:rFonts w:hint="eastAsia" w:ascii="楷体_GB2312" w:hAnsi="宋体" w:eastAsia="楷体_GB2312"/>
          <w:b/>
          <w:color w:val="auto"/>
          <w:spacing w:val="20"/>
          <w:sz w:val="36"/>
          <w:szCs w:val="36"/>
          <w:lang w:val="en-US" w:eastAsia="zh-CN"/>
        </w:rPr>
        <w:t>53</w:t>
      </w:r>
      <w:r>
        <w:rPr>
          <w:rFonts w:hint="eastAsia" w:ascii="楷体_GB2312" w:hAnsi="宋体" w:eastAsia="楷体_GB2312"/>
          <w:b/>
          <w:color w:val="auto"/>
          <w:spacing w:val="20"/>
          <w:sz w:val="36"/>
          <w:szCs w:val="36"/>
        </w:rPr>
        <w:t>号</w:t>
      </w:r>
    </w:p>
    <w:p>
      <w:pPr>
        <w:spacing w:line="760" w:lineRule="exact"/>
        <w:jc w:val="center"/>
        <w:rPr>
          <w:rFonts w:hint="default" w:ascii="黑体" w:hAnsi="宋体" w:eastAsia="黑体"/>
          <w:b/>
          <w:sz w:val="32"/>
          <w:szCs w:val="32"/>
          <w:lang w:val="en-US"/>
        </w:rPr>
      </w:pPr>
      <w:r>
        <w:rPr>
          <w:rFonts w:ascii="宋体" w:hAnsi="宋体"/>
          <w:b/>
          <w:sz w:val="32"/>
          <w:szCs w:val="32"/>
        </w:rPr>
        <mc:AlternateContent>
          <mc:Choice Requires="wps">
            <w:drawing>
              <wp:anchor distT="0" distB="0" distL="114300" distR="114300" simplePos="0" relativeHeight="251659264" behindDoc="0" locked="0" layoutInCell="0" hidden="1"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0" y="0"/>
                    <wp:lineTo x="21600" y="0"/>
                    <wp:lineTo x="0" y="0"/>
                  </wp:wrapPolygon>
                </wp:wrapTight>
                <wp:docPr id="1" name="直线 11" hidden="1"/>
                <wp:cNvGraphicFramePr/>
                <a:graphic xmlns:a="http://schemas.openxmlformats.org/drawingml/2006/main">
                  <a:graphicData uri="http://schemas.microsoft.com/office/word/2010/wordprocessingShape">
                    <wps:wsp>
                      <wps:cNvSpPr/>
                      <wps:spPr>
                        <a:xfrm>
                          <a:off x="0" y="0"/>
                          <a:ext cx="5400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25pt;margin-top:3.4pt;height:0pt;width:425.25pt;mso-wrap-distance-left:9pt;mso-wrap-distance-right:9pt;visibility:hidden;z-index:251659264;mso-width-relative:page;mso-height-relative:page;" filled="f" stroked="t" coordsize="21600,21600" wrapcoords="0 0 21600 0 0 0" o:allowincell="f" o:gfxdata="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vMFk0gAA&#10;AAYBAAAPAAAAAAAAAAEAIAAAACIAAABkcnMvZG93bnJldi54bWxQSwECFAAUAAAACACHTuJAgm1j&#10;/+sBAADnAwAADgAAAAAAAAABACAAAAAhAQAAZHJzL2Uyb0RvYy54bWxQSwUGAAAAAAYABgBZAQAA&#10;fgUAAAAA&#10;">
                <v:fill on="f" focussize="0,0"/>
                <v:stroke color="#000000" joinstyle="round"/>
                <v:imagedata o:title=""/>
                <o:lock v:ext="edit" aspectratio="f"/>
                <w10:wrap type="tight"/>
              </v:line>
            </w:pict>
          </mc:Fallback>
        </mc:AlternateContent>
      </w:r>
      <w:r>
        <w:rPr>
          <w:rFonts w:hint="eastAsia" w:ascii="黑体" w:hAnsi="宋体" w:eastAsia="黑体" w:cs="Times New Roman"/>
          <w:b/>
          <w:sz w:val="32"/>
          <w:szCs w:val="32"/>
          <w:lang w:eastAsia="zh-CN"/>
        </w:rPr>
        <w:t>岳阳市云溪区</w:t>
      </w:r>
      <w:r>
        <w:rPr>
          <w:rFonts w:hint="eastAsia" w:ascii="黑体" w:hAnsi="宋体" w:eastAsia="黑体" w:cs="Times New Roman"/>
          <w:b/>
          <w:sz w:val="32"/>
          <w:szCs w:val="32"/>
          <w:lang w:val="en-US" w:eastAsia="zh-CN"/>
        </w:rPr>
        <w:t>城南幼儿园</w:t>
      </w:r>
      <w:r>
        <w:rPr>
          <w:rFonts w:hint="eastAsia" w:ascii="黑体" w:hAnsi="宋体" w:eastAsia="黑体" w:cs="Times New Roman"/>
          <w:b/>
          <w:sz w:val="32"/>
          <w:szCs w:val="32"/>
          <w:lang w:eastAsia="zh-CN"/>
        </w:rPr>
        <w:t>建设专项债券项目</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岳阳市云溪区</w:t>
      </w:r>
      <w:r>
        <w:rPr>
          <w:rFonts w:hint="eastAsia" w:ascii="宋体" w:hAnsi="宋体" w:eastAsia="宋体" w:cs="宋体"/>
          <w:b/>
          <w:bCs/>
          <w:sz w:val="28"/>
          <w:szCs w:val="28"/>
        </w:rPr>
        <w:t>财政局</w:t>
      </w:r>
      <w:r>
        <w:rPr>
          <w:rFonts w:hint="eastAsia" w:ascii="宋体" w:hAnsi="宋体" w:eastAsia="宋体" w:cs="宋体"/>
          <w:sz w:val="28"/>
          <w:szCs w:val="28"/>
        </w:rPr>
        <w:t>：</w:t>
      </w:r>
    </w:p>
    <w:p>
      <w:pPr>
        <w:keepNext w:val="0"/>
        <w:keepLines w:val="0"/>
        <w:pageBreakBefore w:val="0"/>
        <w:widowControl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接受贵局委托，</w:t>
      </w:r>
      <w:r>
        <w:rPr>
          <w:rFonts w:hint="eastAsia" w:ascii="宋体" w:hAnsi="宋体" w:eastAsia="宋体" w:cs="宋体"/>
          <w:sz w:val="28"/>
          <w:szCs w:val="28"/>
          <w:lang w:val="en-US" w:eastAsia="zh-CN"/>
        </w:rPr>
        <w:t>湖南恒兴联合会计师事务所（普通合伙）（以下简称：</w:t>
      </w:r>
      <w:r>
        <w:rPr>
          <w:rFonts w:hint="eastAsia" w:ascii="宋体" w:hAnsi="宋体" w:eastAsia="宋体" w:cs="宋体"/>
          <w:sz w:val="28"/>
          <w:szCs w:val="28"/>
        </w:rPr>
        <w:t>我所</w:t>
      </w:r>
      <w:r>
        <w:rPr>
          <w:rFonts w:hint="eastAsia" w:ascii="宋体" w:hAnsi="宋体" w:eastAsia="宋体" w:cs="宋体"/>
          <w:sz w:val="28"/>
          <w:szCs w:val="28"/>
          <w:lang w:eastAsia="zh-CN"/>
        </w:rPr>
        <w:t>）</w:t>
      </w:r>
      <w:r>
        <w:rPr>
          <w:rFonts w:hint="eastAsia" w:ascii="宋体" w:hAnsi="宋体" w:eastAsia="宋体" w:cs="宋体"/>
          <w:sz w:val="28"/>
          <w:szCs w:val="28"/>
        </w:rPr>
        <w:t>对</w:t>
      </w:r>
      <w:r>
        <w:rPr>
          <w:rFonts w:hint="eastAsia" w:ascii="宋体" w:hAnsi="宋体" w:eastAsia="宋体" w:cs="宋体"/>
          <w:sz w:val="28"/>
          <w:szCs w:val="28"/>
          <w:lang w:val="en-US" w:eastAsia="zh-CN"/>
        </w:rPr>
        <w:t>岳阳市云溪区教育体育局（以下简称</w:t>
      </w:r>
      <w:r>
        <w:rPr>
          <w:rFonts w:hint="eastAsia" w:ascii="宋体" w:hAnsi="宋体" w:eastAsia="宋体" w:cs="宋体"/>
          <w:sz w:val="28"/>
          <w:szCs w:val="28"/>
          <w:highlight w:val="none"/>
          <w:lang w:val="en-US" w:eastAsia="zh-CN"/>
        </w:rPr>
        <w:t>“区教体局”</w:t>
      </w:r>
      <w:r>
        <w:rPr>
          <w:rFonts w:hint="eastAsia" w:ascii="宋体" w:hAnsi="宋体" w:eastAsia="宋体" w:cs="宋体"/>
          <w:sz w:val="28"/>
          <w:szCs w:val="28"/>
          <w:lang w:val="en-US" w:eastAsia="zh-CN"/>
        </w:rPr>
        <w:t>）组织实施的岳阳市云溪区城南幼儿园建设专项债券项目</w:t>
      </w:r>
      <w:r>
        <w:rPr>
          <w:rFonts w:hint="eastAsia" w:ascii="宋体" w:hAnsi="宋体" w:eastAsia="宋体" w:cs="宋体"/>
          <w:b w:val="0"/>
          <w:bCs w:val="0"/>
          <w:sz w:val="28"/>
          <w:szCs w:val="28"/>
          <w:lang w:eastAsia="zh-CN"/>
        </w:rPr>
        <w:t>（</w:t>
      </w:r>
      <w:r>
        <w:rPr>
          <w:rFonts w:hint="eastAsia" w:ascii="宋体" w:hAnsi="宋体" w:eastAsia="宋体" w:cs="宋体"/>
          <w:bCs/>
          <w:sz w:val="28"/>
          <w:szCs w:val="28"/>
          <w:lang w:eastAsia="zh-CN"/>
        </w:rPr>
        <w:t>以下简称“</w:t>
      </w:r>
      <w:r>
        <w:rPr>
          <w:rFonts w:hint="eastAsia" w:ascii="宋体" w:hAnsi="宋体" w:eastAsia="宋体" w:cs="宋体"/>
          <w:b w:val="0"/>
          <w:bCs w:val="0"/>
          <w:sz w:val="28"/>
          <w:szCs w:val="28"/>
          <w:lang w:val="en-US" w:eastAsia="zh-CN"/>
        </w:rPr>
        <w:t>项目”</w:t>
      </w:r>
      <w:r>
        <w:rPr>
          <w:rFonts w:hint="eastAsia" w:ascii="宋体" w:hAnsi="宋体" w:eastAsia="宋体" w:cs="宋体"/>
          <w:bCs/>
          <w:sz w:val="28"/>
          <w:szCs w:val="28"/>
          <w:lang w:eastAsia="zh-CN"/>
        </w:rPr>
        <w:t>）</w:t>
      </w:r>
      <w:r>
        <w:rPr>
          <w:rFonts w:hint="eastAsia" w:ascii="宋体" w:hAnsi="宋体" w:eastAsia="宋体" w:cs="宋体"/>
          <w:sz w:val="28"/>
          <w:szCs w:val="28"/>
        </w:rPr>
        <w:t>实施</w:t>
      </w:r>
      <w:r>
        <w:rPr>
          <w:rFonts w:hint="eastAsia" w:ascii="宋体" w:hAnsi="宋体" w:eastAsia="宋体" w:cs="宋体"/>
          <w:sz w:val="28"/>
          <w:szCs w:val="28"/>
          <w:lang w:eastAsia="zh-CN"/>
        </w:rPr>
        <w:t>重点</w:t>
      </w:r>
      <w:r>
        <w:rPr>
          <w:rFonts w:hint="eastAsia" w:ascii="宋体" w:hAnsi="宋体" w:eastAsia="宋体" w:cs="宋体"/>
          <w:sz w:val="28"/>
          <w:szCs w:val="28"/>
        </w:rPr>
        <w:t>绩效评价。</w:t>
      </w:r>
    </w:p>
    <w:p>
      <w:pPr>
        <w:keepNext w:val="0"/>
        <w:keepLines w:val="0"/>
        <w:pageBreakBefore w:val="0"/>
        <w:widowControl w:val="0"/>
        <w:tabs>
          <w:tab w:val="left" w:pos="342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highlight w:val="none"/>
          <w:lang w:val="en-US" w:eastAsia="zh-CN"/>
        </w:rPr>
        <w:t>区教体局</w:t>
      </w:r>
      <w:r>
        <w:rPr>
          <w:rFonts w:hint="eastAsia" w:ascii="宋体" w:hAnsi="宋体" w:eastAsia="宋体" w:cs="宋体"/>
          <w:sz w:val="28"/>
          <w:szCs w:val="28"/>
          <w:lang w:val="en-US" w:eastAsia="zh-CN"/>
        </w:rPr>
        <w:t>及项目相关单位</w:t>
      </w:r>
      <w:r>
        <w:rPr>
          <w:rFonts w:hint="eastAsia" w:ascii="宋体" w:hAnsi="宋体" w:eastAsia="宋体" w:cs="宋体"/>
          <w:sz w:val="28"/>
          <w:szCs w:val="28"/>
        </w:rPr>
        <w:t>应当对其所提供的绩效评价相关资料的真实性、合法性和完整性负责。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highlight w:val="none"/>
        </w:rPr>
        <w:t>根据《湖南省</w:t>
      </w:r>
      <w:r>
        <w:rPr>
          <w:rFonts w:hint="eastAsia" w:ascii="宋体" w:hAnsi="宋体" w:eastAsia="宋体" w:cs="宋体"/>
          <w:color w:val="000000"/>
          <w:sz w:val="28"/>
          <w:szCs w:val="28"/>
          <w:highlight w:val="none"/>
          <w:lang w:val="en-US" w:eastAsia="zh-CN"/>
        </w:rPr>
        <w:t>政府债务项目绩效管理暂行办法》（湘财绩[2020]12号）及云溪区</w:t>
      </w:r>
      <w:r>
        <w:rPr>
          <w:rFonts w:hint="eastAsia" w:ascii="宋体" w:hAnsi="宋体" w:eastAsia="宋体" w:cs="宋体"/>
          <w:bCs/>
          <w:color w:val="000000"/>
          <w:sz w:val="28"/>
          <w:szCs w:val="28"/>
          <w:highlight w:val="none"/>
        </w:rPr>
        <w:t>财政局《绩效</w:t>
      </w:r>
      <w:r>
        <w:rPr>
          <w:rFonts w:hint="eastAsia" w:ascii="宋体" w:hAnsi="宋体" w:eastAsia="宋体" w:cs="宋体"/>
          <w:bCs/>
          <w:color w:val="000000"/>
          <w:sz w:val="28"/>
          <w:szCs w:val="28"/>
          <w:highlight w:val="none"/>
          <w:lang w:val="en-US" w:eastAsia="zh-CN"/>
        </w:rPr>
        <w:t>管理</w:t>
      </w:r>
      <w:r>
        <w:rPr>
          <w:rFonts w:hint="eastAsia" w:ascii="宋体" w:hAnsi="宋体" w:eastAsia="宋体" w:cs="宋体"/>
          <w:bCs/>
          <w:color w:val="000000"/>
          <w:sz w:val="28"/>
          <w:szCs w:val="28"/>
          <w:highlight w:val="none"/>
        </w:rPr>
        <w:t>业务委托</w:t>
      </w:r>
      <w:r>
        <w:rPr>
          <w:rFonts w:hint="eastAsia" w:ascii="宋体" w:hAnsi="宋体" w:eastAsia="宋体" w:cs="宋体"/>
          <w:bCs/>
          <w:color w:val="000000"/>
          <w:sz w:val="28"/>
          <w:szCs w:val="28"/>
          <w:highlight w:val="none"/>
          <w:lang w:val="en-US" w:eastAsia="zh-CN"/>
        </w:rPr>
        <w:t>协议书</w:t>
      </w:r>
      <w:r>
        <w:rPr>
          <w:rFonts w:hint="eastAsia" w:ascii="宋体" w:hAnsi="宋体" w:eastAsia="宋体" w:cs="宋体"/>
          <w:bCs/>
          <w:color w:val="000000"/>
          <w:sz w:val="28"/>
          <w:szCs w:val="28"/>
          <w:highlight w:val="none"/>
        </w:rPr>
        <w:t>》</w:t>
      </w:r>
      <w:r>
        <w:rPr>
          <w:rFonts w:hint="eastAsia" w:ascii="宋体" w:hAnsi="宋体" w:eastAsia="宋体" w:cs="宋体"/>
          <w:color w:val="000000"/>
          <w:sz w:val="28"/>
          <w:szCs w:val="28"/>
          <w:highlight w:val="none"/>
        </w:rPr>
        <w:t>等有关要求</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我所本着客观、公正的原则，按照绩效评价工作方案确定的评价指标、评价标准和评</w:t>
      </w:r>
      <w:r>
        <w:rPr>
          <w:rFonts w:hint="eastAsia" w:ascii="宋体" w:hAnsi="宋体" w:eastAsia="宋体" w:cs="宋体"/>
          <w:color w:val="000000"/>
          <w:sz w:val="28"/>
          <w:szCs w:val="28"/>
          <w:lang w:val="en-US" w:eastAsia="zh-CN"/>
        </w:rPr>
        <w:t>价方法，对</w:t>
      </w:r>
      <w:r>
        <w:rPr>
          <w:rFonts w:hint="eastAsia" w:ascii="宋体" w:hAnsi="宋体" w:eastAsia="宋体" w:cs="宋体"/>
          <w:b w:val="0"/>
          <w:bCs w:val="0"/>
          <w:sz w:val="28"/>
          <w:szCs w:val="28"/>
          <w:lang w:val="en-US" w:eastAsia="zh-CN"/>
        </w:rPr>
        <w:t>项目建设及运营情况</w:t>
      </w:r>
      <w:r>
        <w:rPr>
          <w:rFonts w:hint="eastAsia" w:ascii="宋体" w:hAnsi="宋体" w:eastAsia="宋体" w:cs="宋体"/>
          <w:color w:val="000000"/>
          <w:sz w:val="28"/>
          <w:szCs w:val="28"/>
        </w:rPr>
        <w:t>进行</w:t>
      </w:r>
      <w:r>
        <w:rPr>
          <w:rFonts w:hint="eastAsia" w:ascii="宋体" w:hAnsi="宋体" w:eastAsia="宋体" w:cs="宋体"/>
          <w:color w:val="000000"/>
          <w:sz w:val="28"/>
          <w:szCs w:val="28"/>
          <w:lang w:val="en-US" w:eastAsia="zh-CN"/>
        </w:rPr>
        <w:t>了较全面的分析和综合评价，形成了本报告</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b/>
          <w:sz w:val="28"/>
          <w:szCs w:val="28"/>
        </w:rPr>
      </w:pPr>
      <w:r>
        <w:rPr>
          <w:rFonts w:hint="eastAsia" w:ascii="宋体" w:hAnsi="宋体" w:eastAsia="宋体" w:cs="宋体"/>
          <w:b/>
          <w:sz w:val="32"/>
          <w:szCs w:val="32"/>
        </w:rPr>
        <w:t>一、基本情况</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lang w:val="zh-CN"/>
        </w:rPr>
      </w:pPr>
      <w:r>
        <w:rPr>
          <w:rFonts w:hint="eastAsia" w:ascii="楷体_GB2312" w:hAnsi="Times New Roman" w:eastAsia="楷体_GB2312" w:cs="Times New Roman"/>
          <w:b/>
          <w:kern w:val="0"/>
          <w:sz w:val="32"/>
          <w:szCs w:val="32"/>
          <w:lang w:val="zh-CN"/>
        </w:rPr>
        <w:t>（一）</w:t>
      </w:r>
      <w:r>
        <w:rPr>
          <w:rFonts w:hint="eastAsia" w:ascii="楷体_GB2312" w:hAnsi="Times New Roman" w:eastAsia="楷体_GB2312" w:cs="Times New Roman"/>
          <w:b/>
          <w:kern w:val="0"/>
          <w:sz w:val="32"/>
          <w:szCs w:val="32"/>
          <w:lang w:val="en-US" w:eastAsia="zh-CN"/>
        </w:rPr>
        <w:t>项目</w:t>
      </w:r>
      <w:r>
        <w:rPr>
          <w:rFonts w:hint="eastAsia" w:ascii="楷体_GB2312" w:hAnsi="Times New Roman" w:eastAsia="楷体_GB2312" w:cs="Times New Roman"/>
          <w:b/>
          <w:kern w:val="0"/>
          <w:sz w:val="32"/>
          <w:szCs w:val="32"/>
          <w:lang w:val="zh-CN"/>
        </w:rPr>
        <w:t>概况</w:t>
      </w:r>
    </w:p>
    <w:p>
      <w:pPr>
        <w:keepNext w:val="0"/>
        <w:keepLines w:val="0"/>
        <w:pageBreakBefore w:val="0"/>
        <w:widowControl w:val="0"/>
        <w:kinsoku/>
        <w:wordWrap/>
        <w:overflowPunct/>
        <w:topLinePunct w:val="0"/>
        <w:autoSpaceDE/>
        <w:autoSpaceDN/>
        <w:bidi w:val="0"/>
        <w:adjustRightInd/>
        <w:snapToGrid/>
        <w:spacing w:line="520" w:lineRule="exact"/>
        <w:ind w:firstLine="703" w:firstLineChars="25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项目背景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近年来，随着云溪区经济和社会发展迅速，区、乡各级政府也不断加大对教育的投入，使云溪区中小学及幼儿阶段教育办学条件得到较大改善。目前云溪区拥有大汉新城、安居园、金石花园、电力佳园等大型住宅小区，随着一批新建和在建的住宅小区将陆续入驻，适龄幼儿数呈逐年递增的趋势，但中心城区幼儿教育、特别是优质学前教育资源不能满足社会需求，幼儿教育已成为中心城区众多家庭关注的重中之重。为使这些适龄幼儿能顺利入园，解决群众的后顾之忧，云溪区政府研究决定新建一所公立幼儿园-云溪区城南幼儿园（以下简称</w:t>
      </w:r>
      <w:r>
        <w:rPr>
          <w:rFonts w:hint="eastAsia" w:ascii="宋体" w:hAnsi="宋体" w:eastAsia="宋体" w:cs="宋体"/>
          <w:sz w:val="28"/>
          <w:szCs w:val="28"/>
          <w:highlight w:val="none"/>
          <w:lang w:val="en-US" w:eastAsia="zh-CN"/>
        </w:rPr>
        <w:t>区城南幼儿园）</w:t>
      </w:r>
      <w:r>
        <w:rPr>
          <w:rFonts w:hint="eastAsia" w:ascii="宋体" w:hAnsi="宋体" w:eastAsia="宋体" w:cs="宋体"/>
          <w:sz w:val="28"/>
          <w:szCs w:val="28"/>
          <w:highlight w:val="none"/>
          <w:lang w:val="en-US" w:eastAsia="zh-CN"/>
        </w:rPr>
        <w:t>，以从根本上彻底解决中心城区适龄儿童“入园难”的问题。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岳阳市云溪区城南幼儿园（以下简称城南幼儿园）建设地址位于岳阳市云溪区云鹰小学西侧，开泰路以南。项目于2020年在云溪区发展和改革局（以下简称区发改局）立项，规划办学规模为 12 个教学班（大、中、小各4 个班），最多可容纳 360 名幼儿入园；立项总建筑面积为9220 平方米，投资概算为 3,000.00万元，资金来源于政府专项债券资金及项目单位自筹资金。项目建设合同工期为2022年8月25至2023年4月25日。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建设主管单位为云溪区中小学校舍安全工程领导小组（以下简称区校安工程领导小组），因校安工程领导小组为临时机构，具备法人资质，但无统一社会信用代码证书，特委托岳阳市云溪区教育体育局（以下简称区教体局）为项目业主，由区教体局二级机构云溪区教育阳光服务中心负责组织具体实施，财务核算单位为区校安工程领导小组。该项目为EPC总承包工程，项目建设联合体中标建设单位为湖南和庆源建设工程有限公司（牵头方）、湖南泽天源建设工程有限公司和浙江新苑建设设计有限公司（成员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3.项目实际建设规模及内容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根据区教体局招标公告及与中标单位签订的合同：工程建设内容及规模：新建幼儿园一栋，总建筑面积约5172平方米，共三层，结构形式为框架结构，建筑耐火等级为二级；室外附属工程；门卫室及门头，建筑面积为42平方米，单层框架结构；围墙为通透式围墙，园区内布置了共同活动场地（包括沙坑、水池、种植园、跑道等）及班级分班活动场地；消防车道及场地园林绿化。</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643" w:firstLineChars="200"/>
        <w:textAlignment w:val="center"/>
        <w:rPr>
          <w:rFonts w:hint="eastAsia" w:ascii="宋体" w:hAnsi="宋体" w:eastAsia="宋体" w:cs="宋体"/>
          <w:b/>
          <w:bCs/>
          <w:sz w:val="28"/>
          <w:szCs w:val="28"/>
          <w:highlight w:val="none"/>
          <w:lang w:val="en-US" w:eastAsia="zh-CN"/>
        </w:rPr>
      </w:pPr>
      <w:r>
        <w:rPr>
          <w:rFonts w:hint="eastAsia" w:ascii="楷体_GB2312" w:hAnsi="Times New Roman" w:eastAsia="楷体_GB2312" w:cs="Times New Roman"/>
          <w:b/>
          <w:kern w:val="0"/>
          <w:sz w:val="32"/>
          <w:szCs w:val="32"/>
          <w:lang w:val="en-US" w:eastAsia="zh-CN"/>
        </w:rPr>
        <w:t>（二）项目资金情况</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1.项目计划总投资及资金来源</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val="0"/>
          <w:bCs/>
          <w:sz w:val="28"/>
          <w:szCs w:val="28"/>
          <w:highlight w:val="none"/>
          <w:lang w:val="en-US" w:eastAsia="zh-CN"/>
        </w:rPr>
        <w:t xml:space="preserve"> 区发改局2020年5月</w:t>
      </w:r>
      <w:r>
        <w:rPr>
          <w:rFonts w:hint="eastAsia" w:eastAsia="宋体" w:cs="宋体"/>
          <w:b w:val="0"/>
          <w:bCs/>
          <w:sz w:val="28"/>
          <w:szCs w:val="28"/>
          <w:highlight w:val="none"/>
          <w:lang w:val="en-US" w:eastAsia="zh-CN"/>
        </w:rPr>
        <w:t>《</w:t>
      </w:r>
      <w:r>
        <w:rPr>
          <w:rFonts w:hint="eastAsia" w:eastAsia="宋体" w:cs="宋体"/>
          <w:b w:val="0"/>
          <w:bCs/>
          <w:sz w:val="28"/>
          <w:szCs w:val="28"/>
          <w:highlight w:val="none"/>
          <w:lang w:val="en-US" w:eastAsia="zh-CN"/>
        </w:rPr>
        <w:t>关于岳阳市云溪区城南幼儿园建设项目可行性研究报告的批复</w:t>
      </w:r>
      <w:r>
        <w:rPr>
          <w:rFonts w:hint="eastAsia" w:eastAsia="宋体" w:cs="宋体"/>
          <w:b w:val="0"/>
          <w:bCs/>
          <w:sz w:val="28"/>
          <w:szCs w:val="28"/>
          <w:highlight w:val="none"/>
          <w:lang w:val="en-US" w:eastAsia="zh-CN"/>
        </w:rPr>
        <w:t>》</w:t>
      </w:r>
      <w:r>
        <w:rPr>
          <w:rFonts w:hint="eastAsia" w:ascii="宋体" w:hAnsi="宋体" w:eastAsia="宋体" w:cs="宋体"/>
          <w:b w:val="0"/>
          <w:bCs/>
          <w:sz w:val="28"/>
          <w:szCs w:val="28"/>
          <w:highlight w:val="none"/>
          <w:lang w:val="en-US" w:eastAsia="zh-CN"/>
        </w:rPr>
        <w:t>（岳云发改审[2020]52号）</w:t>
      </w:r>
      <w:r>
        <w:rPr>
          <w:rFonts w:hint="eastAsia" w:eastAsia="宋体" w:cs="宋体"/>
          <w:b w:val="0"/>
          <w:bCs/>
          <w:sz w:val="28"/>
          <w:szCs w:val="28"/>
          <w:highlight w:val="none"/>
          <w:lang w:val="en-US" w:eastAsia="zh-CN"/>
        </w:rPr>
        <w:t>（以下简称立项</w:t>
      </w:r>
      <w:r>
        <w:rPr>
          <w:rFonts w:hint="eastAsia" w:ascii="宋体" w:hAnsi="宋体" w:eastAsia="宋体" w:cs="宋体"/>
          <w:b w:val="0"/>
          <w:bCs/>
          <w:sz w:val="28"/>
          <w:szCs w:val="28"/>
          <w:highlight w:val="none"/>
          <w:lang w:val="en-US" w:eastAsia="zh-CN"/>
        </w:rPr>
        <w:t>批复</w:t>
      </w:r>
      <w:r>
        <w:rPr>
          <w:rFonts w:hint="eastAsia" w:eastAsia="宋体" w:cs="宋体"/>
          <w:b w:val="0"/>
          <w:bCs/>
          <w:sz w:val="28"/>
          <w:szCs w:val="28"/>
          <w:highlight w:val="none"/>
          <w:lang w:val="en-US" w:eastAsia="zh-CN"/>
        </w:rPr>
        <w:t>）</w:t>
      </w:r>
      <w:r>
        <w:rPr>
          <w:rFonts w:hint="eastAsia" w:ascii="宋体" w:hAnsi="宋体" w:eastAsia="宋体" w:cs="宋体"/>
          <w:b w:val="0"/>
          <w:bCs/>
          <w:sz w:val="28"/>
          <w:szCs w:val="28"/>
          <w:highlight w:val="none"/>
          <w:lang w:val="en-US" w:eastAsia="zh-CN"/>
        </w:rPr>
        <w:t>批复概算总投资3,000.00万元，2022年5月（岳云发改概审[2020]5号）批复概算总投资为3066.89万元。实际项目资金来源为</w:t>
      </w:r>
      <w:r>
        <w:rPr>
          <w:rFonts w:hint="eastAsia" w:eastAsia="宋体" w:cs="宋体"/>
          <w:b w:val="0"/>
          <w:bCs/>
          <w:sz w:val="28"/>
          <w:szCs w:val="28"/>
          <w:highlight w:val="none"/>
          <w:lang w:val="en-US" w:eastAsia="zh-CN"/>
        </w:rPr>
        <w:t>项目单位自筹资金</w:t>
      </w:r>
      <w:r>
        <w:rPr>
          <w:rFonts w:hint="eastAsia" w:ascii="宋体" w:hAnsi="宋体" w:eastAsia="宋体" w:cs="宋体"/>
          <w:b w:val="0"/>
          <w:bCs/>
          <w:sz w:val="28"/>
          <w:szCs w:val="28"/>
          <w:highlight w:val="none"/>
          <w:lang w:val="en-US" w:eastAsia="zh-CN"/>
        </w:rPr>
        <w:t>1,000.00万元、申请</w:t>
      </w:r>
      <w:r>
        <w:rPr>
          <w:rFonts w:hint="eastAsia" w:eastAsia="宋体" w:cs="宋体"/>
          <w:b w:val="0"/>
          <w:bCs/>
          <w:sz w:val="28"/>
          <w:szCs w:val="28"/>
          <w:highlight w:val="none"/>
          <w:lang w:val="en-US" w:eastAsia="zh-CN"/>
        </w:rPr>
        <w:t>省</w:t>
      </w:r>
      <w:r>
        <w:rPr>
          <w:rFonts w:hint="eastAsia" w:ascii="宋体" w:hAnsi="宋体" w:eastAsia="宋体" w:cs="宋体"/>
          <w:b w:val="0"/>
          <w:bCs/>
          <w:sz w:val="28"/>
          <w:szCs w:val="28"/>
          <w:highlight w:val="none"/>
          <w:lang w:val="en-US" w:eastAsia="zh-CN"/>
        </w:rPr>
        <w:t>政府专项债券融资2,000.00万元。</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2.专项债券资金基本性质及用途</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本项目申请地方政府2022年社会事业专项债券资金，项目资金使用用途及范围均为项目建设。本期债券的发行主体是湖南省人民政府，由湖南省人民政府统一发行并转贷给市级人民政府。</w:t>
      </w:r>
      <w:r>
        <w:rPr>
          <w:rFonts w:hint="eastAsia" w:ascii="宋体" w:hAnsi="宋体" w:eastAsia="宋体" w:cs="宋体"/>
          <w:b w:val="0"/>
          <w:bCs w:val="0"/>
          <w:sz w:val="28"/>
          <w:szCs w:val="28"/>
          <w:highlight w:val="none"/>
          <w:lang w:val="en-US" w:eastAsia="zh-CN"/>
        </w:rPr>
        <w:t>债券期15年（2022年-2037年）</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3.预期收益及偿债资金来源</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根据区教体局提供的《云溪区城南幼儿园建设项目预期收益与融资平衡方案》（以下简称“融资平衡方案”），项目偿债资金来源主要为幼儿园学费收入；预测债券存续期内项目预测运营期净收入总计为5,438.28万元，运营成本1,494.71万元，项目净收益可用于融资平衡的资金3943.57万元，相关收益对融资本息的覆盖倍数为1.27,项目收益与融资能实现自求平衡，不能还本付息的风险较小。</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4.资金到帐情况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textAlignment w:val="center"/>
        <w:rPr>
          <w:rFonts w:hint="eastAsia" w:ascii="宋体" w:hAnsi="宋体" w:eastAsia="宋体" w:cs="宋体"/>
          <w:b w:val="0"/>
          <w:bCs/>
          <w:sz w:val="28"/>
          <w:szCs w:val="28"/>
          <w:highlight w:val="none"/>
          <w:lang w:val="en-US" w:eastAsia="zh-CN"/>
        </w:rPr>
      </w:pPr>
      <w:r>
        <w:rPr>
          <w:rFonts w:hint="eastAsia" w:ascii="宋体" w:hAnsi="宋体" w:eastAsia="宋体" w:cs="宋体"/>
          <w:b w:val="0"/>
          <w:bCs w:val="0"/>
          <w:sz w:val="28"/>
          <w:szCs w:val="28"/>
          <w:highlight w:val="none"/>
          <w:lang w:val="en-US" w:eastAsia="zh-CN"/>
        </w:rPr>
        <w:t>至2023年6月末，区</w:t>
      </w:r>
      <w:r>
        <w:rPr>
          <w:rFonts w:hint="eastAsia" w:ascii="宋体" w:hAnsi="宋体" w:eastAsia="宋体" w:cs="宋体"/>
          <w:b w:val="0"/>
          <w:bCs/>
          <w:sz w:val="28"/>
          <w:szCs w:val="28"/>
          <w:highlight w:val="none"/>
          <w:lang w:val="en-US" w:eastAsia="zh-CN"/>
        </w:rPr>
        <w:t>校安工程领导小组银行帐户</w:t>
      </w:r>
      <w:r>
        <w:rPr>
          <w:rFonts w:hint="eastAsia" w:ascii="宋体" w:hAnsi="宋体" w:eastAsia="宋体" w:cs="宋体"/>
          <w:b w:val="0"/>
          <w:bCs w:val="0"/>
          <w:sz w:val="28"/>
          <w:szCs w:val="28"/>
          <w:highlight w:val="none"/>
          <w:lang w:val="en-US" w:eastAsia="zh-CN"/>
        </w:rPr>
        <w:t>收到区财政转拨付债券资金2,000.00万元，其中：2022年6月2日到帐1,000.00万元，2022年9月9日到帐1,000.00万元。其他资金到帐32.25万元。</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5.项目资金实际收、支总体情况</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eastAsia="宋体" w:cs="宋体"/>
          <w:b w:val="0"/>
          <w:bCs/>
          <w:sz w:val="28"/>
          <w:szCs w:val="28"/>
          <w:highlight w:val="none"/>
          <w:lang w:val="en-US" w:eastAsia="zh-CN"/>
        </w:rPr>
        <w:t>项目立项概算3,000.00万元，</w:t>
      </w:r>
      <w:r>
        <w:rPr>
          <w:rFonts w:hint="eastAsia" w:ascii="宋体" w:hAnsi="宋体" w:eastAsia="宋体" w:cs="宋体"/>
          <w:b w:val="0"/>
          <w:bCs/>
          <w:sz w:val="28"/>
          <w:szCs w:val="28"/>
          <w:highlight w:val="none"/>
          <w:lang w:val="en-US" w:eastAsia="zh-CN"/>
        </w:rPr>
        <w:t>至2023末6月末，项目资金到帐收入2,032.25万元，项目帐面总支出2,032</w:t>
      </w:r>
      <w:r>
        <w:rPr>
          <w:rFonts w:hint="eastAsia" w:ascii="宋体" w:hAnsi="宋体" w:eastAsia="宋体" w:cs="宋体"/>
          <w:b w:val="0"/>
          <w:bCs w:val="0"/>
          <w:sz w:val="28"/>
          <w:szCs w:val="28"/>
          <w:highlight w:val="none"/>
          <w:lang w:val="en-US" w:eastAsia="zh-CN"/>
        </w:rPr>
        <w:t>.25</w:t>
      </w:r>
      <w:r>
        <w:rPr>
          <w:rFonts w:hint="eastAsia" w:ascii="宋体" w:hAnsi="宋体" w:eastAsia="宋体" w:cs="宋体"/>
          <w:b w:val="0"/>
          <w:bCs/>
          <w:sz w:val="28"/>
          <w:szCs w:val="28"/>
          <w:highlight w:val="none"/>
          <w:lang w:val="en-US" w:eastAsia="zh-CN"/>
        </w:rPr>
        <w:t>万元，到帐资金结存0万元。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6.资金使用情况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至2022年6月末，项目债券资金帐面支出2,032.25万元（2022年1998.82万元、2023年1月33.43万元，具体支付内容如下：</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项目工程其他费用334.85万元。主要支付勘察费用15.22万元，支付土石方设计费1.24万元，支付项目规划、建筑方案及初步设计费等24.67万元、支付专项债券发行报告编制服务费2.00万元，支付项目水土保持方案报告编制费1.50万元，支付概算编制咨询费2.00万元，支付土方工程预算费0.66万元，支付项目概算审核服务费3.00万元，支付扩张测绘项目服务费5.20万元，主要支付汇誉国际工程咨询有限公司建设工程监理费21.70万元，施工许可费用2.32万元，区城管监察大队收取占道与挖掘修复费10.00万元，支付云溪区第一建筑工程公司土石方工程合同款245.34万元</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（2）工程建设费用支出共计1,697.40万元。主要支付湖南和庆源建设工程有限公司项目建筑、安装、设备施工总承包合同进度款。</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具体明细见下表：</w:t>
      </w:r>
    </w:p>
    <w:tbl>
      <w:tblPr>
        <w:tblStyle w:val="22"/>
        <w:tblW w:w="90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66"/>
        <w:gridCol w:w="1616"/>
        <w:gridCol w:w="1933"/>
        <w:gridCol w:w="3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6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支付日期</w:t>
            </w:r>
          </w:p>
        </w:tc>
        <w:tc>
          <w:tcPr>
            <w:tcW w:w="161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凭证号</w:t>
            </w:r>
          </w:p>
        </w:tc>
        <w:tc>
          <w:tcPr>
            <w:tcW w:w="19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3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2022年1月28日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101,150.00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湖南国涛建设工程有限公司土方比勘察费用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2022年6月6日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51,064.00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湖南国涛建设工程有限公司项目勘察费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152,214.00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2022年1月28日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12,400.00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苏州市城市建筑设计院有限责任公司长沙分公司土石方设计费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2022年11月24日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64,000.00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长沙市精凡工程设计咨询有限公司项目建设及海绵城市设计咨询及土壤检查服务费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2023年1月18日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182,686.00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长沙市精凡工程设计咨询有限公司项目规划、建筑方案及初步设计费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2022年6月6日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湖南稼沛工程咨询有限公司岳阳分公司专项债券发行报告编制服务费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2022年6月6日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岳阳绿湖水土保持生态技术咨询有限公司项目水土保持方案报告编制费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2023年1月18日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19,990.00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国鼎和诚项目管理集团有限公司概算编制咨询费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2022年1月28日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6,620.00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岳阳华诚设计工作室土方工程预算费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2022年6月6日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湖南方园建筑工程设计有限公司项目概算审核服务费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2022年6月6日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湖南君腾测绘有限公司扩张测绘项目服务费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bCs/>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402,696.00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2022年1月28日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c>
          <w:tcPr>
            <w:tcW w:w="3662"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云溪区第一建筑工程公司土石方工程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2022年6月6日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c>
          <w:tcPr>
            <w:tcW w:w="3662"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2022年9月30日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453,427.06 </w:t>
            </w:r>
          </w:p>
        </w:tc>
        <w:tc>
          <w:tcPr>
            <w:tcW w:w="3662"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bCs/>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2,453,427.06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2022年10月20日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108,510.00 </w:t>
            </w:r>
          </w:p>
        </w:tc>
        <w:tc>
          <w:tcPr>
            <w:tcW w:w="3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汇誉国际工程咨询有限公司建设工程监理费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2023年1月18日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108,510.00 </w:t>
            </w:r>
          </w:p>
        </w:tc>
        <w:tc>
          <w:tcPr>
            <w:tcW w:w="3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bCs/>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217,020.00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2023年1月18日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23,149.50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接主管线破坏公路施工许可费用缴区财政局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2022年1月28日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区城管监察大队收取占道与挖掘修复费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663" w:firstLineChars="3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b/>
                <w:bCs/>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123,149.50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2022年8月30日</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5,874,000.00 </w:t>
            </w:r>
          </w:p>
        </w:tc>
        <w:tc>
          <w:tcPr>
            <w:tcW w:w="36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湖南和庆源建设工程有限公司建设项目工程进度款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2022年10月20日</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5#</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3,600,000.00 </w:t>
            </w:r>
          </w:p>
        </w:tc>
        <w:tc>
          <w:tcPr>
            <w:tcW w:w="366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2022年11月24日</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7,500,000.00 </w:t>
            </w:r>
          </w:p>
        </w:tc>
        <w:tc>
          <w:tcPr>
            <w:tcW w:w="36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402" w:firstLineChars="20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小计</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b/>
                <w:bCs/>
                <w:i w:val="0"/>
                <w:iCs w:val="0"/>
                <w:color w:val="000000"/>
                <w:kern w:val="2"/>
                <w:sz w:val="20"/>
                <w:szCs w:val="20"/>
                <w:u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16,974,000.00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66"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16"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b/>
                <w:bCs/>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20,322,506.56 </w:t>
            </w:r>
          </w:p>
        </w:tc>
        <w:tc>
          <w:tcPr>
            <w:tcW w:w="3662" w:type="dxa"/>
            <w:tcBorders>
              <w:top w:val="single" w:color="000000" w:sz="4" w:space="0"/>
              <w:left w:val="single" w:color="000000" w:sz="4" w:space="0"/>
              <w:bottom w:val="single" w:color="000000" w:sz="4" w:space="0"/>
              <w:right w:val="single" w:color="000000" w:sz="4" w:space="0"/>
            </w:tcBorders>
            <w:shd w:val="clear" w:color="auto" w:fill="B7DEE8"/>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20"/>
                <w:szCs w:val="20"/>
                <w:u w:val="none"/>
              </w:rPr>
            </w:pPr>
          </w:p>
        </w:tc>
      </w:tr>
    </w:tbl>
    <w:p>
      <w:pPr>
        <w:pStyle w:val="21"/>
        <w:keepNext w:val="0"/>
        <w:keepLines w:val="0"/>
        <w:pageBreakBefore w:val="0"/>
        <w:kinsoku/>
        <w:wordWrap/>
        <w:overflowPunct/>
        <w:topLinePunct w:val="0"/>
        <w:autoSpaceDE/>
        <w:autoSpaceDN/>
        <w:bidi w:val="0"/>
        <w:adjustRightInd/>
        <w:snapToGrid/>
        <w:spacing w:line="200" w:lineRule="exact"/>
        <w:ind w:left="0" w:leftChars="0" w:firstLine="0" w:firstLineChars="0"/>
        <w:rPr>
          <w:rFonts w:hint="eastAsia"/>
          <w:lang w:val="en-US" w:eastAsia="zh-CN"/>
        </w:rPr>
      </w:pP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7.应付未付情况</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根据区教体局相关部门提供的合同，至2023年6月，项目共签订</w:t>
      </w:r>
      <w:r>
        <w:rPr>
          <w:rFonts w:hint="eastAsia" w:eastAsia="宋体" w:cs="宋体"/>
          <w:b w:val="0"/>
          <w:bCs w:val="0"/>
          <w:sz w:val="28"/>
          <w:szCs w:val="28"/>
          <w:lang w:val="en-US" w:eastAsia="zh-CN"/>
        </w:rPr>
        <w:t>14个</w:t>
      </w:r>
      <w:r>
        <w:rPr>
          <w:rFonts w:hint="eastAsia" w:ascii="宋体" w:hAnsi="宋体" w:eastAsia="宋体" w:cs="宋体"/>
          <w:b w:val="0"/>
          <w:bCs w:val="0"/>
          <w:sz w:val="28"/>
          <w:szCs w:val="28"/>
          <w:lang w:val="en-US" w:eastAsia="zh-CN"/>
        </w:rPr>
        <w:t>合同</w:t>
      </w:r>
      <w:r>
        <w:rPr>
          <w:rFonts w:hint="eastAsia" w:eastAsia="宋体" w:cs="宋体"/>
          <w:b w:val="0"/>
          <w:bCs w:val="0"/>
          <w:sz w:val="28"/>
          <w:szCs w:val="28"/>
          <w:lang w:val="en-US" w:eastAsia="zh-CN"/>
        </w:rPr>
        <w:t>、价款</w:t>
      </w:r>
      <w:r>
        <w:rPr>
          <w:rFonts w:hint="eastAsia" w:ascii="宋体" w:hAnsi="宋体" w:eastAsia="宋体" w:cs="宋体"/>
          <w:b w:val="0"/>
          <w:bCs w:val="0"/>
          <w:sz w:val="28"/>
          <w:szCs w:val="28"/>
          <w:lang w:val="en-US" w:eastAsia="zh-CN"/>
        </w:rPr>
        <w:t>3</w:t>
      </w:r>
      <w:r>
        <w:rPr>
          <w:rFonts w:hint="eastAsia" w:eastAsia="宋体" w:cs="宋体"/>
          <w:b w:val="0"/>
          <w:bCs w:val="0"/>
          <w:sz w:val="28"/>
          <w:szCs w:val="28"/>
          <w:lang w:val="en-US" w:eastAsia="zh-CN"/>
        </w:rPr>
        <w:t>,</w:t>
      </w:r>
      <w:r>
        <w:rPr>
          <w:rFonts w:hint="eastAsia" w:ascii="宋体" w:hAnsi="宋体" w:eastAsia="宋体" w:cs="宋体"/>
          <w:b w:val="0"/>
          <w:bCs w:val="0"/>
          <w:sz w:val="28"/>
          <w:szCs w:val="28"/>
          <w:lang w:val="en-US" w:eastAsia="zh-CN"/>
        </w:rPr>
        <w:t>274</w:t>
      </w:r>
      <w:r>
        <w:rPr>
          <w:rFonts w:hint="eastAsia" w:eastAsia="宋体" w:cs="宋体"/>
          <w:b w:val="0"/>
          <w:bCs w:val="0"/>
          <w:sz w:val="28"/>
          <w:szCs w:val="28"/>
          <w:lang w:val="en-US" w:eastAsia="zh-CN"/>
        </w:rPr>
        <w:t>.00</w:t>
      </w:r>
      <w:r>
        <w:rPr>
          <w:rFonts w:hint="eastAsia" w:ascii="宋体" w:hAnsi="宋体" w:eastAsia="宋体" w:cs="宋体"/>
          <w:b w:val="0"/>
          <w:bCs w:val="0"/>
          <w:sz w:val="28"/>
          <w:szCs w:val="28"/>
          <w:lang w:val="en-US" w:eastAsia="zh-CN"/>
        </w:rPr>
        <w:t>万元，包含项目在未招投标前已开始前期可行性研究、勘察、设计、土石方工程、概算预算审核、监理等</w:t>
      </w:r>
      <w:r>
        <w:rPr>
          <w:rFonts w:hint="eastAsia" w:ascii="宋体" w:hAnsi="宋体" w:eastAsia="宋体" w:cs="宋体"/>
          <w:b w:val="0"/>
          <w:bCs w:val="0"/>
          <w:sz w:val="28"/>
          <w:szCs w:val="28"/>
          <w:highlight w:val="none"/>
          <w:lang w:val="en-US" w:eastAsia="zh-CN"/>
        </w:rPr>
        <w:t>工程相关合同</w:t>
      </w:r>
      <w:r>
        <w:rPr>
          <w:rFonts w:hint="eastAsia" w:ascii="宋体" w:hAnsi="宋体" w:eastAsia="宋体" w:cs="宋体"/>
          <w:b w:val="0"/>
          <w:bCs w:val="0"/>
          <w:sz w:val="28"/>
          <w:szCs w:val="28"/>
          <w:lang w:val="en-US" w:eastAsia="zh-CN"/>
        </w:rPr>
        <w:t>337.00万元及主体工程总承包合同2937.00万元。本项目根据相关要求，实行设计采购施工</w:t>
      </w:r>
      <w:r>
        <w:rPr>
          <w:rFonts w:hint="eastAsia" w:ascii="宋体" w:hAnsi="宋体" w:eastAsia="宋体" w:cs="宋体"/>
          <w:sz w:val="28"/>
          <w:szCs w:val="28"/>
          <w:highlight w:val="none"/>
          <w:lang w:val="en-US" w:eastAsia="zh-CN"/>
        </w:rPr>
        <w:t>总承包方式建设，</w:t>
      </w:r>
      <w:r>
        <w:rPr>
          <w:rFonts w:hint="eastAsia" w:ascii="宋体" w:hAnsi="宋体" w:eastAsia="宋体" w:cs="宋体"/>
          <w:b w:val="0"/>
          <w:bCs w:val="0"/>
          <w:sz w:val="28"/>
          <w:szCs w:val="28"/>
          <w:lang w:val="en-US" w:eastAsia="zh-CN"/>
        </w:rPr>
        <w:t>区教体局与工程总承包单位</w:t>
      </w:r>
      <w:r>
        <w:rPr>
          <w:rFonts w:hint="eastAsia" w:eastAsia="宋体" w:cs="宋体"/>
          <w:b w:val="0"/>
          <w:bCs w:val="0"/>
          <w:sz w:val="28"/>
          <w:szCs w:val="28"/>
          <w:lang w:val="en-US" w:eastAsia="zh-CN"/>
        </w:rPr>
        <w:t>签订</w:t>
      </w:r>
      <w:r>
        <w:rPr>
          <w:rFonts w:hint="eastAsia" w:ascii="宋体" w:hAnsi="宋体" w:eastAsia="宋体" w:cs="宋体"/>
          <w:b w:val="0"/>
          <w:bCs w:val="0"/>
          <w:sz w:val="28"/>
          <w:szCs w:val="28"/>
          <w:lang w:val="en-US" w:eastAsia="zh-CN"/>
        </w:rPr>
        <w:t>工程总承包合同2937.00万元</w:t>
      </w:r>
      <w:r>
        <w:rPr>
          <w:rFonts w:hint="eastAsia" w:eastAsia="宋体" w:cs="宋体"/>
          <w:b w:val="0"/>
          <w:bCs w:val="0"/>
          <w:sz w:val="28"/>
          <w:szCs w:val="28"/>
          <w:lang w:val="en-US" w:eastAsia="zh-CN"/>
        </w:rPr>
        <w:t>（以审计后的结算价为准确）；经</w:t>
      </w:r>
      <w:r>
        <w:rPr>
          <w:rFonts w:hint="eastAsia" w:ascii="宋体" w:hAnsi="宋体" w:eastAsia="宋体" w:cs="宋体"/>
          <w:b w:val="0"/>
          <w:bCs w:val="0"/>
          <w:sz w:val="28"/>
          <w:szCs w:val="28"/>
          <w:lang w:val="en-US" w:eastAsia="zh-CN"/>
        </w:rPr>
        <w:t>双方协定，</w:t>
      </w:r>
      <w:r>
        <w:rPr>
          <w:rFonts w:hint="eastAsia" w:ascii="宋体" w:hAnsi="宋体" w:eastAsia="宋体" w:cs="宋体"/>
          <w:b w:val="0"/>
          <w:bCs w:val="0"/>
          <w:sz w:val="28"/>
          <w:szCs w:val="28"/>
          <w:lang w:val="en-US" w:eastAsia="zh-CN"/>
        </w:rPr>
        <w:t>将原区教体局与相关单位签订的</w:t>
      </w:r>
      <w:r>
        <w:rPr>
          <w:rFonts w:hint="eastAsia" w:ascii="宋体" w:hAnsi="宋体" w:eastAsia="宋体" w:cs="宋体"/>
          <w:b w:val="0"/>
          <w:bCs w:val="0"/>
          <w:sz w:val="28"/>
          <w:szCs w:val="28"/>
          <w:highlight w:val="none"/>
          <w:lang w:val="en-US" w:eastAsia="zh-CN"/>
        </w:rPr>
        <w:t>工程其他费用</w:t>
      </w:r>
      <w:r>
        <w:rPr>
          <w:rFonts w:hint="eastAsia" w:ascii="宋体" w:hAnsi="宋体" w:eastAsia="宋体" w:cs="宋体"/>
          <w:b w:val="0"/>
          <w:bCs w:val="0"/>
          <w:sz w:val="28"/>
          <w:szCs w:val="28"/>
          <w:lang w:val="en-US" w:eastAsia="zh-CN"/>
        </w:rPr>
        <w:t>337.00万元纳入项目总合同金额中，待结算时</w:t>
      </w:r>
      <w:r>
        <w:rPr>
          <w:rFonts w:hint="eastAsia" w:eastAsia="宋体" w:cs="宋体"/>
          <w:b w:val="0"/>
          <w:bCs w:val="0"/>
          <w:sz w:val="28"/>
          <w:szCs w:val="28"/>
          <w:lang w:val="en-US" w:eastAsia="zh-CN"/>
        </w:rPr>
        <w:t>双方</w:t>
      </w:r>
      <w:r>
        <w:rPr>
          <w:rFonts w:hint="eastAsia" w:ascii="宋体" w:hAnsi="宋体" w:eastAsia="宋体" w:cs="宋体"/>
          <w:b w:val="0"/>
          <w:bCs w:val="0"/>
          <w:sz w:val="28"/>
          <w:szCs w:val="28"/>
          <w:lang w:val="en-US" w:eastAsia="zh-CN"/>
        </w:rPr>
        <w:t>进行分解、抵扣。</w:t>
      </w:r>
    </w:p>
    <w:p>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实际支付</w:t>
      </w:r>
      <w:r>
        <w:rPr>
          <w:rFonts w:hint="eastAsia" w:eastAsia="宋体" w:cs="宋体"/>
          <w:b w:val="0"/>
          <w:bCs w:val="0"/>
          <w:sz w:val="28"/>
          <w:szCs w:val="28"/>
          <w:lang w:val="en-US" w:eastAsia="zh-CN"/>
        </w:rPr>
        <w:t>14个</w:t>
      </w:r>
      <w:r>
        <w:rPr>
          <w:rFonts w:hint="eastAsia" w:ascii="宋体" w:hAnsi="宋体" w:eastAsia="宋体" w:cs="宋体"/>
          <w:b w:val="0"/>
          <w:bCs w:val="0"/>
          <w:sz w:val="28"/>
          <w:szCs w:val="28"/>
          <w:lang w:val="en-US" w:eastAsia="zh-CN"/>
        </w:rPr>
        <w:t>合同款2019.93万元，应付未付合同款1,254.07万元（未剔除337.00万元）。其中：</w:t>
      </w:r>
    </w:p>
    <w:p>
      <w:pPr>
        <w:keepNext w:val="0"/>
        <w:keepLines w:val="0"/>
        <w:pageBreakBefore w:val="0"/>
        <w:widowControl w:val="0"/>
        <w:numPr>
          <w:ilvl w:val="0"/>
          <w:numId w:val="0"/>
        </w:numPr>
        <w:kinsoku/>
        <w:wordWrap/>
        <w:overflowPunct/>
        <w:topLinePunct w:val="0"/>
        <w:autoSpaceDE/>
        <w:bidi w:val="0"/>
        <w:snapToGrid/>
        <w:spacing w:line="52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湖南和庆源建设工程有限公司建设项目工程总承包合同价款2,937.00万元，已支付1697.40万元、支付率约58%，应付未付1,239.60万元（未剔除337.00万元）；最终结算金额以云溪区财政评审中心评审、区审计局终审金额为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（2）汇誉国际工程咨询有限公司建设工程监理费合同价款36.17万元，已支付21.7万元、支付率约60%，应付未付14.47万元。</w:t>
      </w:r>
    </w:p>
    <w:p>
      <w:pPr>
        <w:widowControl/>
        <w:shd w:val="clear" w:color="auto" w:fill="FFFFFF"/>
        <w:spacing w:line="660" w:lineRule="exact"/>
        <w:ind w:firstLine="643" w:firstLineChars="200"/>
        <w:rPr>
          <w:rFonts w:hint="eastAsia" w:ascii="楷体_GB2312" w:hAnsi="Times New Roman" w:eastAsia="楷体_GB2312" w:cs="Times New Roman"/>
          <w:b/>
          <w:kern w:val="0"/>
          <w:sz w:val="32"/>
          <w:szCs w:val="32"/>
          <w:lang w:val="en-US" w:eastAsia="zh-CN"/>
        </w:rPr>
      </w:pPr>
      <w:r>
        <w:rPr>
          <w:rFonts w:hint="eastAsia" w:ascii="楷体_GB2312" w:hAnsi="Times New Roman" w:eastAsia="楷体_GB2312" w:cs="Times New Roman"/>
          <w:b/>
          <w:kern w:val="0"/>
          <w:sz w:val="32"/>
          <w:szCs w:val="32"/>
          <w:lang w:val="en-US" w:eastAsia="zh-CN"/>
        </w:rPr>
        <w:t>（三）项目绩效目标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bCs/>
          <w:sz w:val="28"/>
          <w:szCs w:val="28"/>
          <w:highlight w:val="none"/>
          <w:lang w:val="en-US" w:eastAsia="zh-CN"/>
        </w:rPr>
        <w:t>1.总体目标：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color w:val="auto"/>
          <w:sz w:val="28"/>
          <w:szCs w:val="28"/>
          <w:lang w:val="en-US" w:eastAsia="zh-CN"/>
        </w:rPr>
        <w:t>为进一步促进云溪区学前教育的发展，提高学前教育幼儿入园率，改善中心城区的办园条件，为孩子启蒙教育与学前</w:t>
      </w:r>
      <w:r>
        <w:rPr>
          <w:rFonts w:hint="eastAsia" w:ascii="宋体" w:hAnsi="宋体" w:eastAsia="宋体" w:cs="宋体"/>
          <w:b w:val="0"/>
          <w:bCs w:val="0"/>
          <w:sz w:val="28"/>
          <w:szCs w:val="28"/>
          <w:highlight w:val="none"/>
          <w:lang w:val="en-US" w:eastAsia="zh-CN"/>
        </w:rPr>
        <w:t>教育打下坚实基础。</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2.具体目标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（1）产出数量目标</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val="0"/>
          <w:bCs/>
          <w:sz w:val="28"/>
          <w:szCs w:val="28"/>
          <w:highlight w:val="none"/>
          <w:lang w:val="en-US" w:eastAsia="zh-CN"/>
        </w:rPr>
        <w:t>①</w:t>
      </w:r>
      <w:r>
        <w:rPr>
          <w:rFonts w:hint="eastAsia" w:ascii="宋体" w:hAnsi="宋体" w:eastAsia="宋体" w:cs="宋体"/>
          <w:color w:val="000000"/>
          <w:sz w:val="28"/>
          <w:szCs w:val="28"/>
          <w:lang w:val="en-US" w:eastAsia="zh-CN"/>
        </w:rPr>
        <w:t>工程建设目标：</w:t>
      </w:r>
      <w:r>
        <w:rPr>
          <w:rFonts w:hint="eastAsia" w:ascii="宋体" w:hAnsi="宋体" w:eastAsia="宋体" w:cs="宋体"/>
          <w:b w:val="0"/>
          <w:bCs/>
          <w:kern w:val="0"/>
          <w:sz w:val="28"/>
          <w:szCs w:val="28"/>
          <w:lang w:val="en-US" w:eastAsia="zh-CN"/>
        </w:rPr>
        <w:t>总建筑面积 5172.35 ㎡，包括门卫室和主体建筑，其中主体建筑一栋地上共3层，每层层高为 3.6 米，建筑高度为 10.95 米。包括幼儿教学用房、教师办公用房、多功能活动室、厨房及储藏室等辅助用房。其他配套设施包括：室外地面活动场所1440平方米、绿地面积2215平方米，</w:t>
      </w:r>
      <w:r>
        <w:rPr>
          <w:rFonts w:hint="eastAsia" w:ascii="宋体" w:hAnsi="宋体" w:eastAsia="宋体" w:cs="宋体"/>
          <w:b w:val="0"/>
          <w:bCs/>
          <w:kern w:val="0"/>
          <w:sz w:val="28"/>
          <w:szCs w:val="28"/>
          <w:highlight w:val="yellow"/>
          <w:lang w:val="en-US" w:eastAsia="zh-CN"/>
        </w:rPr>
        <w:t>地面停车位16个等</w:t>
      </w:r>
      <w:r>
        <w:rPr>
          <w:rFonts w:hint="eastAsia" w:ascii="宋体" w:hAnsi="宋体" w:eastAsia="宋体" w:cs="宋体"/>
          <w:b w:val="0"/>
          <w:bCs/>
          <w:kern w:val="0"/>
          <w:sz w:val="28"/>
          <w:szCs w:val="28"/>
          <w:lang w:val="en-US" w:eastAsia="zh-CN"/>
        </w:rPr>
        <w:t>。</w:t>
      </w:r>
      <w:r>
        <w:rPr>
          <w:rFonts w:hint="eastAsia" w:ascii="宋体" w:hAnsi="宋体" w:eastAsia="宋体" w:cs="宋体"/>
          <w:b w:val="0"/>
          <w:bCs/>
          <w:sz w:val="28"/>
          <w:szCs w:val="28"/>
          <w:highlight w:val="none"/>
          <w:lang w:val="en-US" w:eastAsia="zh-CN"/>
        </w:rPr>
        <w:t>办学规模达到12个教学班（大、中、小各4个班），可容纳360名幼儿。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color w:val="000000"/>
          <w:sz w:val="28"/>
          <w:szCs w:val="28"/>
          <w:lang w:val="en-US" w:eastAsia="zh-CN"/>
        </w:rPr>
        <w:t>②</w:t>
      </w:r>
      <w:r>
        <w:rPr>
          <w:rFonts w:hint="eastAsia" w:ascii="宋体" w:hAnsi="宋体" w:eastAsia="宋体" w:cs="宋体"/>
          <w:color w:val="000000"/>
          <w:kern w:val="2"/>
          <w:sz w:val="28"/>
          <w:szCs w:val="28"/>
          <w:lang w:val="en-US" w:eastAsia="zh-CN" w:bidi="ar-SA"/>
        </w:rPr>
        <w:t>运营期目标：</w:t>
      </w:r>
      <w:r>
        <w:rPr>
          <w:rFonts w:hint="eastAsia" w:ascii="宋体" w:hAnsi="宋体" w:eastAsia="宋体" w:cs="宋体"/>
          <w:b w:val="0"/>
          <w:bCs/>
          <w:sz w:val="28"/>
          <w:szCs w:val="28"/>
          <w:highlight w:val="none"/>
          <w:lang w:val="en-US" w:eastAsia="zh-CN"/>
        </w:rPr>
        <w:t>2023年幼儿入园人数达到预测数306名（第一年招生人数占计划总招生规模360名比例的85%）；按照每班"两教一保"的要求配备专任教师和保育员24人（8班*3人）。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（2）产出质量目标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①建筑安装工程质量验收合格率100%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②采购设施设备质量验收合格率100%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③省市教育相关部门验收合格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④消防验收合格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i w:val="0"/>
          <w:color w:val="000000"/>
          <w:kern w:val="0"/>
          <w:sz w:val="28"/>
          <w:szCs w:val="28"/>
          <w:u w:val="none"/>
          <w:lang w:val="en-US" w:eastAsia="zh-CN" w:bidi="ar"/>
        </w:rPr>
        <w:t>（3）时限目标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①按合同计划时间开工（2022年8月25日）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②按合同计划时间竣工验收（2023年4月25日）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③按区政府要求时间交付使用（2023年9月1日前）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（4）成本控制目标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①项目工程建设总投资控制在3,000.00万元内</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highlight w:val="yellow"/>
          <w:lang w:val="en-US" w:eastAsia="zh-CN"/>
        </w:rPr>
      </w:pPr>
      <w:r>
        <w:rPr>
          <w:rFonts w:hint="eastAsia" w:ascii="宋体" w:hAnsi="宋体" w:eastAsia="宋体" w:cs="宋体"/>
          <w:b w:val="0"/>
          <w:bCs w:val="0"/>
          <w:color w:val="000000"/>
          <w:sz w:val="28"/>
          <w:szCs w:val="28"/>
          <w:lang w:val="en-US" w:eastAsia="zh-CN"/>
        </w:rPr>
        <w:t>②</w:t>
      </w:r>
      <w:r>
        <w:rPr>
          <w:rFonts w:hint="eastAsia" w:ascii="宋体" w:hAnsi="宋体" w:eastAsia="宋体" w:cs="宋体"/>
          <w:color w:val="000000"/>
          <w:sz w:val="28"/>
          <w:szCs w:val="28"/>
          <w:lang w:val="en-US" w:eastAsia="zh-CN"/>
        </w:rPr>
        <w:t>投资估算、</w:t>
      </w:r>
      <w:r>
        <w:rPr>
          <w:rFonts w:hint="eastAsia" w:ascii="宋体" w:hAnsi="宋体" w:eastAsia="宋体" w:cs="宋体"/>
          <w:color w:val="000000"/>
          <w:sz w:val="28"/>
          <w:szCs w:val="28"/>
          <w:highlight w:val="none"/>
          <w:lang w:val="en-US" w:eastAsia="zh-CN"/>
        </w:rPr>
        <w:t>人均建筑面积</w:t>
      </w:r>
      <w:r>
        <w:rPr>
          <w:rFonts w:hint="eastAsia" w:ascii="宋体" w:hAnsi="宋体" w:eastAsia="宋体" w:cs="宋体"/>
          <w:color w:val="000000"/>
          <w:sz w:val="28"/>
          <w:szCs w:val="28"/>
          <w:lang w:val="en-US" w:eastAsia="zh-CN"/>
        </w:rPr>
        <w:t>基本符合《幼儿园建设标准》（建标175-2016）</w:t>
      </w:r>
      <w:r>
        <w:rPr>
          <w:rFonts w:hint="eastAsia" w:ascii="宋体" w:hAnsi="宋体" w:eastAsia="宋体" w:cs="宋体"/>
          <w:color w:val="000000"/>
          <w:sz w:val="28"/>
          <w:szCs w:val="28"/>
          <w:highlight w:val="none"/>
          <w:lang w:val="en-US" w:eastAsia="zh-CN"/>
        </w:rPr>
        <w:t>参</w:t>
      </w:r>
      <w:r>
        <w:rPr>
          <w:rFonts w:hint="eastAsia" w:ascii="宋体" w:hAnsi="宋体" w:eastAsia="宋体" w:cs="宋体"/>
          <w:color w:val="000000"/>
          <w:sz w:val="28"/>
          <w:szCs w:val="28"/>
          <w:lang w:val="en-US" w:eastAsia="zh-CN"/>
        </w:rPr>
        <w:t>考指标</w:t>
      </w:r>
      <w:r>
        <w:rPr>
          <w:rFonts w:hint="eastAsia" w:ascii="宋体" w:hAnsi="宋体" w:eastAsia="宋体" w:cs="宋体"/>
          <w:color w:val="000000"/>
          <w:sz w:val="28"/>
          <w:szCs w:val="28"/>
          <w:highlight w:val="none"/>
          <w:lang w:val="en-US" w:eastAsia="zh-CN"/>
        </w:rPr>
        <w:t>标准。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rPr>
      </w:pPr>
      <w:r>
        <w:rPr>
          <w:rFonts w:hint="eastAsia" w:ascii="宋体" w:hAnsi="宋体" w:eastAsia="宋体" w:cs="宋体"/>
          <w:b w:val="0"/>
          <w:bCs w:val="0"/>
          <w:color w:val="000000"/>
          <w:sz w:val="28"/>
          <w:szCs w:val="28"/>
          <w:highlight w:val="none"/>
          <w:lang w:val="en-US" w:eastAsia="zh-CN"/>
        </w:rPr>
        <w:t>③2</w:t>
      </w:r>
      <w:r>
        <w:rPr>
          <w:rFonts w:hint="eastAsia" w:ascii="宋体" w:hAnsi="宋体" w:eastAsia="宋体" w:cs="宋体"/>
          <w:color w:val="000000"/>
          <w:sz w:val="28"/>
          <w:szCs w:val="28"/>
          <w:lang w:val="en-US" w:eastAsia="zh-CN"/>
        </w:rPr>
        <w:t>023年债券资金</w:t>
      </w:r>
      <w:r>
        <w:rPr>
          <w:rFonts w:hint="eastAsia" w:ascii="宋体" w:hAnsi="宋体" w:eastAsia="宋体" w:cs="宋体"/>
          <w:color w:val="000000"/>
          <w:sz w:val="28"/>
          <w:szCs w:val="28"/>
        </w:rPr>
        <w:t>付息率100%</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④</w:t>
      </w:r>
      <w:r>
        <w:rPr>
          <w:rFonts w:hint="eastAsia" w:ascii="宋体" w:hAnsi="宋体" w:eastAsia="宋体" w:cs="宋体"/>
          <w:b w:val="0"/>
          <w:bCs w:val="0"/>
          <w:color w:val="000000"/>
          <w:sz w:val="28"/>
          <w:szCs w:val="28"/>
          <w:lang w:val="en-US" w:eastAsia="zh-CN"/>
        </w:rPr>
        <w:t>根据2023年收支测算，</w:t>
      </w:r>
      <w:r>
        <w:rPr>
          <w:rFonts w:hint="eastAsia" w:ascii="宋体" w:hAnsi="宋体" w:eastAsia="宋体" w:cs="宋体"/>
          <w:b w:val="0"/>
          <w:bCs w:val="0"/>
          <w:sz w:val="28"/>
          <w:szCs w:val="28"/>
          <w:highlight w:val="none"/>
          <w:lang w:val="en-US" w:eastAsia="zh-CN"/>
        </w:rPr>
        <w:t>项目收益与融资能实现自求平衡</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highlight w:val="yellow"/>
          <w:lang w:val="en-US" w:eastAsia="zh-CN"/>
        </w:rPr>
      </w:pPr>
      <w:r>
        <w:rPr>
          <w:rFonts w:hint="eastAsia" w:ascii="宋体" w:hAnsi="宋体" w:eastAsia="宋体" w:cs="宋体"/>
          <w:b w:val="0"/>
          <w:bCs w:val="0"/>
          <w:sz w:val="28"/>
          <w:szCs w:val="28"/>
          <w:highlight w:val="none"/>
          <w:lang w:val="en-US" w:eastAsia="zh-CN"/>
        </w:rPr>
        <w:t>⑤收费按标准收取，无漏收、少收现象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3.项目效率效果及幼儿家长满意度目标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lang w:val="en-US" w:eastAsia="zh-CN"/>
        </w:rPr>
        <w:t>（1）资产、</w:t>
      </w:r>
      <w:r>
        <w:rPr>
          <w:rFonts w:hint="eastAsia" w:ascii="宋体" w:hAnsi="宋体" w:eastAsia="宋体" w:cs="宋体"/>
          <w:b w:val="0"/>
          <w:bCs w:val="0"/>
          <w:color w:val="000000"/>
          <w:sz w:val="28"/>
          <w:szCs w:val="28"/>
          <w:highlight w:val="none"/>
          <w:lang w:val="en-US" w:eastAsia="zh-CN"/>
        </w:rPr>
        <w:t>设施设备利用率100%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ascii="宋体" w:hAnsi="宋体" w:eastAsia="宋体" w:cs="宋体"/>
          <w:b w:val="0"/>
          <w:bCs w:val="0"/>
          <w:color w:val="000000"/>
          <w:sz w:val="28"/>
          <w:szCs w:val="28"/>
          <w:highlight w:val="none"/>
          <w:lang w:val="en-US" w:eastAsia="zh-CN"/>
        </w:rPr>
        <w:t>2）经</w:t>
      </w:r>
      <w:r>
        <w:rPr>
          <w:rFonts w:hint="eastAsia" w:ascii="宋体" w:hAnsi="宋体" w:eastAsia="宋体" w:cs="宋体"/>
          <w:color w:val="000000"/>
          <w:sz w:val="28"/>
          <w:szCs w:val="28"/>
          <w:highlight w:val="none"/>
          <w:lang w:val="en-US" w:eastAsia="zh-CN"/>
        </w:rPr>
        <w:t>济效益：达到《</w:t>
      </w:r>
      <w:r>
        <w:rPr>
          <w:rFonts w:hint="eastAsia" w:ascii="宋体" w:hAnsi="宋体" w:eastAsia="宋体" w:cs="宋体"/>
          <w:b w:val="0"/>
          <w:bCs w:val="0"/>
          <w:sz w:val="28"/>
          <w:szCs w:val="28"/>
          <w:highlight w:val="none"/>
          <w:lang w:val="en-US" w:eastAsia="zh-CN"/>
        </w:rPr>
        <w:t>融资平衡方案</w:t>
      </w:r>
      <w:r>
        <w:rPr>
          <w:rFonts w:hint="eastAsia" w:ascii="宋体" w:hAnsi="宋体" w:eastAsia="宋体" w:cs="宋体"/>
          <w:color w:val="000000"/>
          <w:sz w:val="28"/>
          <w:szCs w:val="28"/>
          <w:highlight w:val="none"/>
          <w:lang w:val="en-US" w:eastAsia="zh-CN"/>
        </w:rPr>
        <w:t>》预测的学费收入151.2万元，上交保教费收入100%。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（3）社会效益：提高云溪区基础教育水平，改善幼儿阶段办学条件，提高教育质量，维护教育公平。</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（4）可持续性：一是本区新生儿出生人口对后期招生人数影响较小，二是有区财政资金扶持，三是幼儿园评定等级达到市、省级标准。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（5）对项目建设质量及运营管理</w:t>
      </w:r>
      <w:r>
        <w:rPr>
          <w:rFonts w:hint="eastAsia" w:ascii="宋体" w:hAnsi="宋体" w:eastAsia="宋体" w:cs="宋体"/>
          <w:sz w:val="28"/>
          <w:szCs w:val="28"/>
        </w:rPr>
        <w:t>满意度</w:t>
      </w:r>
      <w:r>
        <w:rPr>
          <w:rFonts w:hint="eastAsia" w:ascii="宋体" w:hAnsi="宋体" w:eastAsia="宋体" w:cs="宋体"/>
          <w:sz w:val="28"/>
          <w:szCs w:val="28"/>
          <w:lang w:val="en-US" w:eastAsia="zh-CN"/>
        </w:rPr>
        <w:t>达90</w:t>
      </w:r>
      <w:r>
        <w:rPr>
          <w:rFonts w:hint="eastAsia" w:ascii="宋体" w:hAnsi="宋体" w:eastAsia="宋体" w:cs="宋体"/>
          <w:sz w:val="28"/>
          <w:szCs w:val="28"/>
        </w:rPr>
        <w:t>%以上</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绩效评价工作情况</w:t>
      </w:r>
    </w:p>
    <w:p>
      <w:pPr>
        <w:widowControl/>
        <w:shd w:val="clear" w:color="auto" w:fill="FFFFFF"/>
        <w:spacing w:line="660" w:lineRule="exact"/>
        <w:ind w:firstLine="602" w:firstLineChars="200"/>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（一）债券资金绩效评价目的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通过评价，了解政府专项债券资金“借、用、管、还”全生命周期管理情况，提升债务管理水平；进一步加强政府专项债券项目资金管理，提高债券资金使用效益，有效防范政府债务风险，促进项目的可持续性。</w:t>
      </w:r>
    </w:p>
    <w:p>
      <w:pPr>
        <w:widowControl/>
        <w:shd w:val="clear" w:color="auto" w:fill="FFFFFF"/>
        <w:spacing w:line="660" w:lineRule="exact"/>
        <w:ind w:firstLine="602" w:firstLineChars="200"/>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（二）绩效评价对象、内容、范围及时段</w:t>
      </w:r>
    </w:p>
    <w:p>
      <w:pPr>
        <w:keepNext w:val="0"/>
        <w:keepLines w:val="0"/>
        <w:pageBreakBefore w:val="0"/>
        <w:widowControl w:val="0"/>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1、评价对象：</w:t>
      </w:r>
    </w:p>
    <w:p>
      <w:pPr>
        <w:keepNext w:val="0"/>
        <w:keepLines w:val="0"/>
        <w:pageBreakBefore w:val="0"/>
        <w:widowControl w:val="0"/>
        <w:kinsoku/>
        <w:wordWrap/>
        <w:overflowPunct/>
        <w:topLinePunct w:val="0"/>
        <w:autoSpaceDE/>
        <w:autoSpaceDN/>
        <w:bidi w:val="0"/>
        <w:snapToGrid/>
        <w:spacing w:line="520" w:lineRule="exact"/>
        <w:ind w:firstLine="420" w:firstLineChars="15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本项目立项投资3,000.00万元。</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2、评价范围及时段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sz w:val="28"/>
          <w:szCs w:val="28"/>
          <w:lang w:val="en-US" w:eastAsia="zh-CN"/>
        </w:rPr>
        <w:t>项目立项（</w:t>
      </w:r>
      <w:r>
        <w:rPr>
          <w:rFonts w:hint="eastAsia" w:ascii="宋体" w:hAnsi="宋体" w:eastAsia="宋体" w:cs="宋体"/>
          <w:sz w:val="28"/>
          <w:szCs w:val="28"/>
        </w:rPr>
        <w:t>20</w:t>
      </w:r>
      <w:r>
        <w:rPr>
          <w:rFonts w:hint="eastAsia" w:ascii="宋体" w:hAnsi="宋体" w:eastAsia="宋体" w:cs="宋体"/>
          <w:sz w:val="28"/>
          <w:szCs w:val="28"/>
          <w:lang w:val="en-US" w:eastAsia="zh-CN"/>
        </w:rPr>
        <w:t>20年5月）至项目运营初期（2023年9</w:t>
      </w:r>
      <w:r>
        <w:rPr>
          <w:rFonts w:hint="eastAsia" w:ascii="宋体" w:hAnsi="宋体" w:eastAsia="宋体" w:cs="宋体"/>
          <w:sz w:val="28"/>
          <w:szCs w:val="28"/>
        </w:rPr>
        <w:t>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50"/>
        <w:textAlignment w:val="auto"/>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b/>
          <w:bCs/>
          <w:sz w:val="28"/>
          <w:szCs w:val="28"/>
          <w:lang w:val="en-US" w:eastAsia="zh-CN"/>
        </w:rPr>
        <w:t>3、评价主要内容：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w:t>
      </w:r>
      <w:r>
        <w:rPr>
          <w:rFonts w:hint="eastAsia" w:ascii="宋体" w:hAnsi="宋体" w:eastAsia="宋体" w:cs="宋体"/>
          <w:sz w:val="28"/>
          <w:szCs w:val="28"/>
          <w:lang w:eastAsia="zh-CN"/>
        </w:rPr>
        <w:t>《</w:t>
      </w:r>
      <w:r>
        <w:rPr>
          <w:rFonts w:hint="eastAsia" w:ascii="宋体" w:hAnsi="宋体" w:eastAsia="宋体" w:cs="宋体"/>
          <w:sz w:val="28"/>
          <w:szCs w:val="28"/>
        </w:rPr>
        <w:t>地方政府专项债券项目资金绩效管理办法</w:t>
      </w:r>
      <w:r>
        <w:rPr>
          <w:rFonts w:hint="eastAsia" w:ascii="宋体" w:hAnsi="宋体" w:eastAsia="宋体" w:cs="宋体"/>
          <w:sz w:val="28"/>
          <w:szCs w:val="28"/>
          <w:lang w:eastAsia="zh-CN"/>
        </w:rPr>
        <w:t>》（</w:t>
      </w:r>
      <w:r>
        <w:rPr>
          <w:rFonts w:hint="eastAsia" w:ascii="宋体" w:hAnsi="宋体" w:eastAsia="宋体" w:cs="宋体"/>
          <w:sz w:val="28"/>
          <w:szCs w:val="28"/>
        </w:rPr>
        <w:t>财预〔2021〕61号</w:t>
      </w:r>
      <w:r>
        <w:rPr>
          <w:rFonts w:hint="eastAsia" w:ascii="宋体" w:hAnsi="宋体" w:eastAsia="宋体" w:cs="宋体"/>
          <w:sz w:val="28"/>
          <w:szCs w:val="28"/>
          <w:lang w:eastAsia="zh-CN"/>
        </w:rPr>
        <w:t>）“</w:t>
      </w:r>
      <w:r>
        <w:rPr>
          <w:rFonts w:hint="eastAsia" w:ascii="宋体" w:hAnsi="宋体" w:eastAsia="宋体" w:cs="宋体"/>
          <w:sz w:val="28"/>
          <w:szCs w:val="28"/>
        </w:rPr>
        <w:t>项目建设期绩效评价侧重项目决策、管理和产出等，运营期绩效评价侧重项目产出和效益等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规定，根据本项目实际情况，本次评价主要内容</w:t>
      </w:r>
      <w:r>
        <w:rPr>
          <w:rFonts w:hint="eastAsia" w:ascii="宋体" w:hAnsi="宋体" w:eastAsia="宋体" w:cs="宋体"/>
          <w:sz w:val="28"/>
          <w:szCs w:val="28"/>
        </w:rPr>
        <w:t>侧重项目</w:t>
      </w:r>
      <w:r>
        <w:rPr>
          <w:rFonts w:hint="eastAsia" w:ascii="宋体" w:hAnsi="宋体" w:eastAsia="宋体" w:cs="宋体"/>
          <w:sz w:val="28"/>
          <w:szCs w:val="28"/>
          <w:lang w:val="en-US" w:eastAsia="zh-CN"/>
        </w:rPr>
        <w:t>建设期</w:t>
      </w:r>
      <w:r>
        <w:rPr>
          <w:rFonts w:hint="eastAsia" w:ascii="宋体" w:hAnsi="宋体" w:eastAsia="宋体" w:cs="宋体"/>
          <w:sz w:val="28"/>
          <w:szCs w:val="28"/>
        </w:rPr>
        <w:t>决策、管理</w:t>
      </w:r>
      <w:r>
        <w:rPr>
          <w:rFonts w:hint="eastAsia" w:ascii="宋体" w:hAnsi="宋体" w:eastAsia="宋体" w:cs="宋体"/>
          <w:sz w:val="28"/>
          <w:szCs w:val="28"/>
          <w:lang w:eastAsia="zh-CN"/>
        </w:rPr>
        <w:t>、</w:t>
      </w:r>
      <w:r>
        <w:rPr>
          <w:rFonts w:hint="eastAsia" w:ascii="宋体" w:hAnsi="宋体" w:eastAsia="宋体" w:cs="宋体"/>
          <w:sz w:val="28"/>
          <w:szCs w:val="28"/>
        </w:rPr>
        <w:t>产出</w:t>
      </w:r>
      <w:r>
        <w:rPr>
          <w:rFonts w:hint="eastAsia" w:ascii="宋体" w:hAnsi="宋体" w:eastAsia="宋体" w:cs="宋体"/>
          <w:sz w:val="28"/>
          <w:szCs w:val="28"/>
          <w:lang w:val="en-US" w:eastAsia="zh-CN"/>
        </w:rPr>
        <w:t>及</w:t>
      </w:r>
      <w:r>
        <w:rPr>
          <w:rFonts w:hint="eastAsia" w:ascii="宋体" w:hAnsi="宋体" w:eastAsia="宋体" w:cs="宋体"/>
          <w:sz w:val="28"/>
          <w:szCs w:val="28"/>
        </w:rPr>
        <w:t>项目</w:t>
      </w:r>
      <w:r>
        <w:rPr>
          <w:rFonts w:hint="eastAsia" w:ascii="宋体" w:hAnsi="宋体" w:eastAsia="宋体" w:cs="宋体"/>
          <w:sz w:val="28"/>
          <w:szCs w:val="28"/>
          <w:lang w:val="en-US" w:eastAsia="zh-CN"/>
        </w:rPr>
        <w:t>运营初期达到的</w:t>
      </w:r>
      <w:r>
        <w:rPr>
          <w:rFonts w:hint="eastAsia" w:ascii="宋体" w:hAnsi="宋体" w:eastAsia="宋体" w:cs="宋体"/>
          <w:sz w:val="28"/>
          <w:szCs w:val="28"/>
        </w:rPr>
        <w:t>效益</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b/>
          <w:bCs/>
          <w:color w:val="auto"/>
          <w:sz w:val="30"/>
          <w:szCs w:val="30"/>
          <w:lang w:val="en-US" w:eastAsia="zh-CN"/>
        </w:rPr>
      </w:pPr>
      <w:r>
        <w:rPr>
          <w:rFonts w:hint="eastAsia" w:ascii="楷体_GB2312" w:hAnsi="Times New Roman" w:eastAsia="楷体_GB2312" w:cs="Times New Roman"/>
          <w:b/>
          <w:kern w:val="0"/>
          <w:sz w:val="30"/>
          <w:szCs w:val="30"/>
          <w:lang w:val="en-US" w:eastAsia="zh-CN"/>
        </w:rPr>
        <w:t>（三）绩效评价依据</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政府专项债券资金管理相关文件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《湖南省政府债务项目绩效管理暂行办法》（湘财绩〔2020〕12号）、《湖南省政府专项债券管理暂行办法》（湘财债管〔</w:t>
      </w:r>
      <w:r>
        <w:rPr>
          <w:rFonts w:hint="eastAsia" w:ascii="宋体" w:hAnsi="宋体" w:eastAsia="宋体" w:cs="宋体"/>
          <w:spacing w:val="-6"/>
          <w:sz w:val="28"/>
          <w:szCs w:val="28"/>
        </w:rPr>
        <w:t>2021</w:t>
      </w:r>
      <w:r>
        <w:rPr>
          <w:rFonts w:hint="eastAsia" w:ascii="宋体" w:hAnsi="宋体" w:eastAsia="宋体" w:cs="宋体"/>
          <w:sz w:val="28"/>
          <w:szCs w:val="28"/>
        </w:rPr>
        <w:t>〕18号）《地方政府专项债券项目资金绩效管理办法》（财预〔2021〕61号）等文件，以及其他相关政府债务资金管理文件和法律法规。</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2.行业相关建设标准和技术规范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color w:val="000000"/>
          <w:sz w:val="28"/>
          <w:szCs w:val="28"/>
          <w:lang w:val="en-US" w:eastAsia="zh-CN"/>
        </w:rPr>
        <w:t>住房和城乡建设部、国家发展和改革委员制订的《幼儿园建设标准》（建标175-2016）（以下简称《幼儿园建设标准》）、</w:t>
      </w:r>
      <w:r>
        <w:rPr>
          <w:rFonts w:hint="eastAsia" w:ascii="宋体" w:hAnsi="宋体" w:eastAsia="宋体" w:cs="宋体"/>
          <w:b w:val="0"/>
          <w:bCs w:val="0"/>
          <w:sz w:val="28"/>
          <w:szCs w:val="28"/>
          <w:lang w:val="en-US" w:eastAsia="zh-CN"/>
        </w:rPr>
        <w:t>《建筑法》《环境保护法》《产品质量法》《建设工程质量管理条例》等相关法律、法规、规章的规定以及国家或湖南省对工程建设的强制性要求，</w:t>
      </w:r>
      <w:r>
        <w:rPr>
          <w:rFonts w:hint="eastAsia" w:ascii="宋体" w:hAnsi="宋体" w:eastAsia="宋体" w:cs="宋体"/>
          <w:color w:val="auto"/>
          <w:sz w:val="28"/>
          <w:szCs w:val="28"/>
          <w:highlight w:val="none"/>
          <w:lang w:val="en-US" w:eastAsia="zh-CN"/>
        </w:rPr>
        <w:t>相关行业政策、行业标准及专业技术规范。</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3.项目建设相关资料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sz w:val="28"/>
          <w:szCs w:val="28"/>
          <w:highlight w:val="none"/>
          <w:lang w:val="en-US" w:eastAsia="zh-CN"/>
        </w:rPr>
        <w:t>湖南和瑞会计师事务所编制的《云溪区城南幼儿园建设项目预期收益与融资平衡专项评价报告》（以下简称《专项评价报告》）、湖南人和人律师事务所编制《云溪区城南幼儿园建设项目专项债券法律意见书》（以下简称《法律意见书》），云溪区财政局、教体局编制《云溪区城南幼儿园建设项目预期收益与融资平衡方案》（以下简称《融资平衡方案》）</w:t>
      </w:r>
      <w:r>
        <w:rPr>
          <w:rFonts w:hint="eastAsia" w:ascii="宋体" w:hAnsi="宋体" w:eastAsia="宋体" w:cs="宋体"/>
          <w:b w:val="0"/>
          <w:bCs w:val="0"/>
          <w:sz w:val="28"/>
          <w:szCs w:val="28"/>
          <w:lang w:val="en-US" w:eastAsia="zh-CN"/>
        </w:rPr>
        <w:t>（以下简称“二案一书”）、项目可行性研究报告、立项批复、概算批复、</w:t>
      </w:r>
      <w:r>
        <w:rPr>
          <w:rFonts w:hint="eastAsia" w:ascii="宋体" w:hAnsi="宋体" w:eastAsia="宋体" w:cs="宋体"/>
          <w:b w:val="0"/>
          <w:bCs w:val="0"/>
          <w:color w:val="auto"/>
          <w:sz w:val="28"/>
          <w:szCs w:val="28"/>
          <w:highlight w:val="none"/>
          <w:lang w:val="en-US" w:eastAsia="zh-CN"/>
        </w:rPr>
        <w:t>项目相关合同及协议、财务凭证、会计报表等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1" w:firstLineChars="100"/>
        <w:textAlignment w:val="auto"/>
        <w:rPr>
          <w:rFonts w:hint="eastAsia" w:ascii="宋体" w:hAnsi="宋体" w:eastAsia="宋体" w:cs="宋体"/>
          <w:b/>
          <w:bCs/>
          <w:color w:val="auto"/>
          <w:sz w:val="28"/>
          <w:szCs w:val="28"/>
          <w:lang w:val="en-US" w:eastAsia="zh-CN"/>
        </w:rPr>
      </w:pPr>
      <w:r>
        <w:rPr>
          <w:rFonts w:hint="eastAsia" w:ascii="楷体_GB2312" w:hAnsi="Times New Roman" w:eastAsia="楷体_GB2312" w:cs="Times New Roman"/>
          <w:b/>
          <w:kern w:val="0"/>
          <w:sz w:val="30"/>
          <w:szCs w:val="30"/>
          <w:lang w:val="en-US" w:eastAsia="zh-CN"/>
        </w:rPr>
        <w:t>（四）绩效评价原则、指标评价体系、评价方法</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color w:val="auto"/>
          <w:sz w:val="28"/>
          <w:szCs w:val="28"/>
          <w:lang w:val="en-US" w:eastAsia="zh-CN"/>
        </w:rPr>
        <w:t>政府债券项目</w:t>
      </w:r>
      <w:r>
        <w:rPr>
          <w:rFonts w:hint="eastAsia" w:ascii="宋体" w:hAnsi="宋体" w:eastAsia="宋体" w:cs="宋体"/>
          <w:b/>
          <w:bCs/>
          <w:sz w:val="28"/>
          <w:szCs w:val="28"/>
        </w:rPr>
        <w:t>绩效评价原则</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遵循注重绩效</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防患风险；科学规范，公开透明；权责对等，约束有力的原则</w:t>
      </w:r>
      <w:r>
        <w:rPr>
          <w:rFonts w:hint="eastAsia" w:ascii="宋体" w:hAnsi="宋体" w:eastAsia="宋体" w:cs="宋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60" w:left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2.项目</w:t>
      </w:r>
      <w:r>
        <w:rPr>
          <w:rFonts w:hint="eastAsia" w:ascii="宋体" w:hAnsi="宋体" w:eastAsia="宋体" w:cs="宋体"/>
          <w:b/>
          <w:bCs/>
          <w:sz w:val="28"/>
          <w:szCs w:val="28"/>
        </w:rPr>
        <w:t>支出绩效评价体系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指标体系包括共性指标和个性指标两部分，本次主要参照了</w:t>
      </w:r>
      <w:r>
        <w:rPr>
          <w:rFonts w:hint="eastAsia" w:ascii="宋体" w:hAnsi="宋体" w:eastAsia="宋体" w:cs="宋体"/>
          <w:b w:val="0"/>
          <w:bCs w:val="0"/>
          <w:sz w:val="28"/>
          <w:szCs w:val="28"/>
          <w:lang w:val="en-US" w:eastAsia="zh-CN"/>
        </w:rPr>
        <w:t>湖南省</w:t>
      </w:r>
      <w:r>
        <w:rPr>
          <w:rFonts w:hint="eastAsia" w:ascii="宋体" w:hAnsi="宋体" w:eastAsia="宋体" w:cs="宋体"/>
          <w:b w:val="0"/>
          <w:bCs w:val="0"/>
          <w:sz w:val="28"/>
          <w:szCs w:val="28"/>
        </w:rPr>
        <w:t>财政</w:t>
      </w:r>
      <w:r>
        <w:rPr>
          <w:rFonts w:hint="eastAsia" w:ascii="宋体" w:hAnsi="宋体" w:eastAsia="宋体" w:cs="宋体"/>
          <w:b w:val="0"/>
          <w:bCs w:val="0"/>
          <w:sz w:val="28"/>
          <w:szCs w:val="28"/>
          <w:lang w:val="en-US" w:eastAsia="zh-CN"/>
        </w:rPr>
        <w:t>厅印发</w:t>
      </w:r>
      <w:r>
        <w:rPr>
          <w:rFonts w:hint="eastAsia" w:ascii="宋体" w:hAnsi="宋体" w:eastAsia="宋体" w:cs="宋体"/>
          <w:b w:val="0"/>
          <w:bCs w:val="0"/>
          <w:sz w:val="28"/>
          <w:szCs w:val="28"/>
        </w:rPr>
        <w:t>的《</w:t>
      </w:r>
      <w:r>
        <w:rPr>
          <w:rFonts w:hint="eastAsia" w:ascii="宋体" w:hAnsi="宋体" w:eastAsia="宋体" w:cs="宋体"/>
          <w:b w:val="0"/>
          <w:bCs w:val="0"/>
          <w:sz w:val="28"/>
          <w:szCs w:val="28"/>
          <w:lang w:val="en-US" w:eastAsia="zh-CN"/>
        </w:rPr>
        <w:t>湖南省政府债务项目绩效管理暂行办法》附件中</w:t>
      </w:r>
      <w:r>
        <w:rPr>
          <w:rFonts w:hint="eastAsia" w:ascii="宋体" w:hAnsi="宋体" w:eastAsia="宋体" w:cs="宋体"/>
          <w:b w:val="0"/>
          <w:bCs w:val="0"/>
          <w:sz w:val="28"/>
          <w:szCs w:val="28"/>
          <w:highlight w:val="none"/>
          <w:lang w:val="en-US" w:eastAsia="zh-CN"/>
        </w:rPr>
        <w:t>“湖南省政府债券项目</w:t>
      </w:r>
      <w:r>
        <w:rPr>
          <w:rFonts w:hint="eastAsia" w:ascii="宋体" w:hAnsi="宋体" w:eastAsia="宋体" w:cs="宋体"/>
          <w:b w:val="0"/>
          <w:bCs w:val="0"/>
          <w:sz w:val="28"/>
          <w:szCs w:val="28"/>
          <w:highlight w:val="none"/>
        </w:rPr>
        <w:t>绩效评价指标</w:t>
      </w:r>
      <w:r>
        <w:rPr>
          <w:rFonts w:hint="eastAsia" w:ascii="宋体" w:hAnsi="宋体" w:eastAsia="宋体" w:cs="宋体"/>
          <w:b w:val="0"/>
          <w:bCs w:val="0"/>
          <w:sz w:val="28"/>
          <w:szCs w:val="28"/>
          <w:highlight w:val="none"/>
          <w:lang w:val="en-US" w:eastAsia="zh-CN"/>
        </w:rPr>
        <w:t>体系框架</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lang w:val="en-US" w:eastAsia="zh-CN"/>
        </w:rPr>
        <w:t>并</w:t>
      </w:r>
      <w:r>
        <w:rPr>
          <w:rFonts w:hint="eastAsia" w:ascii="宋体" w:hAnsi="宋体" w:eastAsia="宋体" w:cs="宋体"/>
          <w:b w:val="0"/>
          <w:bCs w:val="0"/>
          <w:sz w:val="28"/>
          <w:szCs w:val="28"/>
          <w:highlight w:val="none"/>
        </w:rPr>
        <w:t>根据部门具体情况</w:t>
      </w:r>
      <w:r>
        <w:rPr>
          <w:rFonts w:hint="eastAsia" w:ascii="宋体" w:hAnsi="宋体" w:eastAsia="宋体" w:cs="宋体"/>
          <w:b w:val="0"/>
          <w:bCs w:val="0"/>
          <w:sz w:val="28"/>
          <w:szCs w:val="28"/>
        </w:rPr>
        <w:t>对个性指标进行了调整细化</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本项目绩效评价一级指标包括</w:t>
      </w:r>
      <w:r>
        <w:rPr>
          <w:rFonts w:hint="eastAsia" w:ascii="宋体" w:hAnsi="宋体" w:eastAsia="宋体" w:cs="宋体"/>
          <w:b w:val="0"/>
          <w:bCs w:val="0"/>
          <w:sz w:val="28"/>
          <w:szCs w:val="28"/>
          <w:lang w:val="en-US" w:eastAsia="zh-CN"/>
        </w:rPr>
        <w:t>决策、过程、</w:t>
      </w:r>
      <w:r>
        <w:rPr>
          <w:rFonts w:hint="eastAsia" w:ascii="宋体" w:hAnsi="宋体" w:eastAsia="宋体" w:cs="宋体"/>
          <w:b w:val="0"/>
          <w:bCs w:val="0"/>
          <w:sz w:val="28"/>
          <w:szCs w:val="28"/>
        </w:rPr>
        <w:t>产出、效</w:t>
      </w:r>
      <w:r>
        <w:rPr>
          <w:rFonts w:hint="eastAsia" w:ascii="宋体" w:hAnsi="宋体" w:eastAsia="宋体" w:cs="宋体"/>
          <w:b w:val="0"/>
          <w:bCs w:val="0"/>
          <w:sz w:val="28"/>
          <w:szCs w:val="28"/>
          <w:lang w:val="en-US" w:eastAsia="zh-CN"/>
        </w:rPr>
        <w:t>益四</w:t>
      </w:r>
      <w:r>
        <w:rPr>
          <w:rFonts w:hint="eastAsia" w:ascii="宋体" w:hAnsi="宋体" w:eastAsia="宋体" w:cs="宋体"/>
          <w:b w:val="0"/>
          <w:bCs w:val="0"/>
          <w:sz w:val="28"/>
          <w:szCs w:val="28"/>
        </w:rPr>
        <w:t>个方面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指标权重分别设置为</w:t>
      </w:r>
      <w:r>
        <w:rPr>
          <w:rFonts w:hint="eastAsia" w:ascii="宋体" w:hAnsi="宋体" w:eastAsia="宋体" w:cs="宋体"/>
          <w:b w:val="0"/>
          <w:bCs w:val="0"/>
          <w:sz w:val="28"/>
          <w:szCs w:val="28"/>
          <w:highlight w:val="none"/>
          <w:lang w:val="en-US" w:eastAsia="zh-CN"/>
        </w:rPr>
        <w:t>20%、30%、30%、20%</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lang w:val="en-US" w:eastAsia="zh-CN"/>
        </w:rPr>
        <w:t>二级指标主要设置项目立项、绩效目标、资金投入、资金管理、项目实施、风险控制、产出数量、产出质量、产出时效、产出成本、项目效益等指标，根据项目特点在二级指标基础上细化三类指标31个，形成</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云溪区城南幼儿园建设项目绩效评价</w:t>
      </w:r>
      <w:r>
        <w:rPr>
          <w:rFonts w:hint="eastAsia" w:ascii="宋体" w:hAnsi="宋体" w:eastAsia="宋体" w:cs="宋体"/>
          <w:b w:val="0"/>
          <w:bCs w:val="0"/>
          <w:sz w:val="28"/>
          <w:szCs w:val="28"/>
        </w:rPr>
        <w:t>指标体系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附件1)及《</w:t>
      </w:r>
      <w:r>
        <w:rPr>
          <w:rFonts w:hint="eastAsia" w:ascii="宋体" w:hAnsi="宋体" w:eastAsia="宋体" w:cs="宋体"/>
          <w:b w:val="0"/>
          <w:bCs w:val="0"/>
          <w:sz w:val="28"/>
          <w:szCs w:val="28"/>
          <w:highlight w:val="none"/>
          <w:lang w:val="en-US" w:eastAsia="zh-CN"/>
        </w:rPr>
        <w:t>云溪区城南幼儿园建设项目绩效评价</w:t>
      </w:r>
      <w:r>
        <w:rPr>
          <w:rFonts w:hint="eastAsia" w:ascii="宋体" w:hAnsi="宋体" w:eastAsia="宋体" w:cs="宋体"/>
          <w:b w:val="0"/>
          <w:bCs w:val="0"/>
          <w:sz w:val="28"/>
          <w:szCs w:val="28"/>
          <w:lang w:eastAsia="zh-CN"/>
        </w:rPr>
        <w:t>评分表</w:t>
      </w:r>
      <w:r>
        <w:rPr>
          <w:rFonts w:hint="eastAsia" w:ascii="宋体" w:hAnsi="宋体" w:eastAsia="宋体" w:cs="宋体"/>
          <w:b w:val="0"/>
          <w:bCs w:val="0"/>
          <w:sz w:val="28"/>
          <w:szCs w:val="28"/>
        </w:rPr>
        <w:t>》(附件2)。</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3.评分标准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绩效评价结果采取评分与评级相结合的方式，总分设置为100分，等级划分为四档：90（含）-100分为优、80（含）-90分为良、60（含）-80分为一般、60分以下为差。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绩效评价方法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本次绩效评价以核查、访谈座谈、问卷调查、实地核实为基础，综合运用比较法、因素分析法、公众评判法等开展绩效评价。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绩效评价坚持定量优先、简便有效的原则，采用定性和定量相结合的评价办法，主要运用以下三种评价方法：一是比较法，将立项建设规模及内容或合同中的任务与实际完成产出比较，如将项目合同约定的建设内容与实际完成建设内容进行比较、将工程投资概算与实际完成投资进行比较、预期收益与融资平衡方案比较实施收益等；二是因素分析法，如对影响产出时效目标实现的因素进行分析，以正确区分责任；三是公众评判法，采取发放满意度调查问卷方式，调查社会公众对项目实施的满意程度，以此评价项目实施的效果。</w:t>
      </w:r>
    </w:p>
    <w:p>
      <w:pPr>
        <w:widowControl/>
        <w:shd w:val="clear" w:color="auto" w:fill="FFFFFF"/>
        <w:spacing w:line="660" w:lineRule="exact"/>
        <w:ind w:firstLine="602" w:firstLineChars="200"/>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（五）绩效评价过程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前期准备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按照绩效</w:t>
      </w:r>
      <w:r>
        <w:rPr>
          <w:rFonts w:hint="eastAsia" w:ascii="宋体" w:hAnsi="宋体" w:eastAsia="宋体" w:cs="宋体"/>
          <w:sz w:val="28"/>
          <w:szCs w:val="28"/>
          <w:lang w:eastAsia="zh-CN"/>
        </w:rPr>
        <w:t>评价</w:t>
      </w:r>
      <w:r>
        <w:rPr>
          <w:rFonts w:hint="eastAsia" w:ascii="宋体" w:hAnsi="宋体" w:eastAsia="宋体" w:cs="宋体"/>
          <w:sz w:val="28"/>
          <w:szCs w:val="28"/>
        </w:rPr>
        <w:t>工作要求，</w:t>
      </w:r>
      <w:r>
        <w:rPr>
          <w:rFonts w:hint="eastAsia" w:ascii="宋体" w:hAnsi="宋体" w:eastAsia="宋体" w:cs="宋体"/>
          <w:sz w:val="28"/>
          <w:szCs w:val="28"/>
          <w:lang w:val="en-US" w:eastAsia="zh-CN"/>
        </w:rPr>
        <w:t>我所成立了</w:t>
      </w:r>
      <w:r>
        <w:rPr>
          <w:rFonts w:hint="eastAsia" w:ascii="宋体" w:hAnsi="宋体" w:eastAsia="宋体" w:cs="宋体"/>
          <w:sz w:val="28"/>
          <w:szCs w:val="28"/>
        </w:rPr>
        <w:t>绩效评价工作小组，</w:t>
      </w:r>
      <w:r>
        <w:rPr>
          <w:rFonts w:hint="eastAsia" w:ascii="宋体" w:hAnsi="宋体" w:eastAsia="宋体" w:cs="宋体"/>
          <w:sz w:val="28"/>
          <w:szCs w:val="28"/>
          <w:lang w:val="en-US" w:eastAsia="zh-CN"/>
        </w:rPr>
        <w:t>并</w:t>
      </w:r>
      <w:r>
        <w:rPr>
          <w:rFonts w:hint="eastAsia" w:ascii="宋体" w:hAnsi="宋体" w:eastAsia="宋体" w:cs="宋体"/>
          <w:sz w:val="28"/>
          <w:szCs w:val="28"/>
          <w:lang w:eastAsia="zh-CN"/>
        </w:rPr>
        <w:t>对小组成员</w:t>
      </w:r>
      <w:r>
        <w:rPr>
          <w:rFonts w:hint="eastAsia" w:ascii="宋体" w:hAnsi="宋体" w:eastAsia="宋体" w:cs="宋体"/>
          <w:sz w:val="28"/>
          <w:szCs w:val="28"/>
          <w:lang w:val="en-US" w:eastAsia="zh-CN"/>
        </w:rPr>
        <w:t>进行</w:t>
      </w:r>
      <w:r>
        <w:rPr>
          <w:rFonts w:hint="eastAsia" w:ascii="宋体" w:hAnsi="宋体" w:eastAsia="宋体" w:cs="宋体"/>
          <w:sz w:val="28"/>
          <w:szCs w:val="28"/>
          <w:lang w:eastAsia="zh-CN"/>
        </w:rPr>
        <w:t>具体分工，</w:t>
      </w:r>
      <w:r>
        <w:rPr>
          <w:rFonts w:hint="eastAsia" w:ascii="宋体" w:hAnsi="宋体" w:eastAsia="宋体" w:cs="宋体"/>
          <w:b w:val="0"/>
          <w:bCs w:val="0"/>
          <w:sz w:val="28"/>
          <w:szCs w:val="28"/>
        </w:rPr>
        <w:t>制定了</w:t>
      </w:r>
      <w:r>
        <w:rPr>
          <w:rFonts w:hint="eastAsia" w:ascii="宋体" w:hAnsi="宋体" w:eastAsia="宋体" w:cs="宋体"/>
          <w:b w:val="0"/>
          <w:bCs w:val="0"/>
          <w:sz w:val="28"/>
          <w:szCs w:val="28"/>
          <w:lang w:val="en-US" w:eastAsia="zh-CN"/>
        </w:rPr>
        <w:t>云溪区城南幼儿园专项债券项目</w:t>
      </w:r>
      <w:r>
        <w:rPr>
          <w:rFonts w:hint="eastAsia" w:ascii="宋体" w:hAnsi="宋体" w:eastAsia="宋体" w:cs="宋体"/>
          <w:b w:val="0"/>
          <w:bCs w:val="0"/>
          <w:sz w:val="28"/>
          <w:szCs w:val="28"/>
        </w:rPr>
        <w:t>绩效评价实施方案，设计了绩效评价</w:t>
      </w:r>
      <w:r>
        <w:rPr>
          <w:rFonts w:hint="eastAsia" w:ascii="宋体" w:hAnsi="宋体" w:eastAsia="宋体" w:cs="宋体"/>
          <w:sz w:val="28"/>
          <w:szCs w:val="28"/>
        </w:rPr>
        <w:t>指标体系</w:t>
      </w:r>
      <w:r>
        <w:rPr>
          <w:rFonts w:hint="eastAsia" w:ascii="宋体" w:hAnsi="宋体" w:eastAsia="宋体" w:cs="宋体"/>
          <w:sz w:val="28"/>
          <w:szCs w:val="28"/>
          <w:lang w:eastAsia="zh-CN"/>
        </w:rPr>
        <w:t>、</w:t>
      </w:r>
      <w:r>
        <w:rPr>
          <w:rFonts w:hint="eastAsia" w:ascii="宋体" w:hAnsi="宋体" w:eastAsia="宋体" w:cs="宋体"/>
          <w:b w:val="0"/>
          <w:bCs w:val="0"/>
          <w:sz w:val="28"/>
          <w:szCs w:val="28"/>
        </w:rPr>
        <w:t>绩效评价</w:t>
      </w:r>
      <w:r>
        <w:rPr>
          <w:rFonts w:hint="eastAsia" w:ascii="宋体" w:hAnsi="宋体" w:eastAsia="宋体" w:cs="宋体"/>
          <w:sz w:val="28"/>
          <w:szCs w:val="28"/>
          <w:lang w:eastAsia="zh-CN"/>
        </w:rPr>
        <w:t>评分表及</w:t>
      </w:r>
      <w:r>
        <w:rPr>
          <w:rFonts w:hint="eastAsia" w:ascii="宋体" w:hAnsi="宋体" w:eastAsia="宋体" w:cs="宋体"/>
          <w:sz w:val="28"/>
          <w:szCs w:val="28"/>
        </w:rPr>
        <w:t>问卷调查表。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highlight w:val="none"/>
          <w:lang w:val="en-US" w:eastAsia="zh-CN"/>
        </w:rPr>
        <w:t>具体</w:t>
      </w:r>
      <w:r>
        <w:rPr>
          <w:rFonts w:hint="eastAsia" w:ascii="宋体" w:hAnsi="宋体" w:eastAsia="宋体" w:cs="宋体"/>
          <w:b/>
          <w:bCs/>
          <w:sz w:val="28"/>
          <w:szCs w:val="28"/>
          <w:highlight w:val="none"/>
        </w:rPr>
        <w:t>实施</w:t>
      </w:r>
      <w:r>
        <w:rPr>
          <w:rFonts w:hint="eastAsia" w:ascii="宋体" w:hAnsi="宋体" w:eastAsia="宋体" w:cs="宋体"/>
          <w:b/>
          <w:bCs/>
          <w:sz w:val="28"/>
          <w:szCs w:val="28"/>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(1)收集资料，核实财务数据</w:t>
      </w:r>
      <w:r>
        <w:rPr>
          <w:rFonts w:hint="eastAsia" w:ascii="宋体" w:hAnsi="宋体" w:eastAsia="宋体" w:cs="宋体"/>
          <w:sz w:val="28"/>
          <w:szCs w:val="28"/>
          <w:lang w:val="en-US" w:eastAsia="zh-CN"/>
        </w:rPr>
        <w:t>。</w:t>
      </w:r>
      <w:r>
        <w:rPr>
          <w:rFonts w:hint="eastAsia" w:ascii="宋体" w:hAnsi="宋体" w:eastAsia="宋体" w:cs="宋体"/>
          <w:sz w:val="28"/>
          <w:szCs w:val="28"/>
        </w:rPr>
        <w:t>绩效评价工作小组</w:t>
      </w:r>
      <w:r>
        <w:rPr>
          <w:rFonts w:hint="eastAsia" w:ascii="宋体" w:hAnsi="宋体" w:eastAsia="宋体" w:cs="宋体"/>
          <w:sz w:val="28"/>
          <w:szCs w:val="28"/>
          <w:lang w:val="en-US" w:eastAsia="zh-CN"/>
        </w:rPr>
        <w:t>根据《所需资料清单》收集了项目可研报告及相关立项批复、项目合同、二案一书、红线图、专项债券申请报告、监理报告等项目资料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重点</w:t>
      </w:r>
      <w:r>
        <w:rPr>
          <w:rFonts w:hint="eastAsia" w:ascii="宋体" w:hAnsi="宋体" w:eastAsia="宋体" w:cs="宋体"/>
          <w:sz w:val="28"/>
          <w:szCs w:val="28"/>
        </w:rPr>
        <w:t>核</w:t>
      </w:r>
      <w:r>
        <w:rPr>
          <w:rFonts w:hint="eastAsia" w:ascii="宋体" w:hAnsi="宋体" w:eastAsia="宋体" w:cs="宋体"/>
          <w:sz w:val="28"/>
          <w:szCs w:val="28"/>
          <w:lang w:eastAsia="zh-CN"/>
        </w:rPr>
        <w:t>实</w:t>
      </w:r>
      <w:r>
        <w:rPr>
          <w:rFonts w:hint="eastAsia" w:ascii="宋体" w:hAnsi="宋体" w:eastAsia="宋体" w:cs="宋体"/>
          <w:sz w:val="28"/>
          <w:szCs w:val="28"/>
          <w:lang w:val="en-US" w:eastAsia="zh-CN"/>
        </w:rPr>
        <w:t>建设专项债券资金到帐情况、项目资金支出明细、签订合同及合同支付情况、测算运营期预期收益目标实现情况、还本付息等情况。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(2)对绩效目标完成情况进行了重点核查。重点</w:t>
      </w:r>
      <w:r>
        <w:rPr>
          <w:rFonts w:hint="eastAsia" w:ascii="宋体" w:hAnsi="宋体" w:eastAsia="宋体" w:cs="宋体"/>
          <w:b w:val="0"/>
          <w:bCs w:val="0"/>
          <w:sz w:val="28"/>
          <w:szCs w:val="28"/>
          <w:lang w:val="en-US" w:eastAsia="zh-CN"/>
        </w:rPr>
        <w:t>核实了建设期产出目标实现情况，包括项目产出数量、质量、成本、时效目标完成情况；</w:t>
      </w:r>
      <w:r>
        <w:rPr>
          <w:rFonts w:hint="eastAsia" w:ascii="宋体" w:hAnsi="宋体" w:eastAsia="宋体" w:cs="宋体"/>
          <w:b/>
          <w:bCs/>
          <w:sz w:val="28"/>
          <w:szCs w:val="28"/>
          <w:lang w:val="en-US" w:eastAsia="zh-CN"/>
        </w:rPr>
        <w:t>重点</w:t>
      </w:r>
      <w:r>
        <w:rPr>
          <w:rFonts w:hint="eastAsia" w:ascii="宋体" w:hAnsi="宋体" w:eastAsia="宋体" w:cs="宋体"/>
          <w:b w:val="0"/>
          <w:bCs w:val="0"/>
          <w:sz w:val="28"/>
          <w:szCs w:val="28"/>
          <w:lang w:val="en-US" w:eastAsia="zh-CN"/>
        </w:rPr>
        <w:t>核查了项目在预算、监督、组织、财务、制度、档案、信息公开、设计变更、项目建设质量控制、招标及政府采购管理、资产管理、合同管理等过程管理；认真调查项目建设对项目所在地经济、社会、生态环境等带来的影响，项目设施设备使用效率等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highlight w:val="yellow"/>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highlight w:val="none"/>
          <w:lang w:val="en-US" w:eastAsia="zh-CN"/>
        </w:rPr>
        <w:t>进行实地走访</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lang w:val="en-US" w:eastAsia="zh-CN"/>
        </w:rPr>
        <w:t>2023年8月18日，实地走访了项目建设所在地。重点查看了城南幼儿园工程建设主要内容，包括幼儿教学用房、教师办公用房、多功能室、厨房，室外活动场所、停车位建设及</w:t>
      </w:r>
      <w:r>
        <w:rPr>
          <w:rFonts w:hint="eastAsia" w:ascii="宋体" w:hAnsi="宋体" w:eastAsia="宋体" w:cs="宋体"/>
          <w:b w:val="0"/>
          <w:bCs w:val="0"/>
          <w:sz w:val="28"/>
          <w:szCs w:val="28"/>
          <w:highlight w:val="none"/>
          <w:lang w:val="en-US" w:eastAsia="zh-CN"/>
        </w:rPr>
        <w:t>招生情况等</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highlight w:val="none"/>
          <w:lang w:val="en-US" w:eastAsia="zh-CN"/>
        </w:rPr>
        <w:t>开展</w:t>
      </w:r>
      <w:r>
        <w:rPr>
          <w:rFonts w:hint="eastAsia" w:ascii="宋体" w:hAnsi="宋体" w:eastAsia="宋体" w:cs="宋体"/>
          <w:b/>
          <w:bCs/>
          <w:sz w:val="28"/>
          <w:szCs w:val="28"/>
          <w:highlight w:val="none"/>
          <w:lang w:eastAsia="zh-CN"/>
        </w:rPr>
        <w:t>了</w:t>
      </w:r>
      <w:r>
        <w:rPr>
          <w:rFonts w:hint="eastAsia" w:ascii="宋体" w:hAnsi="宋体" w:eastAsia="宋体" w:cs="宋体"/>
          <w:b/>
          <w:bCs/>
          <w:sz w:val="28"/>
          <w:szCs w:val="28"/>
          <w:highlight w:val="none"/>
          <w:lang w:val="en-US" w:eastAsia="zh-CN"/>
        </w:rPr>
        <w:t>问卷调查。</w:t>
      </w:r>
      <w:r>
        <w:rPr>
          <w:rFonts w:hint="eastAsia" w:ascii="宋体" w:hAnsi="宋体" w:eastAsia="宋体" w:cs="宋体"/>
          <w:b w:val="0"/>
          <w:bCs w:val="0"/>
          <w:sz w:val="28"/>
          <w:szCs w:val="28"/>
          <w:lang w:val="en-US" w:eastAsia="zh-CN"/>
        </w:rPr>
        <w:t>2023年10月20日，</w:t>
      </w:r>
      <w:r>
        <w:rPr>
          <w:rFonts w:hint="eastAsia" w:ascii="宋体" w:hAnsi="宋体" w:eastAsia="宋体" w:cs="宋体"/>
          <w:b w:val="0"/>
          <w:bCs w:val="0"/>
          <w:color w:val="auto"/>
          <w:sz w:val="28"/>
          <w:szCs w:val="28"/>
          <w:lang w:val="en-US" w:eastAsia="zh-CN"/>
        </w:rPr>
        <w:t>绩效评价人员对</w:t>
      </w:r>
      <w:r>
        <w:rPr>
          <w:rFonts w:hint="eastAsia" w:ascii="宋体" w:hAnsi="宋体" w:eastAsia="宋体" w:cs="宋体"/>
          <w:b w:val="0"/>
          <w:bCs w:val="0"/>
          <w:sz w:val="28"/>
          <w:szCs w:val="28"/>
          <w:lang w:val="en-US" w:eastAsia="zh-CN"/>
        </w:rPr>
        <w:t>城南幼儿园幼儿家长进行满意度问卷调查。</w:t>
      </w:r>
      <w:r>
        <w:rPr>
          <w:rFonts w:hint="eastAsia" w:ascii="宋体" w:hAnsi="宋体" w:eastAsia="宋体" w:cs="宋体"/>
          <w:b w:val="0"/>
          <w:bCs w:val="0"/>
          <w:color w:val="auto"/>
          <w:sz w:val="28"/>
          <w:szCs w:val="28"/>
          <w:lang w:val="en-US" w:eastAsia="zh-CN"/>
        </w:rPr>
        <w:t>调查问卷共10题（</w:t>
      </w:r>
      <w:r>
        <w:rPr>
          <w:rFonts w:hint="eastAsia" w:ascii="宋体" w:hAnsi="宋体" w:eastAsia="宋体" w:cs="宋体"/>
          <w:b w:val="0"/>
          <w:bCs w:val="0"/>
          <w:sz w:val="28"/>
          <w:szCs w:val="28"/>
          <w:highlight w:val="none"/>
          <w:lang w:val="en-US" w:eastAsia="zh-CN"/>
        </w:rPr>
        <w:t>见附件），主要调查</w:t>
      </w:r>
      <w:r>
        <w:rPr>
          <w:rFonts w:hint="eastAsia" w:ascii="宋体" w:hAnsi="宋体" w:eastAsia="宋体" w:cs="宋体"/>
          <w:b w:val="0"/>
          <w:bCs w:val="0"/>
          <w:sz w:val="28"/>
          <w:szCs w:val="28"/>
          <w:lang w:val="en-US" w:eastAsia="zh-CN"/>
        </w:rPr>
        <w:t>幼儿</w:t>
      </w:r>
      <w:r>
        <w:rPr>
          <w:rFonts w:hint="eastAsia" w:ascii="宋体" w:hAnsi="宋体" w:eastAsia="宋体" w:cs="宋体"/>
          <w:b w:val="0"/>
          <w:bCs w:val="0"/>
          <w:sz w:val="28"/>
          <w:szCs w:val="28"/>
          <w:highlight w:val="none"/>
          <w:lang w:val="en-US" w:eastAsia="zh-CN"/>
        </w:rPr>
        <w:t>家长</w:t>
      </w:r>
      <w:r>
        <w:rPr>
          <w:rFonts w:hint="eastAsia" w:ascii="宋体" w:hAnsi="宋体" w:eastAsia="宋体" w:cs="宋体"/>
          <w:b w:val="0"/>
          <w:bCs w:val="0"/>
          <w:sz w:val="28"/>
          <w:szCs w:val="28"/>
        </w:rPr>
        <w:t>对</w:t>
      </w:r>
      <w:r>
        <w:rPr>
          <w:rFonts w:hint="eastAsia" w:ascii="宋体" w:hAnsi="宋体" w:eastAsia="宋体" w:cs="宋体"/>
          <w:b w:val="0"/>
          <w:bCs w:val="0"/>
          <w:sz w:val="28"/>
          <w:szCs w:val="28"/>
          <w:lang w:val="en-US" w:eastAsia="zh-CN"/>
        </w:rPr>
        <w:t>城南幼儿园的建设选址、设施设备质量、</w:t>
      </w:r>
      <w:r>
        <w:rPr>
          <w:rFonts w:hint="eastAsia" w:ascii="宋体" w:hAnsi="宋体" w:eastAsia="宋体" w:cs="宋体"/>
          <w:b w:val="0"/>
          <w:bCs w:val="0"/>
          <w:sz w:val="28"/>
          <w:szCs w:val="28"/>
        </w:rPr>
        <w:t>卫生环境</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幼师和</w:t>
      </w:r>
      <w:r>
        <w:rPr>
          <w:rFonts w:hint="eastAsia" w:ascii="宋体" w:hAnsi="宋体" w:eastAsia="宋体" w:cs="宋体"/>
          <w:b w:val="0"/>
          <w:bCs w:val="0"/>
          <w:sz w:val="28"/>
          <w:szCs w:val="28"/>
        </w:rPr>
        <w:t>护理人员的服务态度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现阶段管理水平、幼儿园内各种安全防范措施、</w:t>
      </w:r>
      <w:r>
        <w:rPr>
          <w:rFonts w:hint="eastAsia" w:ascii="宋体" w:hAnsi="宋体" w:eastAsia="宋体" w:cs="宋体"/>
          <w:b w:val="0"/>
          <w:bCs w:val="0"/>
          <w:sz w:val="28"/>
          <w:szCs w:val="28"/>
        </w:rPr>
        <w:t>现阶段食堂</w:t>
      </w:r>
      <w:r>
        <w:rPr>
          <w:rFonts w:hint="eastAsia" w:ascii="宋体" w:hAnsi="宋体" w:eastAsia="宋体" w:cs="宋体"/>
          <w:b w:val="0"/>
          <w:bCs w:val="0"/>
          <w:sz w:val="28"/>
          <w:szCs w:val="28"/>
          <w:lang w:val="en-US" w:eastAsia="zh-CN"/>
        </w:rPr>
        <w:t>中餐</w:t>
      </w:r>
      <w:r>
        <w:rPr>
          <w:rFonts w:hint="eastAsia" w:ascii="宋体" w:hAnsi="宋体" w:eastAsia="宋体" w:cs="宋体"/>
          <w:b w:val="0"/>
          <w:bCs w:val="0"/>
          <w:sz w:val="28"/>
          <w:szCs w:val="28"/>
        </w:rPr>
        <w:t>营养配餐饭菜质量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幼师</w:t>
      </w:r>
      <w:r>
        <w:rPr>
          <w:rFonts w:hint="eastAsia" w:ascii="宋体" w:hAnsi="宋体" w:eastAsia="宋体" w:cs="宋体"/>
          <w:b w:val="0"/>
          <w:bCs w:val="0"/>
          <w:sz w:val="28"/>
          <w:szCs w:val="28"/>
        </w:rPr>
        <w:t>数量</w:t>
      </w:r>
      <w:r>
        <w:rPr>
          <w:rFonts w:hint="eastAsia" w:ascii="宋体" w:hAnsi="宋体" w:eastAsia="宋体" w:cs="宋体"/>
          <w:b w:val="0"/>
          <w:bCs w:val="0"/>
          <w:sz w:val="28"/>
          <w:szCs w:val="28"/>
          <w:lang w:val="en-US" w:eastAsia="zh-CN"/>
        </w:rPr>
        <w:t>和水平、收费标准等的满意度。</w:t>
      </w:r>
      <w:r>
        <w:rPr>
          <w:rFonts w:hint="eastAsia" w:ascii="宋体" w:hAnsi="宋体" w:eastAsia="宋体" w:cs="宋体"/>
          <w:b w:val="0"/>
          <w:bCs w:val="0"/>
          <w:color w:val="auto"/>
          <w:sz w:val="28"/>
          <w:szCs w:val="28"/>
          <w:lang w:val="en-US" w:eastAsia="zh-CN"/>
        </w:rPr>
        <w:t>调查结果</w:t>
      </w:r>
      <w:r>
        <w:rPr>
          <w:rFonts w:hint="eastAsia" w:ascii="宋体" w:hAnsi="宋体" w:eastAsia="宋体" w:cs="宋体"/>
          <w:b w:val="0"/>
          <w:bCs w:val="0"/>
          <w:color w:val="auto"/>
          <w:sz w:val="28"/>
          <w:szCs w:val="28"/>
          <w:highlight w:val="none"/>
          <w:lang w:val="en-US" w:eastAsia="zh-CN"/>
        </w:rPr>
        <w:t>按加权平均得出综合满意度结果（满意占100%、基本满意占60%，不满意为0%）经统计：</w:t>
      </w:r>
      <w:r>
        <w:rPr>
          <w:rFonts w:hint="eastAsia" w:ascii="宋体" w:hAnsi="宋体" w:eastAsia="宋体" w:cs="宋体"/>
          <w:b w:val="0"/>
          <w:bCs w:val="0"/>
          <w:color w:val="auto"/>
          <w:sz w:val="28"/>
          <w:szCs w:val="28"/>
          <w:lang w:val="en-US" w:eastAsia="zh-CN"/>
        </w:rPr>
        <w:t>问卷调查结果平均得分为96</w:t>
      </w:r>
      <w:r>
        <w:rPr>
          <w:rFonts w:hint="eastAsia" w:ascii="宋体" w:hAnsi="宋体" w:eastAsia="宋体" w:cs="宋体"/>
          <w:b w:val="0"/>
          <w:bCs w:val="0"/>
          <w:color w:val="auto"/>
          <w:sz w:val="28"/>
          <w:szCs w:val="28"/>
          <w:highlight w:val="none"/>
          <w:lang w:val="en-US" w:eastAsia="zh-CN"/>
        </w:rPr>
        <w:t>分，</w:t>
      </w:r>
      <w:r>
        <w:rPr>
          <w:rFonts w:hint="eastAsia" w:ascii="宋体" w:hAnsi="宋体" w:eastAsia="宋体" w:cs="宋体"/>
          <w:b w:val="0"/>
          <w:bCs w:val="0"/>
          <w:color w:val="auto"/>
          <w:sz w:val="28"/>
          <w:szCs w:val="28"/>
          <w:lang w:val="en-US" w:eastAsia="zh-CN"/>
        </w:rPr>
        <w:t>满意度高。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3.</w:t>
      </w:r>
      <w:r>
        <w:rPr>
          <w:rFonts w:hint="eastAsia" w:ascii="宋体" w:hAnsi="宋体" w:eastAsia="宋体" w:cs="宋体"/>
          <w:b/>
          <w:bCs w:val="0"/>
          <w:color w:val="auto"/>
          <w:sz w:val="28"/>
          <w:szCs w:val="28"/>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绩效评价小组</w:t>
      </w:r>
      <w:r>
        <w:rPr>
          <w:rFonts w:hint="eastAsia" w:ascii="宋体" w:hAnsi="宋体" w:eastAsia="宋体" w:cs="宋体"/>
          <w:sz w:val="28"/>
          <w:szCs w:val="28"/>
        </w:rPr>
        <w:t>对评价过程中收集的财务数据、</w:t>
      </w:r>
      <w:r>
        <w:rPr>
          <w:rFonts w:hint="eastAsia" w:ascii="宋体" w:hAnsi="宋体" w:eastAsia="宋体" w:cs="宋体"/>
          <w:sz w:val="28"/>
          <w:szCs w:val="28"/>
          <w:lang w:val="en-US" w:eastAsia="zh-CN"/>
        </w:rPr>
        <w:t>项目资料</w:t>
      </w:r>
      <w:r>
        <w:rPr>
          <w:rFonts w:hint="eastAsia" w:ascii="宋体" w:hAnsi="宋体" w:eastAsia="宋体" w:cs="宋体"/>
          <w:sz w:val="28"/>
          <w:szCs w:val="28"/>
        </w:rPr>
        <w:t>进行了</w:t>
      </w:r>
      <w:r>
        <w:rPr>
          <w:rFonts w:hint="eastAsia" w:ascii="宋体" w:hAnsi="宋体" w:eastAsia="宋体" w:cs="宋体"/>
          <w:sz w:val="28"/>
          <w:szCs w:val="28"/>
          <w:lang w:val="en-US" w:eastAsia="zh-CN"/>
        </w:rPr>
        <w:t>分析、</w:t>
      </w:r>
      <w:r>
        <w:rPr>
          <w:rFonts w:hint="eastAsia" w:ascii="宋体" w:hAnsi="宋体" w:eastAsia="宋体" w:cs="宋体"/>
          <w:sz w:val="28"/>
          <w:szCs w:val="28"/>
        </w:rPr>
        <w:t>归纳和汇总</w:t>
      </w:r>
      <w:r>
        <w:rPr>
          <w:rFonts w:hint="eastAsia" w:ascii="宋体" w:hAnsi="宋体" w:eastAsia="宋体" w:cs="宋体"/>
          <w:sz w:val="28"/>
          <w:szCs w:val="28"/>
          <w:lang w:eastAsia="zh-CN"/>
        </w:rPr>
        <w:t>，</w:t>
      </w:r>
      <w:r>
        <w:rPr>
          <w:rFonts w:hint="eastAsia" w:ascii="宋体" w:hAnsi="宋体" w:eastAsia="宋体" w:cs="宋体"/>
          <w:sz w:val="28"/>
          <w:szCs w:val="28"/>
        </w:rPr>
        <w:t>依据设定的绩效评价指标体系，</w:t>
      </w:r>
      <w:r>
        <w:rPr>
          <w:rFonts w:hint="eastAsia" w:ascii="宋体" w:hAnsi="宋体" w:eastAsia="宋体" w:cs="宋体"/>
          <w:sz w:val="28"/>
          <w:szCs w:val="28"/>
          <w:lang w:val="en-US" w:eastAsia="zh-CN"/>
        </w:rPr>
        <w:t>重点对</w:t>
      </w:r>
      <w:r>
        <w:rPr>
          <w:rFonts w:hint="eastAsia" w:ascii="宋体" w:hAnsi="宋体" w:eastAsia="宋体" w:cs="宋体"/>
          <w:sz w:val="28"/>
          <w:szCs w:val="28"/>
        </w:rPr>
        <w:t>对</w:t>
      </w:r>
      <w:r>
        <w:rPr>
          <w:rFonts w:hint="eastAsia" w:ascii="宋体" w:hAnsi="宋体" w:eastAsia="宋体" w:cs="宋体"/>
          <w:sz w:val="28"/>
          <w:szCs w:val="28"/>
          <w:lang w:val="en-US" w:eastAsia="zh-CN"/>
        </w:rPr>
        <w:t>项目决策、过程、产出、效果进行评价分析，通过综合分析、意见征询，形成绩效评价结论。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绩效评价报告</w:t>
      </w:r>
      <w:r>
        <w:rPr>
          <w:rFonts w:hint="eastAsia" w:ascii="宋体" w:hAnsi="宋体" w:eastAsia="宋体" w:cs="宋体"/>
          <w:b/>
          <w:bCs/>
          <w:sz w:val="28"/>
          <w:szCs w:val="28"/>
          <w:lang w:val="en-US" w:eastAsia="zh-CN"/>
        </w:rPr>
        <w:t>的形成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绩效评价小组</w:t>
      </w:r>
      <w:r>
        <w:rPr>
          <w:rFonts w:hint="eastAsia" w:ascii="宋体" w:hAnsi="宋体" w:eastAsia="宋体" w:cs="宋体"/>
          <w:sz w:val="28"/>
          <w:szCs w:val="28"/>
        </w:rPr>
        <w:t>制订了</w:t>
      </w:r>
      <w:r>
        <w:rPr>
          <w:rFonts w:hint="eastAsia" w:ascii="宋体" w:hAnsi="宋体" w:eastAsia="宋体" w:cs="宋体"/>
          <w:sz w:val="28"/>
          <w:szCs w:val="28"/>
          <w:lang w:val="en-US" w:eastAsia="zh-CN"/>
        </w:rPr>
        <w:t>现场评价工作</w:t>
      </w:r>
      <w:r>
        <w:rPr>
          <w:rFonts w:hint="eastAsia" w:ascii="宋体" w:hAnsi="宋体" w:eastAsia="宋体" w:cs="宋体"/>
          <w:sz w:val="28"/>
          <w:szCs w:val="28"/>
        </w:rPr>
        <w:t>底稿，</w:t>
      </w:r>
      <w:r>
        <w:rPr>
          <w:rFonts w:hint="eastAsia" w:ascii="宋体" w:hAnsi="宋体" w:eastAsia="宋体" w:cs="宋体"/>
          <w:sz w:val="28"/>
          <w:szCs w:val="28"/>
          <w:lang w:val="en-US" w:eastAsia="zh-CN"/>
        </w:rPr>
        <w:t>向被评价单位发送了《承诺书》《现场评价回执》</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云溪区城南幼儿园建设专项债券项目</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征求意见稿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征求区教体局</w:t>
      </w:r>
      <w:r>
        <w:rPr>
          <w:rFonts w:hint="eastAsia" w:ascii="宋体" w:hAnsi="宋体" w:eastAsia="宋体" w:cs="宋体"/>
          <w:b w:val="0"/>
          <w:bCs w:val="0"/>
          <w:sz w:val="28"/>
          <w:szCs w:val="28"/>
          <w:lang w:val="en-US" w:eastAsia="zh-CN"/>
        </w:rPr>
        <w:t>意见后，报送给区</w:t>
      </w:r>
      <w:r>
        <w:rPr>
          <w:rFonts w:hint="eastAsia" w:ascii="宋体" w:hAnsi="宋体" w:eastAsia="宋体" w:cs="宋体"/>
          <w:sz w:val="28"/>
          <w:szCs w:val="28"/>
          <w:lang w:val="en-US" w:eastAsia="zh-CN"/>
        </w:rPr>
        <w:t>财政局绩效股审核，审核通过后，形成</w:t>
      </w:r>
      <w:r>
        <w:rPr>
          <w:rFonts w:hint="eastAsia" w:ascii="宋体" w:hAnsi="宋体" w:eastAsia="宋体" w:cs="宋体"/>
          <w:b w:val="0"/>
          <w:bCs w:val="0"/>
          <w:sz w:val="28"/>
          <w:szCs w:val="28"/>
        </w:rPr>
        <w:t>《</w:t>
      </w:r>
      <w:r>
        <w:rPr>
          <w:rFonts w:hint="eastAsia" w:ascii="宋体" w:hAnsi="宋体" w:eastAsia="宋体" w:cs="宋体"/>
          <w:b w:val="0"/>
          <w:bCs w:val="0"/>
          <w:sz w:val="28"/>
          <w:szCs w:val="28"/>
          <w:highlight w:val="none"/>
          <w:lang w:val="en-US" w:eastAsia="zh-CN"/>
        </w:rPr>
        <w:t>云溪区城南幼儿园建设专项债券项目</w:t>
      </w:r>
      <w:r>
        <w:rPr>
          <w:rFonts w:hint="eastAsia" w:ascii="宋体" w:hAnsi="宋体" w:eastAsia="宋体" w:cs="宋体"/>
          <w:sz w:val="28"/>
          <w:szCs w:val="28"/>
          <w:lang w:eastAsia="zh-CN"/>
        </w:rPr>
        <w:t>重点</w:t>
      </w:r>
      <w:r>
        <w:rPr>
          <w:rFonts w:hint="eastAsia" w:ascii="宋体" w:hAnsi="宋体" w:eastAsia="宋体" w:cs="宋体"/>
          <w:sz w:val="28"/>
          <w:szCs w:val="28"/>
        </w:rPr>
        <w:t>绩效评价报告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正稿。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32"/>
          <w:szCs w:val="32"/>
          <w:highlight w:val="none"/>
          <w:lang w:val="en-US" w:eastAsia="zh-CN"/>
        </w:rPr>
        <w:t>三、绩效评价结论和绩效分析</w:t>
      </w:r>
    </w:p>
    <w:p>
      <w:pPr>
        <w:widowControl/>
        <w:shd w:val="clear" w:color="auto" w:fill="FFFFFF"/>
        <w:spacing w:line="660" w:lineRule="exact"/>
        <w:ind w:firstLine="602" w:firstLineChars="200"/>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（一）评价结论</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经绩效评价小组评定项目得分80分，等级为“良好”。其中：</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1.项目决策： 分值15分   得分13分     扣分2分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2.过程管理： 分值25分   得分18.5分   扣分6.5分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3.项目产出： 分值30分   得分20.5分   扣分9.5分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4.项目效益： 分值30分   得分28分     扣分2分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具体见《</w:t>
      </w:r>
      <w:r>
        <w:rPr>
          <w:rFonts w:hint="eastAsia" w:ascii="宋体" w:hAnsi="宋体" w:eastAsia="宋体" w:cs="宋体"/>
          <w:b w:val="0"/>
          <w:bCs w:val="0"/>
          <w:sz w:val="28"/>
          <w:szCs w:val="28"/>
          <w:highlight w:val="none"/>
          <w:lang w:val="en-US" w:eastAsia="zh-CN"/>
        </w:rPr>
        <w:t>岳阳市云溪区城南幼儿园建设专项债券项目绩效</w:t>
      </w:r>
      <w:r>
        <w:rPr>
          <w:rFonts w:hint="eastAsia" w:ascii="宋体" w:hAnsi="宋体" w:eastAsia="宋体" w:cs="宋体"/>
          <w:b w:val="0"/>
          <w:bCs w:val="0"/>
          <w:sz w:val="28"/>
          <w:szCs w:val="28"/>
          <w:lang w:val="en-US" w:eastAsia="zh-CN"/>
        </w:rPr>
        <w:t>评分表》（附件2）</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02" w:firstLineChars="200"/>
        <w:textAlignment w:val="auto"/>
        <w:rPr>
          <w:rFonts w:hint="eastAsia" w:ascii="宋体" w:hAnsi="宋体" w:eastAsia="宋体" w:cs="宋体"/>
          <w:b/>
          <w:bCs/>
          <w:sz w:val="28"/>
          <w:szCs w:val="28"/>
          <w:highlight w:val="none"/>
          <w:lang w:val="en-US" w:eastAsia="zh-CN"/>
        </w:rPr>
      </w:pPr>
      <w:r>
        <w:rPr>
          <w:rFonts w:hint="eastAsia" w:ascii="楷体_GB2312" w:hAnsi="Times New Roman" w:eastAsia="楷体_GB2312" w:cs="Times New Roman"/>
          <w:b/>
          <w:kern w:val="0"/>
          <w:sz w:val="30"/>
          <w:szCs w:val="30"/>
          <w:lang w:val="en-US" w:eastAsia="zh-CN"/>
        </w:rPr>
        <w:t>（二）主要绩效</w:t>
      </w:r>
    </w:p>
    <w:p>
      <w:pPr>
        <w:keepNext w:val="0"/>
        <w:keepLines w:val="0"/>
        <w:pageBreakBefore w:val="0"/>
        <w:widowControl w:val="0"/>
        <w:numPr>
          <w:ilvl w:val="0"/>
          <w:numId w:val="0"/>
        </w:numPr>
        <w:tabs>
          <w:tab w:val="left" w:pos="626"/>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b/>
          <w:bCs/>
          <w:kern w:val="0"/>
          <w:sz w:val="28"/>
          <w:szCs w:val="28"/>
          <w:lang w:val="en-US" w:eastAsia="zh-CN" w:bidi="ar-SA"/>
        </w:rPr>
        <w:t>1.扩大办学规模，</w:t>
      </w:r>
      <w:r>
        <w:rPr>
          <w:rFonts w:hint="eastAsia" w:ascii="宋体" w:hAnsi="宋体" w:eastAsia="宋体" w:cs="宋体"/>
          <w:b/>
          <w:bCs/>
          <w:color w:val="auto"/>
          <w:sz w:val="28"/>
          <w:szCs w:val="28"/>
          <w:lang w:val="en-US" w:eastAsia="zh-CN"/>
        </w:rPr>
        <w:t>满足社会需求</w:t>
      </w:r>
    </w:p>
    <w:p>
      <w:pPr>
        <w:keepNext w:val="0"/>
        <w:keepLines w:val="0"/>
        <w:pageBreakBefore w:val="0"/>
        <w:widowControl w:val="0"/>
        <w:numPr>
          <w:ilvl w:val="0"/>
          <w:numId w:val="0"/>
        </w:numPr>
        <w:tabs>
          <w:tab w:val="left" w:pos="626"/>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区城南幼儿园建设，</w:t>
      </w:r>
      <w:r>
        <w:rPr>
          <w:rFonts w:hint="eastAsia" w:ascii="宋体" w:hAnsi="宋体" w:eastAsia="宋体" w:cs="宋体"/>
          <w:color w:val="auto"/>
          <w:sz w:val="28"/>
          <w:szCs w:val="28"/>
          <w:lang w:val="en-US" w:eastAsia="zh-CN"/>
        </w:rPr>
        <w:t>新增12个教学班,增加360个学位，总建筑面积5008平方米，扩大城区学前建设规模及办学规模。项目投入使用后，</w:t>
      </w:r>
      <w:r>
        <w:rPr>
          <w:rFonts w:hint="eastAsia" w:ascii="宋体" w:hAnsi="宋体" w:eastAsia="宋体" w:cs="宋体"/>
          <w:kern w:val="0"/>
          <w:sz w:val="28"/>
          <w:szCs w:val="28"/>
          <w:lang w:val="en-US" w:eastAsia="zh-CN" w:bidi="ar-SA"/>
        </w:rPr>
        <w:t>缓解云溪区幼儿园优质教育资源不足的矛盾，</w:t>
      </w:r>
      <w:r>
        <w:rPr>
          <w:rFonts w:hint="eastAsia" w:ascii="宋体" w:hAnsi="宋体" w:eastAsia="宋体" w:cs="宋体"/>
          <w:color w:val="auto"/>
          <w:sz w:val="28"/>
          <w:szCs w:val="28"/>
          <w:lang w:val="en-US" w:eastAsia="zh-CN"/>
        </w:rPr>
        <w:t>改变了云溪区幼儿教育特别是优质学前教育资源不能满足社会需求的问题，</w:t>
      </w:r>
      <w:r>
        <w:rPr>
          <w:rFonts w:hint="eastAsia" w:ascii="宋体" w:hAnsi="宋体" w:eastAsia="宋体" w:cs="宋体"/>
          <w:kern w:val="0"/>
          <w:sz w:val="28"/>
          <w:szCs w:val="28"/>
          <w:lang w:val="en-US" w:eastAsia="zh-CN" w:bidi="ar-SA"/>
        </w:rPr>
        <w:t>推动云溪幼教育事业的全面、协调、可持续发展。</w:t>
      </w:r>
    </w:p>
    <w:p>
      <w:pPr>
        <w:keepNext w:val="0"/>
        <w:keepLines w:val="0"/>
        <w:pageBreakBefore w:val="0"/>
        <w:widowControl w:val="0"/>
        <w:numPr>
          <w:ilvl w:val="0"/>
          <w:numId w:val="0"/>
        </w:numPr>
        <w:tabs>
          <w:tab w:val="left" w:pos="626"/>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b/>
          <w:bCs/>
          <w:kern w:val="0"/>
          <w:sz w:val="28"/>
          <w:szCs w:val="28"/>
          <w:lang w:val="en-US" w:eastAsia="zh-CN" w:bidi="ar-SA"/>
        </w:rPr>
        <w:t>2.提高教学质量，促进基础教育持续健康发展</w:t>
      </w:r>
    </w:p>
    <w:p>
      <w:pPr>
        <w:keepNext w:val="0"/>
        <w:keepLines w:val="0"/>
        <w:pageBreakBefore w:val="0"/>
        <w:widowControl w:val="0"/>
        <w:numPr>
          <w:ilvl w:val="0"/>
          <w:numId w:val="0"/>
        </w:numPr>
        <w:tabs>
          <w:tab w:val="left" w:pos="626"/>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区城南幼儿园投入运营，吸引了更多有专业能力的人才加入城南幼儿园教职工队伍，通过引入先进的课程体系、加强师资培训和改善教学资源等方式，提高幼儿教育的质量，</w:t>
      </w:r>
      <w:r>
        <w:rPr>
          <w:rFonts w:hint="eastAsia" w:ascii="宋体" w:hAnsi="宋体" w:eastAsia="宋体" w:cs="宋体"/>
          <w:kern w:val="0"/>
          <w:sz w:val="28"/>
          <w:szCs w:val="28"/>
          <w:lang w:val="en-US" w:eastAsia="zh-CN" w:bidi="ar-SA"/>
        </w:rPr>
        <w:t>极大改善了学前教育资源分配不均衡、学前教育质量不高、保教不规范等问题；</w:t>
      </w:r>
      <w:r>
        <w:rPr>
          <w:rFonts w:hint="eastAsia" w:ascii="宋体" w:hAnsi="宋体" w:eastAsia="宋体" w:cs="宋体"/>
          <w:color w:val="auto"/>
          <w:sz w:val="28"/>
          <w:szCs w:val="28"/>
          <w:lang w:val="en-US" w:eastAsia="zh-CN"/>
        </w:rPr>
        <w:t>促进本地区教育质量的整体提高，发挥引领、辐射效应，推动了</w:t>
      </w:r>
      <w:r>
        <w:rPr>
          <w:rFonts w:hint="eastAsia" w:ascii="宋体" w:hAnsi="宋体" w:eastAsia="宋体" w:cs="宋体"/>
          <w:kern w:val="0"/>
          <w:sz w:val="28"/>
          <w:szCs w:val="28"/>
          <w:lang w:val="en-US" w:eastAsia="zh-CN" w:bidi="ar-SA"/>
        </w:rPr>
        <w:t>岳阳市基础教育持续、健康发展；</w:t>
      </w:r>
      <w:r>
        <w:rPr>
          <w:rFonts w:hint="eastAsia" w:ascii="宋体" w:hAnsi="宋体" w:eastAsia="宋体" w:cs="宋体"/>
          <w:b w:val="0"/>
          <w:bCs w:val="0"/>
          <w:color w:val="auto"/>
          <w:sz w:val="28"/>
          <w:szCs w:val="28"/>
          <w:lang w:val="en-US" w:eastAsia="zh-CN"/>
        </w:rPr>
        <w:t>满足广大人民群众追求优质教育的需要，</w:t>
      </w:r>
      <w:r>
        <w:rPr>
          <w:rFonts w:hint="eastAsia" w:ascii="宋体" w:hAnsi="宋体" w:eastAsia="宋体" w:cs="宋体"/>
          <w:kern w:val="0"/>
          <w:sz w:val="28"/>
          <w:szCs w:val="28"/>
          <w:lang w:val="en-US" w:eastAsia="zh-CN" w:bidi="ar-SA"/>
        </w:rPr>
        <w:t>对区域内长远的经济、精神文明建设具有非常积极的作用。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3.为幼儿及教职工提供一个良好的学习和生活环境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color w:val="auto"/>
          <w:sz w:val="28"/>
          <w:szCs w:val="28"/>
          <w:lang w:val="en-US" w:eastAsia="zh-CN"/>
        </w:rPr>
        <w:t>通过本项目的实施，</w:t>
      </w:r>
      <w:r>
        <w:rPr>
          <w:rFonts w:hint="eastAsia" w:ascii="宋体" w:hAnsi="宋体" w:eastAsia="宋体" w:cs="宋体"/>
          <w:b w:val="0"/>
          <w:bCs w:val="0"/>
          <w:kern w:val="0"/>
          <w:sz w:val="28"/>
          <w:szCs w:val="28"/>
          <w:lang w:val="en-US" w:eastAsia="zh-CN" w:bidi="ar-SA"/>
        </w:rPr>
        <w:t>为幼儿及教职工提供一个良好的</w:t>
      </w:r>
      <w:r>
        <w:rPr>
          <w:rFonts w:hint="eastAsia" w:ascii="宋体" w:hAnsi="宋体" w:eastAsia="宋体" w:cs="宋体"/>
          <w:b w:val="0"/>
          <w:bCs w:val="0"/>
          <w:kern w:val="0"/>
          <w:sz w:val="28"/>
          <w:szCs w:val="28"/>
          <w:lang w:val="en-US" w:eastAsia="zh-CN" w:bidi="ar-SA"/>
        </w:rPr>
        <w:t>学习和生活</w:t>
      </w:r>
      <w:r>
        <w:rPr>
          <w:rFonts w:hint="eastAsia" w:ascii="宋体" w:hAnsi="宋体" w:eastAsia="宋体" w:cs="宋体"/>
          <w:b w:val="0"/>
          <w:bCs w:val="0"/>
          <w:kern w:val="0"/>
          <w:sz w:val="28"/>
          <w:szCs w:val="28"/>
          <w:lang w:val="en-US" w:eastAsia="zh-CN" w:bidi="ar-SA"/>
        </w:rPr>
        <w:t>环境。</w:t>
      </w:r>
      <w:r>
        <w:rPr>
          <w:rFonts w:hint="eastAsia" w:ascii="宋体" w:hAnsi="宋体" w:eastAsia="宋体" w:cs="宋体"/>
          <w:color w:val="auto"/>
          <w:sz w:val="28"/>
          <w:szCs w:val="28"/>
          <w:lang w:val="en-US" w:eastAsia="zh-CN"/>
        </w:rPr>
        <w:t>配备了符合标准的幼儿教学用房、老师办公用房、多功能室、厨房、储藏室、绿地、室外地面活动场所；建有科普园、游戏场地；配置地面停车位；有独立院落和出入口等；充分满足幼儿生活和学习的需要，有利于幼儿的身心健康，为教职工提供良</w:t>
      </w:r>
      <w:r>
        <w:rPr>
          <w:rFonts w:hint="eastAsia" w:ascii="宋体" w:hAnsi="宋体" w:eastAsia="宋体" w:cs="宋体"/>
          <w:b w:val="0"/>
          <w:bCs w:val="0"/>
          <w:kern w:val="0"/>
          <w:sz w:val="28"/>
          <w:szCs w:val="28"/>
          <w:lang w:val="en-US" w:eastAsia="zh-CN" w:bidi="ar-SA"/>
        </w:rPr>
        <w:t>好的工作环境，为家长接送提供便利，真正落实了民生工程建设任务。</w:t>
      </w:r>
      <w:r>
        <w:rPr>
          <w:rFonts w:hint="eastAsia" w:ascii="宋体" w:hAnsi="宋体" w:eastAsia="宋体" w:cs="宋体"/>
          <w:b w:val="0"/>
          <w:bCs w:val="0"/>
          <w:kern w:val="0"/>
          <w:sz w:val="28"/>
          <w:szCs w:val="28"/>
          <w:lang w:val="en-US" w:eastAsia="zh-CN" w:bidi="ar-SA"/>
        </w:rPr>
        <w:t>投入使用后的城南幼儿园，</w:t>
      </w:r>
      <w:r>
        <w:rPr>
          <w:rFonts w:hint="eastAsia" w:ascii="宋体" w:hAnsi="宋体" w:eastAsia="宋体" w:cs="宋体"/>
          <w:color w:val="auto"/>
          <w:sz w:val="28"/>
          <w:szCs w:val="28"/>
          <w:lang w:val="en-US" w:eastAsia="zh-CN"/>
        </w:rPr>
        <w:t>房屋建筑和设施功能完善、园区布局合理、绿色环保、美观实用、</w:t>
      </w:r>
      <w:r>
        <w:rPr>
          <w:rFonts w:hint="eastAsia" w:ascii="宋体" w:hAnsi="宋体" w:eastAsia="宋体" w:cs="宋体"/>
          <w:b w:val="0"/>
          <w:bCs w:val="0"/>
          <w:kern w:val="0"/>
          <w:sz w:val="28"/>
          <w:szCs w:val="28"/>
          <w:lang w:val="en-US" w:eastAsia="zh-CN" w:bidi="ar-SA"/>
        </w:rPr>
        <w:t>环境优美，具有抵抗自然灾害，保障幼儿安全的能力。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b/>
          <w:bCs/>
          <w:kern w:val="0"/>
          <w:sz w:val="28"/>
          <w:szCs w:val="28"/>
          <w:lang w:val="en-US" w:eastAsia="zh-CN" w:bidi="ar-SA"/>
        </w:rPr>
        <w:t>4.项目运营带来一定的经济效益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b w:val="0"/>
          <w:bCs w:val="0"/>
          <w:kern w:val="0"/>
          <w:sz w:val="28"/>
          <w:szCs w:val="28"/>
          <w:lang w:val="en-US" w:eastAsia="zh-CN" w:bidi="ar-SA"/>
        </w:rPr>
        <w:t>随着人们对幼儿教育</w:t>
      </w:r>
      <w:r>
        <w:rPr>
          <w:rFonts w:hint="eastAsia" w:ascii="宋体" w:hAnsi="宋体" w:eastAsia="宋体" w:cs="宋体"/>
          <w:b w:val="0"/>
          <w:bCs w:val="0"/>
          <w:color w:val="auto"/>
          <w:kern w:val="0"/>
          <w:sz w:val="28"/>
          <w:szCs w:val="28"/>
          <w:lang w:val="en-US" w:eastAsia="zh-CN" w:bidi="ar-SA"/>
        </w:rPr>
        <w:t>的重视，以及对城南幼儿园的教学质量的认</w:t>
      </w:r>
      <w:r>
        <w:rPr>
          <w:rFonts w:hint="eastAsia" w:ascii="宋体" w:hAnsi="宋体" w:eastAsia="宋体" w:cs="宋体"/>
          <w:color w:val="auto"/>
          <w:kern w:val="0"/>
          <w:sz w:val="28"/>
          <w:szCs w:val="28"/>
          <w:lang w:val="en-US" w:eastAsia="zh-CN" w:bidi="ar-SA"/>
        </w:rPr>
        <w:t>可，招生生源将稳定上升，在体现社会效益的同时，可以带来一定的经济效益。城南幼儿园投入使用后，有一定的投资回报，按标准可收取保教费用，上缴财政非税收入，可减少政府对教育的部分投入。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四、绩效评价指标分析</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02" w:firstLineChars="200"/>
        <w:textAlignment w:val="auto"/>
        <w:rPr>
          <w:rFonts w:hint="eastAsia" w:ascii="宋体" w:hAnsi="宋体" w:eastAsia="宋体" w:cs="宋体"/>
          <w:b/>
          <w:bCs/>
          <w:sz w:val="28"/>
          <w:szCs w:val="28"/>
          <w:highlight w:val="none"/>
          <w:lang w:val="en-US" w:eastAsia="zh-CN"/>
        </w:rPr>
      </w:pPr>
      <w:r>
        <w:rPr>
          <w:rFonts w:hint="eastAsia" w:ascii="楷体_GB2312" w:hAnsi="Times New Roman" w:eastAsia="楷体_GB2312" w:cs="Times New Roman"/>
          <w:b/>
          <w:kern w:val="0"/>
          <w:sz w:val="30"/>
          <w:szCs w:val="30"/>
          <w:lang w:val="en-US" w:eastAsia="zh-CN"/>
        </w:rPr>
        <w:t>　（一）决策方面</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1.项目决策过程分析</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（1）立项依据充分性</w:t>
      </w:r>
      <w:r>
        <w:rPr>
          <w:rFonts w:hint="eastAsia" w:ascii="宋体" w:hAnsi="宋体" w:eastAsia="宋体" w:cs="宋体"/>
          <w:b w:val="0"/>
          <w:bCs w:val="0"/>
          <w:sz w:val="28"/>
          <w:szCs w:val="28"/>
          <w:highlight w:val="none"/>
          <w:lang w:val="en-US" w:eastAsia="zh-CN"/>
        </w:rPr>
        <w:t>。本项目经岳阳市云溪区发改局立项，项目符合《中共中央办公厅 国务院办公厅印发关于做好地方政府专项债券发行及项目配套融资工作的通知》（厅字〔2019〕33号）、《国务院关于加强地方政府性债务管理的意见》（国发〔2014〕43号）等政策依据、教育事业发展政策、云溪区委区政府决策部署。经与区财政局相关部门核实，本项目资金无同类预算支出重复安排的现象。</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（2）立项程序规范性</w:t>
      </w:r>
      <w:r>
        <w:rPr>
          <w:rFonts w:hint="eastAsia" w:ascii="宋体" w:hAnsi="宋体" w:eastAsia="宋体" w:cs="宋体"/>
          <w:b w:val="0"/>
          <w:bCs w:val="0"/>
          <w:sz w:val="28"/>
          <w:szCs w:val="28"/>
          <w:highlight w:val="none"/>
          <w:lang w:val="en-US" w:eastAsia="zh-CN"/>
        </w:rPr>
        <w:t>。本项目为公益服务项目，符合专项债券支持七大领域和方向；</w:t>
      </w:r>
      <w:r>
        <w:rPr>
          <w:rFonts w:hint="eastAsia" w:ascii="宋体" w:hAnsi="宋体" w:eastAsia="宋体" w:cs="宋体"/>
          <w:b w:val="0"/>
          <w:bCs w:val="0"/>
          <w:sz w:val="28"/>
          <w:szCs w:val="28"/>
          <w:highlight w:val="none"/>
          <w:lang w:val="en-US" w:eastAsia="zh-CN"/>
        </w:rPr>
        <w:t>项目实施</w:t>
      </w:r>
      <w:r>
        <w:rPr>
          <w:rFonts w:hint="eastAsia" w:ascii="宋体" w:hAnsi="宋体" w:eastAsia="宋体" w:cs="宋体"/>
          <w:b w:val="0"/>
          <w:bCs w:val="0"/>
          <w:sz w:val="28"/>
          <w:szCs w:val="28"/>
          <w:highlight w:val="none"/>
          <w:lang w:val="en-US" w:eastAsia="zh-CN"/>
        </w:rPr>
        <w:t>进行了事前评估、可行性研究，并经区政府专题会议集体决策，项目</w:t>
      </w:r>
      <w:r>
        <w:rPr>
          <w:rFonts w:hint="eastAsia" w:ascii="宋体" w:hAnsi="宋体" w:eastAsia="宋体" w:cs="宋体"/>
          <w:b w:val="0"/>
          <w:bCs w:val="0"/>
          <w:sz w:val="28"/>
          <w:szCs w:val="28"/>
          <w:highlight w:val="none"/>
          <w:lang w:val="en-US" w:eastAsia="zh-CN"/>
        </w:rPr>
        <w:t>立项程序规范。</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（3）项目符合性。</w:t>
      </w:r>
      <w:r>
        <w:rPr>
          <w:rFonts w:hint="eastAsia" w:ascii="宋体" w:hAnsi="宋体" w:eastAsia="宋体" w:cs="宋体"/>
          <w:b w:val="0"/>
          <w:bCs w:val="0"/>
          <w:sz w:val="28"/>
          <w:szCs w:val="28"/>
          <w:highlight w:val="none"/>
          <w:lang w:val="en-US" w:eastAsia="zh-CN"/>
        </w:rPr>
        <w:t>本项目属于有一定收益的公益性项目，符合专项债券发行范围；聘请专业机构编制了“一案二书”。“一案二书”债券投资额与实际投资额一致，但项目建设规模与实际建设规模存在不一致的现象。</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2.项目绩效管理情况</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项目相关单位2022年对项目绩效情况进行自评，并提供自评表及自评报告。但预算单位在申报项目预算时，未按要求同时上报绩效目标，2022年度绩效自评报告及自评表绩效目标指标设置不具体、不完整。</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3.资金投入分析</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highlight w:val="none"/>
          <w:lang w:val="en-US" w:eastAsia="zh-CN"/>
        </w:rPr>
        <w:t>项目立项概算总投入3,000.00万元，其中专项债券资金2,000.00万元，占总投入66.67%;单位自筹资金1,000.00万元，占总投入33.33%;至2023年6月末，实际已投入2,032.25万元，占立项总投入67.74%;其中建筑、安装、设备施工工程费用支出共计1,697.4万元，占总支出83.52%;项目工程其他费用334.85万元，占总支出16.48%。</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02" w:firstLineChars="200"/>
        <w:textAlignment w:val="auto"/>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（二）过程管理方面</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1.资金管理情况分析</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val="0"/>
          <w:bCs w:val="0"/>
          <w:sz w:val="28"/>
          <w:szCs w:val="28"/>
          <w:highlight w:val="yellow"/>
          <w:lang w:val="en-US" w:eastAsia="zh-CN"/>
        </w:rPr>
      </w:pPr>
      <w:r>
        <w:rPr>
          <w:rFonts w:hint="eastAsia" w:ascii="宋体" w:hAnsi="宋体" w:eastAsia="宋体" w:cs="宋体"/>
          <w:b/>
          <w:bCs/>
          <w:sz w:val="28"/>
          <w:szCs w:val="28"/>
          <w:highlight w:val="none"/>
          <w:lang w:val="en-US" w:eastAsia="zh-CN"/>
        </w:rPr>
        <w:t>（1）资金到位率</w:t>
      </w:r>
      <w:r>
        <w:rPr>
          <w:rFonts w:hint="eastAsia" w:ascii="宋体" w:hAnsi="宋体" w:eastAsia="宋体" w:cs="宋体"/>
          <w:b w:val="0"/>
          <w:bCs w:val="0"/>
          <w:sz w:val="28"/>
          <w:szCs w:val="28"/>
          <w:highlight w:val="none"/>
          <w:lang w:val="en-US" w:eastAsia="zh-CN"/>
        </w:rPr>
        <w:t>。至2023年6月末，资金共到位2,032.25万元，其中：专项债券资金到位2,000.00万元，专项债券资金到位率100%，单位自筹资金到位为32.25万元，到位率3.23%，自筹资金到位率低。原因，根据项目进度付款，先支付债券资金。</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（2）预算执行率</w:t>
      </w:r>
      <w:r>
        <w:rPr>
          <w:rFonts w:hint="eastAsia" w:ascii="宋体" w:hAnsi="宋体" w:eastAsia="宋体" w:cs="宋体"/>
          <w:b w:val="0"/>
          <w:bCs w:val="0"/>
          <w:sz w:val="28"/>
          <w:szCs w:val="28"/>
          <w:highlight w:val="none"/>
          <w:lang w:val="en-US" w:eastAsia="zh-CN"/>
        </w:rPr>
        <w:t>。至2023年6月末，项目预算3,000,00万元，项目支出2,032.25万元，预算执行率为67.74%。原因:因项目实施进度偏慢，部分合同进度款未支付。</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（3）资金使用合规性</w:t>
      </w:r>
      <w:r>
        <w:rPr>
          <w:rFonts w:hint="eastAsia" w:ascii="宋体" w:hAnsi="宋体" w:eastAsia="宋体" w:cs="宋体"/>
          <w:b w:val="0"/>
          <w:bCs w:val="0"/>
          <w:kern w:val="2"/>
          <w:sz w:val="28"/>
          <w:szCs w:val="28"/>
          <w:highlight w:val="none"/>
          <w:lang w:val="en-US" w:eastAsia="zh-CN" w:bidi="ar-SA"/>
        </w:rPr>
        <w:t>。区校安工程领导小组及区教体局制定的具体的资金财务管理办法、内部管理等制度，其管理办法符合国家财经法规和财务管理制度；项目资金的拨付有完整的审批程序和手续；债券资金均用于项目工程建设，暂未发现挪用挤占等违规现象。但存在未按项目独立核算等现象。</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2" w:firstLineChars="200"/>
        <w:jc w:val="both"/>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（4）债券资金拨付及时性。</w:t>
      </w:r>
      <w:r>
        <w:rPr>
          <w:rFonts w:hint="eastAsia" w:ascii="宋体" w:hAnsi="宋体" w:eastAsia="宋体" w:cs="宋体"/>
          <w:b w:val="0"/>
          <w:bCs w:val="0"/>
          <w:sz w:val="28"/>
          <w:szCs w:val="28"/>
          <w:highlight w:val="none"/>
          <w:lang w:val="en-US" w:eastAsia="zh-CN"/>
        </w:rPr>
        <w:t>项目实际建设期为2022年9月25日-2023年8月，债券资金分别于2022年6月、9月拨付到位，用于支付项目前期费用及项目工程进度款，债券资金提前拨付。</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2" w:firstLineChars="200"/>
        <w:textAlignment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sz w:val="28"/>
          <w:szCs w:val="28"/>
          <w:highlight w:val="none"/>
          <w:lang w:val="en-US" w:eastAsia="zh-CN"/>
        </w:rPr>
        <w:t>（5）债券资金管理情况。</w:t>
      </w:r>
      <w:r>
        <w:rPr>
          <w:rFonts w:hint="eastAsia" w:ascii="宋体" w:hAnsi="宋体" w:eastAsia="宋体" w:cs="宋体"/>
          <w:b w:val="0"/>
          <w:bCs w:val="0"/>
          <w:sz w:val="28"/>
          <w:szCs w:val="28"/>
          <w:highlight w:val="none"/>
          <w:lang w:val="en-US" w:eastAsia="zh-CN"/>
        </w:rPr>
        <w:t>根据项目单位申请，经相关领导审批，分配本项目专项债券资金额度2,000.00万元；由区财政局拨付至湖南银行云溪运行区校安工程领导小组帐户。区教体局建立债券资金支付台帐，项目资金支出时根据项目施工进度申请，由经办人、项目现场负责人签字，区教体局分管局长、局长审核，区政府分管副区长审批后，拨付至项目施工单位帐户。</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2.债券资金还本付息情况分析</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还本付息计划</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次债券期限为15年，预测年利率为3.71%,项目建设期1年，运营期14年，债券期内应还本息共计3113.00万元，其中债券本金为2,000.00万元，于2037年3月一次性偿还；专项债券利息约为1,113.00万元，半年偿还一次，平均每年支付利息约74.2万元。</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default" w:ascii="宋体" w:hAnsi="宋体" w:eastAsia="宋体" w:cs="宋体"/>
          <w:sz w:val="28"/>
          <w:szCs w:val="28"/>
          <w:highlight w:val="none"/>
          <w:lang w:val="en-US"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2）实际</w:t>
      </w:r>
      <w:r>
        <w:rPr>
          <w:rFonts w:hint="eastAsia" w:ascii="宋体" w:hAnsi="宋体" w:eastAsia="宋体" w:cs="宋体"/>
          <w:b/>
          <w:bCs/>
          <w:sz w:val="28"/>
          <w:szCs w:val="28"/>
          <w:highlight w:val="none"/>
        </w:rPr>
        <w:t>偿还利息情况</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根据区财政局提供数据，已由区财政垫付项目债券应付利息98.7万元，其中2022年已付利息(半年）32.9万元，2023年3月、9月已支付全年利息65.8万元,</w:t>
      </w:r>
      <w:r>
        <w:rPr>
          <w:rFonts w:hint="eastAsia" w:ascii="宋体" w:hAnsi="宋体" w:eastAsia="宋体" w:cs="宋体"/>
          <w:sz w:val="28"/>
          <w:szCs w:val="28"/>
          <w:highlight w:val="none"/>
        </w:rPr>
        <w:t>及时缴纳项目应当承担的利息，完成本年度付息任务100%</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2022年至2023年比预测利息支出减少74.2万元。见附件。</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专项债券期限与项目建设运营期限匹配情况</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highlight w:val="none"/>
          <w:lang w:eastAsia="zh-CN"/>
        </w:rPr>
      </w:pPr>
      <w:r>
        <w:rPr>
          <w:rFonts w:hint="eastAsia" w:ascii="宋体" w:hAnsi="宋体" w:eastAsia="宋体" w:cs="宋体"/>
          <w:sz w:val="28"/>
          <w:szCs w:val="28"/>
        </w:rPr>
        <w:t>本</w:t>
      </w:r>
      <w:r>
        <w:rPr>
          <w:rFonts w:hint="eastAsia" w:ascii="宋体" w:hAnsi="宋体" w:eastAsia="宋体" w:cs="宋体"/>
          <w:sz w:val="28"/>
          <w:szCs w:val="28"/>
          <w:highlight w:val="none"/>
        </w:rPr>
        <w:t>专项债券期限为</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5年，</w:t>
      </w:r>
      <w:r>
        <w:rPr>
          <w:rFonts w:hint="eastAsia" w:ascii="宋体" w:hAnsi="宋体" w:eastAsia="宋体" w:cs="宋体"/>
          <w:sz w:val="28"/>
          <w:szCs w:val="28"/>
          <w:highlight w:val="none"/>
          <w:lang w:val="en-US" w:eastAsia="zh-CN"/>
        </w:rPr>
        <w:t>区城南幼儿园建设项目为云溪区公办幼儿园，2023年9月取得事业单位法人证书，</w:t>
      </w:r>
      <w:r>
        <w:rPr>
          <w:rFonts w:hint="eastAsia" w:ascii="宋体" w:hAnsi="宋体" w:eastAsia="宋体" w:cs="宋体"/>
          <w:sz w:val="28"/>
          <w:szCs w:val="28"/>
          <w:highlight w:val="none"/>
        </w:rPr>
        <w:t>专项债券期限与项目建设运营期限匹配</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4.运营期实际与</w:t>
      </w:r>
      <w:r>
        <w:rPr>
          <w:rFonts w:hint="eastAsia" w:ascii="宋体" w:hAnsi="宋体" w:eastAsia="宋体" w:cs="宋体"/>
          <w:b/>
          <w:bCs/>
          <w:sz w:val="28"/>
          <w:szCs w:val="28"/>
        </w:rPr>
        <w:t>预</w:t>
      </w:r>
      <w:r>
        <w:rPr>
          <w:rFonts w:hint="eastAsia" w:ascii="宋体" w:hAnsi="宋体" w:eastAsia="宋体" w:cs="宋体"/>
          <w:b/>
          <w:bCs/>
          <w:sz w:val="28"/>
          <w:szCs w:val="28"/>
          <w:lang w:val="en-US" w:eastAsia="zh-CN"/>
        </w:rPr>
        <w:t>测</w:t>
      </w:r>
      <w:r>
        <w:rPr>
          <w:rFonts w:hint="eastAsia" w:ascii="宋体" w:hAnsi="宋体" w:eastAsia="宋体" w:cs="宋体"/>
          <w:b/>
          <w:bCs/>
          <w:sz w:val="28"/>
          <w:szCs w:val="28"/>
        </w:rPr>
        <w:t>收入、成本</w:t>
      </w:r>
      <w:r>
        <w:rPr>
          <w:rFonts w:hint="eastAsia" w:ascii="宋体" w:hAnsi="宋体" w:eastAsia="宋体" w:cs="宋体"/>
          <w:b/>
          <w:bCs/>
          <w:sz w:val="28"/>
          <w:szCs w:val="28"/>
          <w:lang w:val="en-US" w:eastAsia="zh-CN"/>
        </w:rPr>
        <w:t>及净收益比较</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（1）2023年度预测收入与实际</w:t>
      </w:r>
      <w:r>
        <w:rPr>
          <w:rFonts w:hint="eastAsia" w:ascii="宋体" w:hAnsi="宋体" w:eastAsia="宋体" w:cs="宋体"/>
          <w:b/>
          <w:bCs/>
          <w:sz w:val="28"/>
          <w:szCs w:val="28"/>
          <w:highlight w:val="none"/>
        </w:rPr>
        <w:t>收入</w:t>
      </w:r>
      <w:r>
        <w:rPr>
          <w:rFonts w:hint="eastAsia" w:ascii="宋体" w:hAnsi="宋体" w:eastAsia="宋体" w:cs="宋体"/>
          <w:b/>
          <w:bCs/>
          <w:sz w:val="28"/>
          <w:szCs w:val="28"/>
          <w:highlight w:val="none"/>
          <w:lang w:val="en-US" w:eastAsia="zh-CN"/>
        </w:rPr>
        <w:t>比较</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预测收入：</w:t>
      </w:r>
      <w:r>
        <w:rPr>
          <w:rFonts w:hint="eastAsia" w:ascii="宋体" w:hAnsi="宋体" w:eastAsia="宋体" w:cs="宋体"/>
          <w:sz w:val="28"/>
          <w:szCs w:val="28"/>
          <w:highlight w:val="none"/>
        </w:rPr>
        <w:t>根据</w:t>
      </w:r>
      <w:r>
        <w:rPr>
          <w:rFonts w:hint="eastAsia" w:ascii="宋体" w:hAnsi="宋体" w:eastAsia="宋体" w:cs="宋体"/>
          <w:sz w:val="28"/>
          <w:szCs w:val="28"/>
        </w:rPr>
        <w:t>《融资平衡方案》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债券存续期间15年预测学费收入为5,438.28万元，运营期第一年招生负荷度（即招生人数占计划总招生规模的比例）为85%，即2023年下学期招生预测人数达到306人，参考省、市发改委、财政局、教体局相关文件及参考普惠性幼儿园收费标准，本项目学费收入按10500元/年/人测算（伙食3000元/年/人，保教费7500元/年/人），预测2023年学费收入为151.2万元。</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实际收入</w:t>
      </w:r>
      <w:r>
        <w:rPr>
          <w:rFonts w:hint="eastAsia" w:ascii="宋体" w:hAnsi="宋体" w:eastAsia="宋体" w:cs="宋体"/>
          <w:sz w:val="28"/>
          <w:szCs w:val="28"/>
          <w:lang w:val="en-US" w:eastAsia="zh-CN"/>
        </w:rPr>
        <w:t>：2023年下学期（5个月）实际上缴财政非税（保教费）收入为49.35万元，即：招生人数236人，收费人数235人（有1人暂未到园），保教费收入按标准园幼儿园等级420元/生/月标准收取。</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差异情况比较</w:t>
      </w:r>
      <w:r>
        <w:rPr>
          <w:rFonts w:hint="eastAsia" w:ascii="宋体" w:hAnsi="宋体" w:eastAsia="宋体" w:cs="宋体"/>
          <w:sz w:val="28"/>
          <w:szCs w:val="28"/>
          <w:lang w:val="en-US" w:eastAsia="zh-CN"/>
        </w:rPr>
        <w:t>：2023年实际收入比预测收入少101.85万元，实际收入仅完成预测总收入的32.64%。原因：一是预测收益为学费收入，包括保教费收入及伙食费收入，而2023年实际收入未包含幼儿园收取的伙食费收入；二是预测保教费收入按7500元/年/人标准收取，实际保教费按4200元/人/年标准收取收入，三是预测按运营期第一年招生负荷度（即招生人数占计划总招生规模的比例）为85%，即2023年下学期招生预测人数达到306人；实际招生人数为236人，比预测人数少70人，减少22.87%。</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（2）2023年度预测成本与实际运营成本比较</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预测成本：</w:t>
      </w: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债券存续期间15年预测运营总成本为1,494.71万元，其中2023年预测成本支出44.54万元，包括燃料与动力费5.47万元、工资及福利费用34.56万元、维修费用3万元、其他费用1.51万元。</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实际成本费用：</w:t>
      </w:r>
      <w:r>
        <w:rPr>
          <w:rFonts w:hint="eastAsia" w:ascii="宋体" w:hAnsi="宋体" w:eastAsia="宋体" w:cs="宋体"/>
          <w:b w:val="0"/>
          <w:bCs w:val="0"/>
          <w:sz w:val="28"/>
          <w:szCs w:val="28"/>
          <w:lang w:val="en-US" w:eastAsia="zh-CN"/>
        </w:rPr>
        <w:t>根据区教体局及城南幼儿园核实，</w:t>
      </w:r>
      <w:r>
        <w:rPr>
          <w:rFonts w:hint="eastAsia" w:ascii="宋体" w:hAnsi="宋体" w:eastAsia="宋体" w:cs="宋体"/>
          <w:sz w:val="28"/>
          <w:szCs w:val="28"/>
          <w:lang w:val="en-US" w:eastAsia="zh-CN"/>
        </w:rPr>
        <w:t>2023年9月运营成本为14.63万元（未包含伙食费用支出），其中临聘人员工资约13.00万元(未包含财政供养事业编制人员4人和巴陵公司发工资2人），水、电、气支出0.93万元，低值易耗品支出0.7万元。因项目仅运营1个月，9月份实际成本不能完全代表后4个月成本，假定在9月份实际成本不变的情况下，2023年下学期实际成本为87.78万元（14.63万元*6个月）。</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差异情况比较</w:t>
      </w:r>
      <w:r>
        <w:rPr>
          <w:rFonts w:hint="eastAsia" w:ascii="宋体" w:hAnsi="宋体" w:eastAsia="宋体" w:cs="宋体"/>
          <w:sz w:val="28"/>
          <w:szCs w:val="28"/>
          <w:lang w:val="en-US" w:eastAsia="zh-CN"/>
        </w:rPr>
        <w:t>：2023年下学期实际成本为87.78万元，比预测成本支出多43.24万元。原因：实际支付比预测工资及福利费用高。2023年9月城南幼儿园实际定员约44人，其中4人为事业编制，由财政发放工资及福利，巴陵石化负担2人工资及福利，其余38人为临聘人员，比预测定员人员数24人增加14人。</w:t>
      </w:r>
    </w:p>
    <w:p>
      <w:pPr>
        <w:keepNext w:val="0"/>
        <w:keepLines w:val="0"/>
        <w:pageBreakBefore w:val="0"/>
        <w:widowControl w:val="0"/>
        <w:kinsoku/>
        <w:wordWrap/>
        <w:overflowPunct/>
        <w:topLinePunct w:val="0"/>
        <w:autoSpaceDE/>
        <w:autoSpaceDN w:val="0"/>
        <w:bidi w:val="0"/>
        <w:snapToGrid/>
        <w:spacing w:line="520" w:lineRule="exact"/>
        <w:ind w:firstLine="562" w:firstLineChars="200"/>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lang w:val="en-US" w:eastAsia="zh-CN"/>
        </w:rPr>
        <w:t>（3）2023年</w:t>
      </w:r>
      <w:r>
        <w:rPr>
          <w:rFonts w:hint="eastAsia" w:ascii="宋体" w:hAnsi="宋体" w:eastAsia="宋体" w:cs="宋体"/>
          <w:b/>
          <w:bCs/>
          <w:sz w:val="28"/>
          <w:szCs w:val="28"/>
          <w:highlight w:val="none"/>
          <w:lang w:val="en-US" w:eastAsia="zh-CN"/>
        </w:rPr>
        <w:t>净收益比较</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8"/>
          <w:szCs w:val="28"/>
        </w:rPr>
      </w:pPr>
      <w:r>
        <w:rPr>
          <w:rFonts w:hint="eastAsia" w:ascii="宋体" w:hAnsi="宋体" w:eastAsia="宋体" w:cs="宋体"/>
          <w:sz w:val="28"/>
          <w:szCs w:val="28"/>
        </w:rPr>
        <w:t>根据《融资平衡方案》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预测2023年学费收入为151.2万元，成本44.54万元，净收益106.66万元。2023年下学期实际上缴财政非税（保教费）收入为49.35万元，根据2023年9月成本推算下学期成本为87.78万元，净收益约为-38.43万元。</w:t>
      </w:r>
      <w:r>
        <w:rPr>
          <w:rFonts w:hint="eastAsia" w:ascii="宋体" w:hAnsi="宋体" w:eastAsia="宋体" w:cs="宋体"/>
          <w:sz w:val="28"/>
          <w:szCs w:val="28"/>
          <w:lang w:val="en-US" w:eastAsia="zh-CN"/>
        </w:rPr>
        <w:t>实际比</w:t>
      </w:r>
      <w:r>
        <w:rPr>
          <w:rFonts w:hint="eastAsia" w:ascii="宋体" w:hAnsi="宋体" w:eastAsia="宋体" w:cs="宋体"/>
          <w:sz w:val="28"/>
          <w:szCs w:val="28"/>
          <w:lang w:val="en-US" w:eastAsia="zh-CN"/>
        </w:rPr>
        <w:t>预测收益相差甚远。</w:t>
      </w:r>
      <w:r>
        <w:rPr>
          <w:rFonts w:hint="eastAsia" w:ascii="宋体" w:hAnsi="宋体" w:eastAsia="宋体" w:cs="宋体"/>
          <w:b w:val="0"/>
          <w:bCs w:val="0"/>
          <w:sz w:val="28"/>
          <w:szCs w:val="28"/>
          <w:highlight w:val="none"/>
          <w:lang w:val="en-US" w:eastAsia="zh-CN"/>
        </w:rPr>
        <w:t xml:space="preserve">在现有状态下，无法实现项目实际收益和融资自求平衡。 </w:t>
      </w:r>
    </w:p>
    <w:p>
      <w:pPr>
        <w:keepNext w:val="0"/>
        <w:keepLines w:val="0"/>
        <w:pageBreakBefore w:val="0"/>
        <w:widowControl w:val="0"/>
        <w:kinsoku/>
        <w:wordWrap/>
        <w:overflowPunct/>
        <w:topLinePunct w:val="0"/>
        <w:autoSpaceDE/>
        <w:autoSpaceDN w:val="0"/>
        <w:bidi w:val="0"/>
        <w:snapToGrid/>
        <w:spacing w:line="520" w:lineRule="exact"/>
        <w:ind w:firstLine="560" w:firstLineChars="200"/>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8"/>
          <w:szCs w:val="28"/>
          <w:highlight w:val="none"/>
          <w:lang w:val="en-US" w:eastAsia="zh-CN"/>
        </w:rPr>
        <w:t>具体情况如下表：</w:t>
      </w:r>
      <w:r>
        <w:rPr>
          <w:rFonts w:hint="eastAsia" w:ascii="宋体" w:hAnsi="宋体" w:eastAsia="宋体" w:cs="宋体"/>
          <w:sz w:val="28"/>
          <w:szCs w:val="28"/>
          <w:highlight w:val="none"/>
          <w:lang w:val="en-US" w:eastAsia="zh-CN"/>
        </w:rPr>
        <w:t xml:space="preserve">  </w:t>
      </w:r>
    </w:p>
    <w:tbl>
      <w:tblPr>
        <w:tblStyle w:val="22"/>
        <w:tblW w:w="9493"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
        <w:gridCol w:w="238"/>
        <w:gridCol w:w="1200"/>
        <w:gridCol w:w="860"/>
        <w:gridCol w:w="790"/>
        <w:gridCol w:w="940"/>
        <w:gridCol w:w="5164"/>
        <w:gridCol w:w="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493" w:type="dxa"/>
            <w:gridSpan w:val="8"/>
            <w:tcBorders>
              <w:top w:val="nil"/>
              <w:left w:val="nil"/>
              <w:bottom w:val="nil"/>
              <w:right w:val="nil"/>
            </w:tcBorders>
            <w:noWrap/>
            <w:vAlign w:val="center"/>
          </w:tcPr>
          <w:p>
            <w:pPr>
              <w:keepNext w:val="0"/>
              <w:keepLines w:val="0"/>
              <w:pageBreakBefore w:val="0"/>
              <w:widowControl w:val="0"/>
              <w:suppressLineNumbers w:val="0"/>
              <w:kinsoku/>
              <w:wordWrap/>
              <w:overflowPunct/>
              <w:topLinePunct w:val="0"/>
              <w:autoSpaceDE/>
              <w:bidi w:val="0"/>
              <w:snapToGrid/>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2023年预测与实际收入、支出、净收益情况</w:t>
            </w:r>
          </w:p>
          <w:p>
            <w:pPr>
              <w:keepNext w:val="0"/>
              <w:keepLines w:val="0"/>
              <w:pageBreakBefore w:val="0"/>
              <w:widowControl w:val="0"/>
              <w:suppressLineNumbers w:val="0"/>
              <w:kinsoku/>
              <w:wordWrap/>
              <w:overflowPunct/>
              <w:topLinePunct w:val="0"/>
              <w:autoSpaceDE/>
              <w:bidi w:val="0"/>
              <w:snapToGrid/>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0"/>
                <w:szCs w:val="20"/>
                <w:highlight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38" w:type="dxa"/>
          <w:wAfter w:w="0" w:type="auto"/>
          <w:trHeight w:val="52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预测</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（实际一</w:t>
            </w:r>
            <w:r>
              <w:rPr>
                <w:rFonts w:hint="eastAsia" w:ascii="宋体" w:hAnsi="宋体" w:eastAsia="宋体" w:cs="宋体"/>
                <w:b/>
                <w:bCs/>
                <w:i w:val="0"/>
                <w:iCs w:val="0"/>
                <w:color w:val="000000"/>
                <w:kern w:val="0"/>
                <w:sz w:val="20"/>
                <w:szCs w:val="20"/>
                <w:u w:val="none"/>
                <w:lang w:val="en-US" w:eastAsia="zh-CN" w:bidi="ar"/>
              </w:rPr>
              <w:t>预测</w:t>
            </w:r>
            <w:r>
              <w:rPr>
                <w:rFonts w:hint="eastAsia" w:ascii="宋体" w:hAnsi="宋体" w:eastAsia="宋体" w:cs="宋体"/>
                <w:b/>
                <w:bCs/>
                <w:i w:val="0"/>
                <w:iCs w:val="0"/>
                <w:color w:val="000000"/>
                <w:kern w:val="0"/>
                <w:sz w:val="20"/>
                <w:szCs w:val="20"/>
                <w:u w:val="none"/>
                <w:lang w:val="en-US" w:eastAsia="zh-CN" w:bidi="ar"/>
              </w:rPr>
              <w:t>）</w:t>
            </w:r>
          </w:p>
        </w:tc>
        <w:tc>
          <w:tcPr>
            <w:tcW w:w="5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1646" w:hRule="atLeast"/>
        </w:trPr>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一、收入(学费收入）</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151.2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49.35</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101.85</w:t>
            </w:r>
          </w:p>
        </w:tc>
        <w:tc>
          <w:tcPr>
            <w:tcW w:w="5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1、根据《融资平衡方案》《专项评价报告书》测算：幼儿园收费标准按1万元/年/人（保教费0.75万元/年/人 ，伙食费按0.30万元/年/人） 预测2023年下学期学费收入151.2万元。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2、实际收入：招生人数236人，收费人数235人（有1人暂未到园），保教费收入按标准园幼儿园等级420元/生/月标准收取；实际上缴财政非税（保教费）收入为49.35万元。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78" w:hRule="atLeast"/>
        </w:trPr>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二、成本费用</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44.54</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87.78</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43.24</w:t>
            </w:r>
          </w:p>
        </w:tc>
        <w:tc>
          <w:tcPr>
            <w:tcW w:w="5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714" w:hRule="atLeast"/>
        </w:trPr>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1.工资及福利费用</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34.56</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78.00 </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43.44</w:t>
            </w:r>
          </w:p>
        </w:tc>
        <w:tc>
          <w:tcPr>
            <w:tcW w:w="5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实际支出以2023年9月工资及福利费用实际支出13万元为基数，2023年下学期按5个月计算，预计成本65万元（13万元*6个月）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861" w:hRule="atLeast"/>
        </w:trPr>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2.燃料及动力（水、电、气）</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5.47</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5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实际支出以2023年9月水、电、气实际支出0.93万元为基数，2023年下学期按6个月计算，预计成本5.58万元（0.93万元*6个月）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471" w:hRule="atLeast"/>
        </w:trPr>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3.维修费用</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3</w:t>
            </w:r>
          </w:p>
        </w:tc>
        <w:tc>
          <w:tcPr>
            <w:tcW w:w="5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824" w:hRule="atLeast"/>
        </w:trPr>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4其他费用（低值易耗品）</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2.69</w:t>
            </w:r>
          </w:p>
        </w:tc>
        <w:tc>
          <w:tcPr>
            <w:tcW w:w="5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实际支出以2023年9月低值易耗品(办公用品、幼儿玩具等）实际支出0.7万元为基数，2023年下学期按5个月计算，预计成本4.2万元（0.7万元*6个月）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660" w:hRule="atLeast"/>
        </w:trPr>
        <w:tc>
          <w:tcPr>
            <w:tcW w:w="1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三、净收益</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106.66</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-38.43</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r>
              <w:rPr>
                <w:rFonts w:hint="eastAsia"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145.09</w:t>
            </w:r>
          </w:p>
        </w:tc>
        <w:tc>
          <w:tcPr>
            <w:tcW w:w="5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20" w:hRule="atLeast"/>
        </w:trPr>
        <w:tc>
          <w:tcPr>
            <w:tcW w:w="9192" w:type="dxa"/>
            <w:gridSpan w:val="6"/>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四、债券利息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720" w:hRule="atLeast"/>
        </w:trPr>
        <w:tc>
          <w:tcPr>
            <w:tcW w:w="1438" w:type="dxa"/>
            <w:gridSpan w:val="2"/>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（一）债券利息</w:t>
            </w: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年）</w:t>
            </w:r>
          </w:p>
        </w:tc>
        <w:tc>
          <w:tcPr>
            <w:tcW w:w="860"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1,113.00</w:t>
            </w:r>
          </w:p>
        </w:tc>
        <w:tc>
          <w:tcPr>
            <w:tcW w:w="790"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940"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16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r>
              <w:rPr>
                <w:rFonts w:hint="eastAsia" w:ascii="宋体" w:hAnsi="宋体" w:eastAsia="宋体" w:cs="宋体"/>
                <w:i w:val="0"/>
                <w:iCs w:val="0"/>
                <w:color w:val="000000"/>
                <w:kern w:val="0"/>
                <w:sz w:val="18"/>
                <w:szCs w:val="18"/>
                <w:u w:val="none"/>
                <w:lang w:val="en-US" w:eastAsia="zh-CN" w:bidi="ar"/>
              </w:rPr>
              <w:t>万元债券</w:t>
            </w: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年应付利息</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利率</w:t>
            </w:r>
            <w:r>
              <w:rPr>
                <w:rFonts w:hint="default" w:ascii="Times New Roman" w:hAnsi="Times New Roman" w:eastAsia="宋体" w:cs="Times New Roman"/>
                <w:i w:val="0"/>
                <w:iCs w:val="0"/>
                <w:color w:val="000000"/>
                <w:kern w:val="0"/>
                <w:sz w:val="18"/>
                <w:szCs w:val="18"/>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65" w:hRule="atLeast"/>
        </w:trPr>
        <w:tc>
          <w:tcPr>
            <w:tcW w:w="1438" w:type="dxa"/>
            <w:gridSpan w:val="2"/>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2022年</w:t>
            </w:r>
          </w:p>
        </w:tc>
        <w:tc>
          <w:tcPr>
            <w:tcW w:w="86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w:t>
            </w:r>
          </w:p>
        </w:tc>
        <w:tc>
          <w:tcPr>
            <w:tcW w:w="79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32.9</w:t>
            </w:r>
          </w:p>
        </w:tc>
        <w:tc>
          <w:tcPr>
            <w:tcW w:w="94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5164"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月利息，利率3.71%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20" w:hRule="atLeast"/>
        </w:trPr>
        <w:tc>
          <w:tcPr>
            <w:tcW w:w="1438" w:type="dxa"/>
            <w:gridSpan w:val="2"/>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w:t>
            </w:r>
          </w:p>
        </w:tc>
        <w:tc>
          <w:tcPr>
            <w:tcW w:w="86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74.2</w:t>
            </w:r>
          </w:p>
        </w:tc>
        <w:tc>
          <w:tcPr>
            <w:tcW w:w="79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65.8</w:t>
            </w:r>
          </w:p>
        </w:tc>
        <w:tc>
          <w:tcPr>
            <w:tcW w:w="94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5164"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月利息，利率3.71%</w:t>
            </w:r>
          </w:p>
        </w:tc>
      </w:tr>
    </w:tbl>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5.项目实施情况分析</w:t>
      </w:r>
    </w:p>
    <w:p>
      <w:pPr>
        <w:keepNext w:val="0"/>
        <w:keepLines w:val="0"/>
        <w:pageBreakBefore w:val="0"/>
        <w:widowControl w:val="0"/>
        <w:kinsoku/>
        <w:wordWrap/>
        <w:overflowPunct/>
        <w:topLinePunct w:val="0"/>
        <w:autoSpaceDE/>
        <w:bidi w:val="0"/>
        <w:snapToGrid/>
        <w:spacing w:line="520" w:lineRule="exact"/>
        <w:ind w:firstLine="562" w:firstLineChars="200"/>
        <w:jc w:val="both"/>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组织管理</w:t>
      </w:r>
      <w:r>
        <w:rPr>
          <w:rFonts w:hint="eastAsia" w:ascii="宋体" w:hAnsi="宋体" w:eastAsia="宋体" w:cs="宋体"/>
          <w:b/>
          <w:bCs/>
          <w:sz w:val="28"/>
          <w:szCs w:val="28"/>
        </w:rPr>
        <w:t>情况</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债券资金及</w:t>
      </w:r>
      <w:r>
        <w:rPr>
          <w:rFonts w:hint="eastAsia" w:ascii="宋体" w:hAnsi="宋体" w:eastAsia="宋体" w:cs="宋体"/>
          <w:b w:val="0"/>
          <w:bCs w:val="0"/>
          <w:sz w:val="28"/>
          <w:szCs w:val="28"/>
          <w:highlight w:val="none"/>
        </w:rPr>
        <w:t>项目组织管理机构情况</w:t>
      </w:r>
      <w:r>
        <w:rPr>
          <w:rFonts w:hint="eastAsia" w:ascii="宋体" w:hAnsi="宋体" w:eastAsia="宋体" w:cs="宋体"/>
          <w:sz w:val="28"/>
          <w:szCs w:val="28"/>
        </w:rPr>
        <w:t>。</w:t>
      </w:r>
      <w:r>
        <w:rPr>
          <w:rFonts w:hint="eastAsia" w:ascii="宋体" w:hAnsi="宋体" w:eastAsia="宋体" w:cs="宋体"/>
          <w:sz w:val="28"/>
          <w:szCs w:val="28"/>
          <w:lang w:val="en-US" w:eastAsia="zh-CN"/>
        </w:rPr>
        <w:t>本项目</w:t>
      </w:r>
      <w:r>
        <w:rPr>
          <w:rFonts w:hint="eastAsia" w:ascii="宋体" w:hAnsi="宋体" w:eastAsia="宋体" w:cs="宋体"/>
          <w:sz w:val="28"/>
          <w:szCs w:val="28"/>
        </w:rPr>
        <w:t>专项债券资金</w:t>
      </w:r>
      <w:r>
        <w:rPr>
          <w:rFonts w:hint="eastAsia" w:ascii="宋体" w:hAnsi="宋体" w:eastAsia="宋体" w:cs="宋体"/>
          <w:sz w:val="28"/>
          <w:szCs w:val="28"/>
          <w:lang w:val="en-US" w:eastAsia="zh-CN"/>
        </w:rPr>
        <w:t>发行主体为省人民政府，本项目债券资金</w:t>
      </w:r>
      <w:r>
        <w:rPr>
          <w:rFonts w:hint="eastAsia" w:ascii="宋体" w:hAnsi="宋体" w:eastAsia="宋体" w:cs="宋体"/>
          <w:sz w:val="28"/>
          <w:szCs w:val="28"/>
        </w:rPr>
        <w:t>组织管理机构为</w:t>
      </w:r>
      <w:r>
        <w:rPr>
          <w:rFonts w:hint="eastAsia" w:ascii="宋体" w:hAnsi="宋体" w:eastAsia="宋体" w:cs="宋体"/>
          <w:sz w:val="28"/>
          <w:szCs w:val="28"/>
          <w:lang w:val="en-US" w:eastAsia="zh-CN"/>
        </w:rPr>
        <w:t>区</w:t>
      </w:r>
      <w:r>
        <w:rPr>
          <w:rFonts w:hint="eastAsia" w:ascii="宋体" w:hAnsi="宋体" w:eastAsia="宋体" w:cs="宋体"/>
          <w:sz w:val="28"/>
          <w:szCs w:val="28"/>
        </w:rPr>
        <w:t>财政局。</w:t>
      </w:r>
      <w:r>
        <w:rPr>
          <w:rFonts w:hint="eastAsia" w:ascii="宋体" w:hAnsi="宋体" w:eastAsia="宋体" w:cs="宋体"/>
          <w:sz w:val="28"/>
          <w:szCs w:val="28"/>
          <w:lang w:val="en-US" w:eastAsia="zh-CN"/>
        </w:rPr>
        <w:t>项目主管部门为区校校安工程领导小组，区教体局作为项目业主单位负责项目具体实施,具体由城南幼儿园负责运营管理。</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（2）项目管理制度健全性</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lang w:val="en-US" w:eastAsia="zh-CN"/>
        </w:rPr>
        <w:t>建设期间，区教育体育局制订了《工程项目管理制度》《在建工程管理制度》《固定资产管理制度》等管理制度。但区城南幼儿园未及时制订运营期相关制度。</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（3）项目工程质量控制情况。</w:t>
      </w:r>
      <w:r>
        <w:rPr>
          <w:rFonts w:hint="eastAsia" w:ascii="宋体" w:hAnsi="宋体" w:eastAsia="宋体" w:cs="宋体"/>
          <w:sz w:val="28"/>
          <w:szCs w:val="28"/>
          <w:lang w:val="en-US" w:eastAsia="zh-CN"/>
        </w:rPr>
        <w:t xml:space="preserve">一是明确了质量标准，项目质量按照《建设项目工程总承包合同》约定：设计质量标准为施工图设计文件的内容和深度，应符合达到国家规定的要求；施工要求的质量标准符合国家颁布的施工验收规范和质量检验标准，全部工程达到合格标准；设备采购符合国家、行业及地方现行相关法律、法规、规范及技术标准。二是项目施工期间聘请监理单位汇誉国际工程咨询有限公司负责监理，明确质量保修责任，区教体局指派项目经理定期对项目质量进行跟踪检查。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lang w:val="en-US" w:eastAsia="zh-CN"/>
        </w:rPr>
        <w:t>（4）项目组织实施</w:t>
      </w:r>
      <w:r>
        <w:rPr>
          <w:rFonts w:hint="eastAsia" w:ascii="宋体" w:hAnsi="宋体" w:eastAsia="宋体" w:cs="宋体"/>
          <w:b/>
          <w:bCs/>
          <w:sz w:val="28"/>
          <w:szCs w:val="28"/>
        </w:rPr>
        <w:t>进展情况</w:t>
      </w:r>
      <w:r>
        <w:rPr>
          <w:rFonts w:hint="eastAsia" w:ascii="宋体" w:hAnsi="宋体" w:eastAsia="宋体" w:cs="宋体"/>
          <w:b/>
          <w:bCs/>
          <w:sz w:val="28"/>
          <w:szCs w:val="28"/>
          <w:lang w:eastAsia="zh-CN"/>
        </w:rPr>
        <w:t>。</w:t>
      </w:r>
      <w:r>
        <w:rPr>
          <w:rFonts w:hint="eastAsia" w:ascii="宋体" w:hAnsi="宋体" w:eastAsia="宋体" w:cs="宋体"/>
          <w:b/>
          <w:bCs/>
          <w:sz w:val="28"/>
          <w:szCs w:val="28"/>
          <w:highlight w:val="none"/>
          <w:lang w:val="en-US" w:eastAsia="zh-CN"/>
        </w:rPr>
        <w:t>2</w:t>
      </w:r>
      <w:r>
        <w:rPr>
          <w:rFonts w:hint="eastAsia" w:ascii="宋体" w:hAnsi="宋体" w:eastAsia="宋体" w:cs="宋体"/>
          <w:b w:val="0"/>
          <w:bCs w:val="0"/>
          <w:sz w:val="28"/>
          <w:szCs w:val="28"/>
          <w:highlight w:val="none"/>
          <w:lang w:val="en-US" w:eastAsia="zh-CN"/>
        </w:rPr>
        <w:t>020年-2021年完成可研、立项、土地报批、土地平整、土石方外运及设计等工作，2022年已完成主体工程建设，2023年装饰装修工程、设备采购，2023年9月竣工投入使用。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val="0"/>
          <w:sz w:val="28"/>
          <w:szCs w:val="28"/>
          <w:highlight w:val="none"/>
          <w:lang w:val="en-US" w:eastAsia="zh-CN"/>
        </w:rPr>
        <w:t>①项目前期工作</w:t>
      </w:r>
      <w:r>
        <w:rPr>
          <w:rFonts w:hint="eastAsia" w:ascii="宋体" w:hAnsi="宋体" w:eastAsia="宋体" w:cs="宋体"/>
          <w:sz w:val="28"/>
          <w:szCs w:val="28"/>
          <w:highlight w:val="none"/>
          <w:lang w:val="en-US" w:eastAsia="zh-CN"/>
        </w:rPr>
        <w:t>。2020年5月8日区发改局对项目立项进行批复；2021年11月23日，区政府召开专题会议，会议研究讨论并形成一致意见同意城南幼儿园项目选址及建设用地；2022年4月26日，区住建局出具了初步设计审查批复；2022年5月5日取得国有建设用地划拨用地使用权，2022年5月23日取得了云溪区自然资源局批复的云溪区城南幼儿园红线图；五是2022年5月20日区发改局出具了初步设计概算批复，2022年7月取得区自然资源局建设工程规划许可证，建筑工程施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highlight w:val="none"/>
          <w:lang w:val="en-US" w:eastAsia="zh-CN"/>
        </w:rPr>
        <w:t>②招投票及合同签订情况。</w:t>
      </w:r>
      <w:r>
        <w:rPr>
          <w:rFonts w:hint="eastAsia" w:ascii="宋体" w:hAnsi="宋体" w:eastAsia="宋体" w:cs="宋体"/>
          <w:sz w:val="28"/>
          <w:szCs w:val="28"/>
          <w:highlight w:val="none"/>
          <w:lang w:val="en-US" w:eastAsia="zh-CN"/>
        </w:rPr>
        <w:t>项目招标人为区教体局，区教体局在《招标投票监管网》发布了二次招标公告，其中，2022年6月1日发布《云溪区城南幼儿园建设项目工程总承包</w:t>
      </w:r>
      <w:r>
        <w:rPr>
          <w:rFonts w:hint="eastAsia" w:ascii="宋体" w:hAnsi="宋体" w:eastAsia="宋体" w:cs="宋体"/>
          <w:sz w:val="28"/>
          <w:szCs w:val="28"/>
          <w:highlight w:val="none"/>
          <w:lang w:val="en-US" w:eastAsia="zh-CN"/>
        </w:rPr>
        <w:t>招标公告</w:t>
      </w:r>
      <w:r>
        <w:rPr>
          <w:rFonts w:hint="eastAsia" w:ascii="宋体" w:hAnsi="宋体" w:eastAsia="宋体" w:cs="宋体"/>
          <w:sz w:val="28"/>
          <w:szCs w:val="28"/>
          <w:highlight w:val="none"/>
          <w:lang w:val="en-US" w:eastAsia="zh-CN"/>
        </w:rPr>
        <w:t>》，因流标，于2022年6月29日发布《云溪区城南幼儿园建设项目工程总承包（第二次）招标公告》,由湖南和庆源建设工程有限公司（牵头方）与湖南泽天源建设工程有限公司、浙江新苑建设设计有限公司（成员方）组成联合体中标，并签订总承包合同，承包人按照合同约定时间对本项目进行施工图设计、施工、采购、安装、竣工验收、缺陷期修复及保修等。承包人对承包工程的质量、安全、工期、造价等全面负责。合同金额暂定为2,937.00万元，最终合同价以岳阳市云溪区财政评审中心评审及区审计局终审金额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val="0"/>
          <w:sz w:val="28"/>
          <w:szCs w:val="28"/>
          <w:highlight w:val="none"/>
          <w:lang w:val="en-US" w:eastAsia="zh-CN"/>
        </w:rPr>
        <w:t>③工程建设及验收情况</w:t>
      </w:r>
      <w:r>
        <w:rPr>
          <w:rFonts w:hint="eastAsia" w:ascii="宋体" w:hAnsi="宋体" w:eastAsia="宋体" w:cs="宋体"/>
          <w:sz w:val="28"/>
          <w:szCs w:val="28"/>
          <w:highlight w:val="none"/>
          <w:lang w:val="en-US" w:eastAsia="zh-CN"/>
        </w:rPr>
        <w:t>。根据开工令，项目于2022年9月25日正式开工建设；2023年6月20由施工方、监理方、区教体局5方责任主体联合验收，至2023年10月30日止，本项目尚未办理竣工验收手续，未提供第三方检测鉴定报告。</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b w:val="0"/>
          <w:bCs w:val="0"/>
          <w:sz w:val="28"/>
          <w:szCs w:val="28"/>
          <w:highlight w:val="none"/>
          <w:lang w:val="en-US" w:eastAsia="zh-CN"/>
        </w:rPr>
        <w:t>④</w:t>
      </w:r>
      <w:r>
        <w:rPr>
          <w:rFonts w:hint="eastAsia" w:ascii="宋体" w:hAnsi="宋体" w:eastAsia="宋体" w:cs="宋体"/>
          <w:b w:val="0"/>
          <w:bCs w:val="0"/>
          <w:kern w:val="2"/>
          <w:sz w:val="28"/>
          <w:szCs w:val="28"/>
          <w:lang w:val="en-US" w:eastAsia="zh-CN" w:bidi="ar-SA"/>
        </w:rPr>
        <w:t>资产管理情况</w:t>
      </w:r>
      <w:r>
        <w:rPr>
          <w:rFonts w:hint="eastAsia" w:ascii="宋体" w:hAnsi="宋体" w:eastAsia="宋体" w:cs="宋体"/>
          <w:kern w:val="2"/>
          <w:sz w:val="28"/>
          <w:szCs w:val="28"/>
          <w:lang w:val="en-US" w:eastAsia="zh-CN" w:bidi="ar-SA"/>
        </w:rPr>
        <w:t>。项目主体工程建设完成后，2023年9月1日区城南幼儿园正式投入使用，但未办理</w:t>
      </w:r>
      <w:r>
        <w:rPr>
          <w:rFonts w:hint="eastAsia" w:ascii="宋体" w:hAnsi="宋体" w:eastAsia="宋体" w:cs="宋体"/>
          <w:sz w:val="28"/>
          <w:szCs w:val="28"/>
          <w:highlight w:val="none"/>
          <w:lang w:val="en-US" w:eastAsia="zh-CN"/>
        </w:rPr>
        <w:t>资产交接手续。</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6.风控机制及措施</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（1）风控机制及措施</w:t>
      </w:r>
      <w:r>
        <w:rPr>
          <w:rFonts w:hint="eastAsia" w:ascii="宋体" w:hAnsi="宋体" w:eastAsia="宋体" w:cs="宋体"/>
          <w:kern w:val="2"/>
          <w:sz w:val="28"/>
          <w:szCs w:val="28"/>
          <w:lang w:val="en-US" w:eastAsia="zh-CN" w:bidi="ar-SA"/>
        </w:rPr>
        <w:t>。未建立债务风险动态监测机制及风险应对的防范措施、债务风险应对预案和社会稳定风险应对预案。</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（2）风控效果情况</w:t>
      </w:r>
      <w:r>
        <w:rPr>
          <w:rFonts w:hint="eastAsia" w:ascii="宋体" w:hAnsi="宋体" w:eastAsia="宋体" w:cs="宋体"/>
          <w:kern w:val="2"/>
          <w:sz w:val="28"/>
          <w:szCs w:val="28"/>
          <w:lang w:val="en-US" w:eastAsia="zh-CN" w:bidi="ar-SA"/>
        </w:rPr>
        <w:t>。本项目从建设到投入运营，未发生过重大债务违约事件、重大安全事故、重大违法违规事件等。</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（3）问题整改</w:t>
      </w:r>
      <w:r>
        <w:rPr>
          <w:rFonts w:hint="eastAsia" w:ascii="宋体" w:hAnsi="宋体" w:eastAsia="宋体" w:cs="宋体"/>
          <w:kern w:val="2"/>
          <w:sz w:val="28"/>
          <w:szCs w:val="28"/>
          <w:lang w:val="en-US" w:eastAsia="zh-CN" w:bidi="ar-SA"/>
        </w:rPr>
        <w:t>。根据区教体局说明，本项目暂未得到相关部门检查，暂无整改问题。</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kern w:val="2"/>
          <w:sz w:val="28"/>
          <w:szCs w:val="28"/>
          <w:highlight w:val="none"/>
          <w:lang w:val="en-US" w:eastAsia="zh-CN" w:bidi="ar-SA"/>
        </w:rPr>
        <w:t>（4）信息公开</w:t>
      </w:r>
      <w:r>
        <w:rPr>
          <w:rFonts w:hint="eastAsia" w:ascii="宋体" w:hAnsi="宋体" w:eastAsia="宋体" w:cs="宋体"/>
          <w:b w:val="0"/>
          <w:bCs w:val="0"/>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相关部门对本项目债券资金发行、存续、重大事项、用途等进行信息进行公开披露。</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02" w:firstLineChars="200"/>
        <w:jc w:val="both"/>
        <w:textAlignment w:val="auto"/>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（三）项目产出方面</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1.产出数量任务完成情况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因未办理项目竣工验收，根据区教体局提供的主体结构及分部工程质量验收记录及实地走访情况，完成情况大致如下：</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val="0"/>
          <w:color w:val="000000"/>
          <w:sz w:val="28"/>
          <w:szCs w:val="28"/>
          <w:lang w:val="en-US" w:eastAsia="zh-CN"/>
        </w:rPr>
        <w:t>（1）工程建设目标完成情况</w:t>
      </w:r>
      <w:r>
        <w:rPr>
          <w:rFonts w:hint="eastAsia" w:ascii="宋体" w:hAnsi="宋体" w:eastAsia="宋体" w:cs="宋体"/>
          <w:color w:val="000000"/>
          <w:sz w:val="28"/>
          <w:szCs w:val="28"/>
          <w:lang w:val="en-US" w:eastAsia="zh-CN"/>
        </w:rPr>
        <w:t>：</w:t>
      </w:r>
      <w:r>
        <w:rPr>
          <w:rFonts w:hint="eastAsia" w:ascii="宋体" w:hAnsi="宋体" w:eastAsia="宋体" w:cs="宋体"/>
          <w:b w:val="0"/>
          <w:bCs/>
          <w:kern w:val="0"/>
          <w:sz w:val="28"/>
          <w:szCs w:val="28"/>
          <w:lang w:val="en-US" w:eastAsia="zh-CN"/>
        </w:rPr>
        <w:t>完成主体建筑一栋地上共3层，每层层高为 3.6 米，建筑高度为 10.95 米。包括幼儿教学用房、教师办公用房、多功能活动室、厨房及储藏室等辅助及房。其他配套设施包括：室外地面活动场所、绿地、</w:t>
      </w:r>
      <w:r>
        <w:rPr>
          <w:rFonts w:hint="eastAsia" w:ascii="宋体" w:hAnsi="宋体" w:eastAsia="宋体" w:cs="宋体"/>
          <w:b w:val="0"/>
          <w:bCs/>
          <w:kern w:val="0"/>
          <w:sz w:val="28"/>
          <w:szCs w:val="28"/>
          <w:highlight w:val="none"/>
          <w:lang w:val="en-US" w:eastAsia="zh-CN"/>
        </w:rPr>
        <w:t>地面停车位等</w:t>
      </w:r>
      <w:r>
        <w:rPr>
          <w:rFonts w:hint="eastAsia" w:ascii="宋体" w:hAnsi="宋体" w:eastAsia="宋体" w:cs="宋体"/>
          <w:b w:val="0"/>
          <w:bCs/>
          <w:kern w:val="0"/>
          <w:sz w:val="28"/>
          <w:szCs w:val="28"/>
          <w:lang w:val="en-US" w:eastAsia="zh-CN"/>
        </w:rPr>
        <w:t>。</w:t>
      </w:r>
      <w:r>
        <w:rPr>
          <w:rFonts w:hint="eastAsia" w:ascii="宋体" w:hAnsi="宋体" w:eastAsia="宋体" w:cs="宋体"/>
          <w:b w:val="0"/>
          <w:bCs/>
          <w:sz w:val="28"/>
          <w:szCs w:val="28"/>
          <w:highlight w:val="none"/>
          <w:lang w:val="en-US" w:eastAsia="zh-CN"/>
        </w:rPr>
        <w:t>办学规模可容纳12个教学班、360名幼儿。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val="0"/>
          <w:color w:val="000000"/>
          <w:kern w:val="2"/>
          <w:sz w:val="28"/>
          <w:szCs w:val="28"/>
          <w:lang w:val="en-US" w:eastAsia="zh-CN" w:bidi="ar-SA"/>
        </w:rPr>
        <w:t>（2）运营期目标完成情况</w:t>
      </w:r>
      <w:r>
        <w:rPr>
          <w:rFonts w:hint="eastAsia" w:ascii="宋体" w:hAnsi="宋体" w:eastAsia="宋体" w:cs="宋体"/>
          <w:color w:val="000000"/>
          <w:kern w:val="2"/>
          <w:sz w:val="28"/>
          <w:szCs w:val="28"/>
          <w:lang w:val="en-US" w:eastAsia="zh-CN" w:bidi="ar-SA"/>
        </w:rPr>
        <w:t>：实际</w:t>
      </w:r>
      <w:r>
        <w:rPr>
          <w:rFonts w:hint="eastAsia" w:ascii="宋体" w:hAnsi="宋体" w:eastAsia="宋体" w:cs="宋体"/>
          <w:b w:val="0"/>
          <w:bCs/>
          <w:sz w:val="28"/>
          <w:szCs w:val="28"/>
          <w:highlight w:val="none"/>
          <w:lang w:val="en-US" w:eastAsia="zh-CN"/>
        </w:rPr>
        <w:t>办学规模为8个教学班，幼儿入园人数236人，其中大班2个69人、中班2个64人、小班4个103人；完成教学班任务（8个班）66.67%、入园人数(306人 )77.12%;依据《幼儿园教职工配备标准（暂行）》，按照每班"两教一保"的要求配备了专任教师和保育员33人，超过现有班级应配备人数24人（8个班*3人）9人，超过专任教师总数与在园幼儿总数之比1:15标准。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2.产出质量目标任务完成情况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sz w:val="28"/>
          <w:szCs w:val="28"/>
          <w:highlight w:val="yellow"/>
          <w:lang w:val="en-US" w:eastAsia="zh-CN"/>
        </w:rPr>
      </w:pPr>
      <w:r>
        <w:rPr>
          <w:rFonts w:hint="eastAsia" w:ascii="宋体" w:hAnsi="宋体" w:eastAsia="宋体" w:cs="宋体"/>
          <w:color w:val="000000"/>
          <w:sz w:val="28"/>
          <w:szCs w:val="28"/>
          <w:lang w:val="en-US" w:eastAsia="zh-CN"/>
        </w:rPr>
        <w:t>项目建设工程主体及分项工程已经初步验收合格，项目采购设施设备质量验收合格。尚未完成消防验收及竣工验收备案，未经省市教育相关部门验收。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i w:val="0"/>
          <w:color w:val="000000"/>
          <w:kern w:val="0"/>
          <w:sz w:val="28"/>
          <w:szCs w:val="28"/>
          <w:u w:val="none"/>
          <w:lang w:val="en-US" w:eastAsia="zh-CN" w:bidi="ar"/>
        </w:rPr>
        <w:t>3.时效目标完成情况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lang w:val="en-US" w:eastAsia="zh-CN"/>
        </w:rPr>
        <w:t>根据项目开工令，项目于2022年9月25日开工，比合同计划时间开工（2022年8月25日</w:t>
      </w:r>
      <w:r>
        <w:rPr>
          <w:rFonts w:hint="eastAsia" w:ascii="宋体" w:hAnsi="宋体" w:eastAsia="宋体" w:cs="宋体"/>
          <w:color w:val="000000"/>
          <w:sz w:val="28"/>
          <w:szCs w:val="28"/>
          <w:highlight w:val="none"/>
          <w:lang w:val="en-US" w:eastAsia="zh-CN"/>
        </w:rPr>
        <w:t>）推迟1个月；</w:t>
      </w:r>
      <w:r>
        <w:rPr>
          <w:rFonts w:hint="eastAsia" w:ascii="宋体" w:hAnsi="宋体" w:eastAsia="宋体" w:cs="宋体"/>
          <w:color w:val="000000"/>
          <w:sz w:val="28"/>
          <w:szCs w:val="28"/>
          <w:lang w:val="en-US" w:eastAsia="zh-CN"/>
        </w:rPr>
        <w:t>至2023年10月，尚未办理竣工验收，比合同计划竣工验收时间（2023年4月25日）</w:t>
      </w:r>
      <w:r>
        <w:rPr>
          <w:rFonts w:hint="eastAsia" w:ascii="宋体" w:hAnsi="宋体" w:eastAsia="宋体" w:cs="宋体"/>
          <w:color w:val="000000"/>
          <w:sz w:val="28"/>
          <w:szCs w:val="28"/>
          <w:highlight w:val="none"/>
          <w:lang w:val="en-US" w:eastAsia="zh-CN"/>
        </w:rPr>
        <w:t>推迟近6个月。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2023年9月1日前已交付使用。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4.成本控制目标完成情况</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（1）至2023年6月项目已支付2,032.25万元，暂未超概算总额控制。</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lang w:val="en-US" w:eastAsia="zh-CN"/>
        </w:rPr>
        <w:t>（2）城南幼儿园实际建筑面积</w:t>
      </w:r>
      <w:r>
        <w:rPr>
          <w:rFonts w:hint="eastAsia" w:ascii="宋体" w:hAnsi="宋体" w:eastAsia="宋体" w:cs="宋体"/>
          <w:color w:val="000000"/>
          <w:sz w:val="28"/>
          <w:szCs w:val="28"/>
          <w:highlight w:val="none"/>
          <w:lang w:val="en-US" w:eastAsia="zh-CN"/>
        </w:rPr>
        <w:t>5172平方米，立项</w:t>
      </w:r>
      <w:r>
        <w:rPr>
          <w:rFonts w:hint="eastAsia" w:ascii="宋体" w:hAnsi="宋体" w:eastAsia="宋体" w:cs="宋体"/>
          <w:color w:val="000000"/>
          <w:sz w:val="28"/>
          <w:szCs w:val="28"/>
          <w:lang w:val="en-US" w:eastAsia="zh-CN"/>
        </w:rPr>
        <w:t>投资概算3,000.00万元，按照《幼儿园建设标准》投资估算参考指标</w:t>
      </w:r>
      <w:r>
        <w:rPr>
          <w:rFonts w:hint="eastAsia" w:ascii="宋体" w:hAnsi="宋体" w:eastAsia="宋体" w:cs="宋体"/>
          <w:color w:val="000000"/>
          <w:sz w:val="28"/>
          <w:szCs w:val="28"/>
          <w:highlight w:val="none"/>
          <w:lang w:val="en-US" w:eastAsia="zh-CN"/>
        </w:rPr>
        <w:t>3100-3000元/</w:t>
      </w:r>
      <w:r>
        <w:rPr>
          <w:rFonts w:hint="eastAsia" w:ascii="宋体" w:hAnsi="宋体" w:eastAsia="宋体" w:cs="宋体"/>
          <w:color w:val="000000"/>
          <w:sz w:val="28"/>
          <w:szCs w:val="28"/>
          <w:highlight w:val="none"/>
          <w:lang w:val="en-US" w:eastAsia="zh-CN"/>
        </w:rPr>
        <w:t>平方米</w:t>
      </w:r>
      <w:r>
        <w:rPr>
          <w:rFonts w:hint="eastAsia" w:ascii="宋体" w:hAnsi="宋体" w:eastAsia="宋体" w:cs="宋体"/>
          <w:color w:val="000000"/>
          <w:sz w:val="28"/>
          <w:szCs w:val="28"/>
          <w:highlight w:val="none"/>
          <w:lang w:val="en-US" w:eastAsia="zh-CN"/>
        </w:rPr>
        <w:t>标准（12个班、360人），实际投资为5,800.00元</w:t>
      </w:r>
      <w:r>
        <w:rPr>
          <w:rFonts w:hint="eastAsia" w:ascii="宋体" w:hAnsi="宋体" w:eastAsia="宋体" w:cs="宋体"/>
          <w:color w:val="000000"/>
          <w:sz w:val="28"/>
          <w:szCs w:val="28"/>
          <w:highlight w:val="none"/>
          <w:lang w:val="en-US" w:eastAsia="zh-CN"/>
        </w:rPr>
        <w:t>/平方米</w:t>
      </w:r>
      <w:r>
        <w:rPr>
          <w:rFonts w:hint="eastAsia" w:ascii="宋体" w:hAnsi="宋体" w:eastAsia="宋体" w:cs="宋体"/>
          <w:color w:val="000000"/>
          <w:sz w:val="28"/>
          <w:szCs w:val="28"/>
          <w:highlight w:val="none"/>
          <w:lang w:val="en-US" w:eastAsia="zh-CN"/>
        </w:rPr>
        <w:t>（3000万元/5172</w:t>
      </w:r>
      <w:r>
        <w:rPr>
          <w:rFonts w:hint="eastAsia" w:ascii="宋体" w:hAnsi="宋体" w:eastAsia="宋体" w:cs="宋体"/>
          <w:color w:val="000000"/>
          <w:sz w:val="28"/>
          <w:szCs w:val="28"/>
          <w:highlight w:val="none"/>
          <w:lang w:val="en-US" w:eastAsia="zh-CN"/>
        </w:rPr>
        <w:t>平方米</w:t>
      </w:r>
      <w:r>
        <w:rPr>
          <w:rFonts w:hint="eastAsia" w:ascii="宋体" w:hAnsi="宋体" w:eastAsia="宋体" w:cs="宋体"/>
          <w:color w:val="000000"/>
          <w:sz w:val="28"/>
          <w:szCs w:val="28"/>
          <w:highlight w:val="none"/>
          <w:lang w:val="en-US" w:eastAsia="zh-CN"/>
        </w:rPr>
        <w:t>），实际投资超标准值。</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sz w:val="28"/>
          <w:szCs w:val="28"/>
          <w:highlight w:val="none"/>
          <w:lang w:val="en-US" w:eastAsia="zh-CN"/>
        </w:rPr>
      </w:pPr>
      <w:r>
        <w:rPr>
          <w:rFonts w:hint="eastAsia" w:ascii="宋体" w:hAnsi="宋体" w:eastAsia="宋体" w:cs="宋体"/>
          <w:color w:val="000000"/>
          <w:sz w:val="28"/>
          <w:szCs w:val="28"/>
          <w:highlight w:val="none"/>
          <w:lang w:val="en-US" w:eastAsia="zh-CN"/>
        </w:rPr>
        <w:t>（3）城南幼儿园实际建筑面积5172平方米，约人均建筑面积14.37平方米（5172/360人）；超过《幼儿园建设标准》（12个班、360人）11.12-13.63平方米/人的上限标准。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b w:val="0"/>
          <w:bCs w:val="0"/>
          <w:color w:val="000000"/>
          <w:sz w:val="28"/>
          <w:szCs w:val="28"/>
          <w:lang w:val="en-US"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4）</w:t>
      </w:r>
      <w:r>
        <w:rPr>
          <w:rFonts w:hint="eastAsia" w:ascii="宋体" w:hAnsi="宋体" w:eastAsia="宋体" w:cs="宋体"/>
          <w:b w:val="0"/>
          <w:bCs w:val="0"/>
          <w:color w:val="000000"/>
          <w:sz w:val="28"/>
          <w:szCs w:val="28"/>
          <w:highlight w:val="none"/>
          <w:lang w:val="en-US" w:eastAsia="zh-CN"/>
        </w:rPr>
        <w:t>2023年</w:t>
      </w:r>
      <w:r>
        <w:rPr>
          <w:rFonts w:hint="eastAsia" w:ascii="宋体" w:hAnsi="宋体" w:eastAsia="宋体" w:cs="宋体"/>
          <w:b w:val="0"/>
          <w:bCs w:val="0"/>
          <w:color w:val="000000"/>
          <w:sz w:val="28"/>
          <w:szCs w:val="28"/>
          <w:lang w:val="en-US" w:eastAsia="zh-CN"/>
        </w:rPr>
        <w:t>净收益-38.43万元，未能达到预测收益106.66万元目标。</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default" w:ascii="宋体" w:hAnsi="宋体" w:eastAsia="宋体" w:cs="宋体"/>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（5）2022年至2</w:t>
      </w:r>
      <w:r>
        <w:rPr>
          <w:rFonts w:hint="eastAsia" w:ascii="宋体" w:hAnsi="宋体" w:eastAsia="宋体" w:cs="宋体"/>
          <w:color w:val="000000"/>
          <w:sz w:val="28"/>
          <w:szCs w:val="28"/>
          <w:highlight w:val="none"/>
          <w:lang w:val="en-US" w:eastAsia="zh-CN"/>
        </w:rPr>
        <w:t>023年由区财政垫付债券利</w:t>
      </w:r>
      <w:r>
        <w:rPr>
          <w:rFonts w:hint="eastAsia" w:ascii="宋体" w:hAnsi="宋体" w:eastAsia="宋体" w:cs="宋体"/>
          <w:color w:val="000000"/>
          <w:sz w:val="28"/>
          <w:szCs w:val="28"/>
          <w:highlight w:val="none"/>
        </w:rPr>
        <w:t>息</w:t>
      </w:r>
      <w:r>
        <w:rPr>
          <w:rFonts w:hint="eastAsia" w:ascii="宋体" w:hAnsi="宋体" w:eastAsia="宋体" w:cs="宋体"/>
          <w:color w:val="000000"/>
          <w:sz w:val="28"/>
          <w:szCs w:val="28"/>
          <w:highlight w:val="none"/>
          <w:lang w:val="en-US" w:eastAsia="zh-CN"/>
        </w:rPr>
        <w:t>共计98.7万元，其中2022年支付32.9万元，2023年支付65.8万元，利息支付</w:t>
      </w:r>
      <w:r>
        <w:rPr>
          <w:rFonts w:hint="eastAsia" w:ascii="宋体" w:hAnsi="宋体" w:eastAsia="宋体" w:cs="宋体"/>
          <w:color w:val="000000"/>
          <w:sz w:val="28"/>
          <w:szCs w:val="28"/>
          <w:highlight w:val="none"/>
        </w:rPr>
        <w:t>率100%</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比2022年-2023年预测利息节约12.6万元。原因:债券利率降低。预测利率3.71%,实际执行利率3.29%。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5.项目实施效益及幼儿家长满意度目标完成情况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（1）项目建设规模为12个班、360人，2023年招生8个班236人，其中教室、设施、设备及教职员工未得到充分利用，资产有闲置，教职工作量未达到饱和状态。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val="0"/>
          <w:bCs w:val="0"/>
          <w:color w:val="000000"/>
          <w:sz w:val="28"/>
          <w:szCs w:val="28"/>
          <w:lang w:val="en-US" w:eastAsia="zh-CN"/>
        </w:rPr>
        <w:t>（2）经</w:t>
      </w:r>
      <w:r>
        <w:rPr>
          <w:rFonts w:hint="eastAsia" w:ascii="宋体" w:hAnsi="宋体" w:eastAsia="宋体" w:cs="宋体"/>
          <w:color w:val="000000"/>
          <w:sz w:val="28"/>
          <w:szCs w:val="28"/>
          <w:lang w:val="en-US" w:eastAsia="zh-CN"/>
        </w:rPr>
        <w:t>济效益：2023年保教费收费按标准园标准收取，无漏收、少收现象，实现</w:t>
      </w:r>
      <w:r>
        <w:rPr>
          <w:rFonts w:hint="eastAsia" w:ascii="宋体" w:hAnsi="宋体" w:eastAsia="宋体" w:cs="宋体"/>
          <w:color w:val="000000"/>
          <w:sz w:val="28"/>
          <w:szCs w:val="28"/>
          <w:highlight w:val="none"/>
          <w:lang w:val="en-US" w:eastAsia="zh-CN"/>
        </w:rPr>
        <w:t>非税收入49.35万元，</w:t>
      </w:r>
      <w:r>
        <w:rPr>
          <w:rFonts w:hint="eastAsia" w:ascii="宋体" w:hAnsi="宋体" w:eastAsia="宋体" w:cs="宋体"/>
          <w:color w:val="000000"/>
          <w:sz w:val="28"/>
          <w:szCs w:val="28"/>
          <w:lang w:val="en-US" w:eastAsia="zh-CN"/>
        </w:rPr>
        <w:t>上缴区财政100%，但2023年仅达到《融资平衡方案》预测学费收入151.2万元的32.64%。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（3）社会效益：见本报告主要绩效。</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可持续性：本项目为民生项目，有专业团队运营管理，有区财政资金扶持，教职员工持证上岗，教学质量评估良好，幼儿园有较好内部管理及服务质量。但云溪区人口出生率及新生儿出生数近年均呈逐年递减趋势，将会影响项目持续性经营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(5)项目建设及运营</w:t>
      </w:r>
      <w:r>
        <w:rPr>
          <w:rFonts w:hint="eastAsia" w:ascii="宋体" w:hAnsi="宋体" w:eastAsia="宋体" w:cs="宋体"/>
          <w:sz w:val="28"/>
          <w:szCs w:val="28"/>
        </w:rPr>
        <w:t>满意度</w:t>
      </w:r>
      <w:r>
        <w:rPr>
          <w:rFonts w:hint="eastAsia" w:ascii="宋体" w:hAnsi="宋体" w:eastAsia="宋体" w:cs="宋体"/>
          <w:sz w:val="28"/>
          <w:szCs w:val="28"/>
          <w:lang w:val="en-US" w:eastAsia="zh-CN"/>
        </w:rPr>
        <w:t>达95</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见本报告问卷调查内容）</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sz w:val="32"/>
          <w:szCs w:val="32"/>
          <w:lang w:val="en-US" w:eastAsia="zh-CN"/>
        </w:rPr>
        <w:t>五、</w:t>
      </w:r>
      <w:r>
        <w:rPr>
          <w:rFonts w:hint="eastAsia" w:ascii="宋体" w:hAnsi="宋体" w:eastAsia="宋体" w:cs="宋体"/>
          <w:b/>
          <w:bCs/>
          <w:sz w:val="32"/>
          <w:szCs w:val="32"/>
        </w:rPr>
        <w:t>存在的问题</w:t>
      </w:r>
      <w:r>
        <w:rPr>
          <w:rFonts w:hint="eastAsia" w:ascii="宋体" w:hAnsi="宋体" w:eastAsia="宋体" w:cs="宋体"/>
          <w:b/>
          <w:bCs/>
          <w:sz w:val="32"/>
          <w:szCs w:val="32"/>
          <w:lang w:eastAsia="zh-CN"/>
        </w:rPr>
        <w:t>及建议</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02" w:firstLineChars="200"/>
        <w:jc w:val="both"/>
        <w:textAlignment w:val="auto"/>
        <w:rPr>
          <w:rFonts w:hint="eastAsia" w:ascii="宋体" w:hAnsi="宋体" w:eastAsia="宋体" w:cs="宋体"/>
          <w:b/>
          <w:bCs/>
          <w:sz w:val="28"/>
          <w:szCs w:val="28"/>
          <w:lang w:eastAsia="zh-CN"/>
        </w:rPr>
      </w:pPr>
      <w:r>
        <w:rPr>
          <w:rFonts w:hint="eastAsia" w:ascii="楷体_GB2312" w:hAnsi="Times New Roman" w:eastAsia="楷体_GB2312" w:cs="Times New Roman"/>
          <w:b/>
          <w:kern w:val="0"/>
          <w:sz w:val="30"/>
          <w:szCs w:val="30"/>
          <w:lang w:val="en-US" w:eastAsia="zh-CN"/>
        </w:rPr>
        <w:t>存在问题</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1.项目绩效目标指标设置不完整、不规范</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highlight w:val="none"/>
          <w:lang w:val="en-US" w:eastAsia="zh-CN"/>
        </w:rPr>
        <w:t>项目单位在项目申报时未编制项目实施期绩效目标和项目年度绩效目标；建设期编制绩效自评报告及自评表绩效目标不具体、不完整，绩效指标未细化、量化，绩效指标设置不能完整反映项目实施所包含工作量。</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2" w:firstLineChars="200"/>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2.立项规模发生变更，未</w:t>
      </w:r>
      <w:r>
        <w:rPr>
          <w:rFonts w:hint="eastAsia" w:ascii="宋体" w:hAnsi="宋体" w:eastAsia="宋体" w:cs="宋体"/>
          <w:b/>
          <w:bCs/>
          <w:kern w:val="2"/>
          <w:sz w:val="28"/>
          <w:szCs w:val="28"/>
          <w:highlight w:val="none"/>
          <w:lang w:val="en-US" w:eastAsia="zh-CN" w:bidi="ar-SA"/>
        </w:rPr>
        <w:t>按照规定的程序办理相关手续</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（1）总建筑面积发生较大变更，未</w:t>
      </w:r>
      <w:r>
        <w:rPr>
          <w:rFonts w:hint="eastAsia" w:ascii="宋体" w:hAnsi="宋体" w:eastAsia="宋体" w:cs="宋体"/>
          <w:b w:val="0"/>
          <w:bCs w:val="0"/>
          <w:kern w:val="2"/>
          <w:sz w:val="28"/>
          <w:szCs w:val="28"/>
          <w:highlight w:val="none"/>
          <w:lang w:val="en-US" w:eastAsia="zh-CN" w:bidi="ar-SA"/>
        </w:rPr>
        <w:t>报原审批部门审批。</w:t>
      </w:r>
      <w:r>
        <w:rPr>
          <w:rFonts w:hint="eastAsia" w:ascii="宋体" w:hAnsi="宋体" w:eastAsia="宋体" w:cs="宋体"/>
          <w:b w:val="0"/>
          <w:bCs w:val="0"/>
          <w:sz w:val="28"/>
          <w:szCs w:val="28"/>
          <w:highlight w:val="none"/>
          <w:lang w:val="en-US" w:eastAsia="zh-CN"/>
        </w:rPr>
        <w:t>城南幼儿园建设项目立项批复总建筑面积为9220平方米；区住建局《关于城南幼儿园初步设计审查的批复》岳云住建复[2022]5号）总建筑面积为5172平方米，初步设计比立项的总建筑面积减少4212平方米，实际减少建筑面积45.68%，且建筑结构设计也存在很大差异。项目立项建设规模发生较大变更，项目相关单位未</w:t>
      </w:r>
      <w:r>
        <w:rPr>
          <w:rFonts w:hint="eastAsia" w:ascii="宋体" w:hAnsi="宋体" w:eastAsia="宋体" w:cs="宋体"/>
          <w:b w:val="0"/>
          <w:bCs w:val="0"/>
          <w:kern w:val="2"/>
          <w:sz w:val="28"/>
          <w:szCs w:val="28"/>
          <w:highlight w:val="none"/>
          <w:lang w:val="en-US" w:eastAsia="zh-CN" w:bidi="ar-SA"/>
        </w:rPr>
        <w:t>按照规定的程序办理手续，不符合《政府投资条例》规定的“......建设规模、建设内容等作较大变更的，应当按照规定的程序报原审批部门审批”的要求。</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（2）总建筑面积发生较大变更，但投资概算未相应进行调整。初步设计比立项总建筑面积减少4212平方米，但</w:t>
      </w:r>
      <w:r>
        <w:rPr>
          <w:rFonts w:hint="eastAsia" w:ascii="宋体" w:hAnsi="宋体" w:eastAsia="宋体" w:cs="宋体"/>
          <w:b w:val="0"/>
          <w:bCs w:val="0"/>
          <w:kern w:val="2"/>
          <w:sz w:val="28"/>
          <w:szCs w:val="28"/>
          <w:highlight w:val="none"/>
          <w:lang w:val="en-US" w:eastAsia="zh-CN" w:bidi="ar-SA"/>
        </w:rPr>
        <w:t>初步设计概算总投资批复在立项批复3,000.00万元基础上</w:t>
      </w:r>
      <w:r>
        <w:rPr>
          <w:rFonts w:hint="eastAsia" w:ascii="宋体" w:hAnsi="宋体" w:eastAsia="宋体" w:cs="宋体"/>
          <w:b w:val="0"/>
          <w:bCs w:val="0"/>
          <w:kern w:val="2"/>
          <w:sz w:val="28"/>
          <w:szCs w:val="28"/>
          <w:highlight w:val="none"/>
          <w:lang w:val="en-US" w:eastAsia="zh-CN" w:bidi="ar-SA"/>
        </w:rPr>
        <w:t>增加到3,066.89万元，</w:t>
      </w:r>
      <w:r>
        <w:rPr>
          <w:rFonts w:hint="eastAsia" w:ascii="宋体" w:hAnsi="宋体" w:eastAsia="宋体" w:cs="宋体"/>
          <w:b w:val="0"/>
          <w:bCs w:val="0"/>
          <w:kern w:val="2"/>
          <w:sz w:val="28"/>
          <w:szCs w:val="28"/>
          <w:highlight w:val="none"/>
          <w:lang w:val="en-US" w:eastAsia="zh-CN" w:bidi="ar-SA"/>
        </w:rPr>
        <w:t>总建筑面积发生较大变更，但投资概算未相应进行调整，也无具体原因说明。</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原因：根据区教体局说明，项目总建筑面积9220平方米改为5172平方米，通过了区规委会讨论修改，主要是供地比原计划减少，从而导致总建筑面积也相应减少。</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3.项目建筑面积及投资额超相关标准，建设成本控制不到位</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建筑面积超标准指标值。根据《幼儿园建设标准》（建标175-2016）幼儿园各类用房人均使用面积和建筑面积指标规定，全日制12个班（360人）人均建筑面积为11.12-13.63（㎡/人）；区城南幼儿园实际总建筑面积5172㎡，人均建筑面积为14.37㎡/人（5172㎡/360人）,超过</w:t>
      </w:r>
      <w:r>
        <w:rPr>
          <w:rFonts w:hint="eastAsia" w:ascii="宋体" w:hAnsi="宋体" w:eastAsia="宋体" w:cs="宋体"/>
          <w:b w:val="0"/>
          <w:bCs w:val="0"/>
          <w:sz w:val="28"/>
          <w:szCs w:val="28"/>
          <w:highlight w:val="none"/>
          <w:lang w:val="en-US" w:eastAsia="zh-CN"/>
        </w:rPr>
        <w:t>《幼儿园建设标准》</w:t>
      </w:r>
      <w:r>
        <w:rPr>
          <w:rFonts w:hint="eastAsia" w:ascii="宋体" w:hAnsi="宋体" w:eastAsia="宋体" w:cs="宋体"/>
          <w:b w:val="0"/>
          <w:bCs w:val="0"/>
          <w:sz w:val="28"/>
          <w:szCs w:val="28"/>
          <w:highlight w:val="none"/>
          <w:lang w:val="en-US" w:eastAsia="zh-CN"/>
        </w:rPr>
        <w:t>规定的上限指标，超规定标准建筑面积约265.2㎡。</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（2）投资概算（</w:t>
      </w:r>
      <w:r>
        <w:rPr>
          <w:rFonts w:hint="eastAsia" w:ascii="宋体" w:hAnsi="宋体" w:eastAsia="宋体" w:cs="宋体"/>
          <w:b w:val="0"/>
          <w:bCs w:val="0"/>
          <w:sz w:val="28"/>
          <w:szCs w:val="28"/>
          <w:highlight w:val="none"/>
          <w:lang w:val="en-US" w:eastAsia="zh-CN"/>
        </w:rPr>
        <w:t>估算）</w:t>
      </w:r>
      <w:r>
        <w:rPr>
          <w:rFonts w:hint="eastAsia" w:ascii="宋体" w:hAnsi="宋体" w:eastAsia="宋体" w:cs="宋体"/>
          <w:b w:val="0"/>
          <w:bCs w:val="0"/>
          <w:sz w:val="28"/>
          <w:szCs w:val="28"/>
          <w:highlight w:val="none"/>
          <w:lang w:val="en-US" w:eastAsia="zh-CN"/>
        </w:rPr>
        <w:t>超指标值。根据《幼儿园建设标准》（建标175-2016），幼儿园12个班（360人）投资估算的参考指标值为3100-3000元/㎡。因项目尚未结算，区城南幼儿园实际投资按工程主体合同2,937.00万元</w:t>
      </w:r>
      <w:r>
        <w:rPr>
          <w:rFonts w:hint="eastAsia" w:ascii="宋体" w:hAnsi="宋体" w:eastAsia="宋体" w:cs="宋体"/>
          <w:b w:val="0"/>
          <w:bCs w:val="0"/>
          <w:sz w:val="28"/>
          <w:szCs w:val="28"/>
          <w:highlight w:val="none"/>
          <w:lang w:val="en-US" w:eastAsia="zh-CN"/>
        </w:rPr>
        <w:t>测算</w:t>
      </w:r>
      <w:r>
        <w:rPr>
          <w:rFonts w:hint="eastAsia" w:ascii="宋体" w:hAnsi="宋体" w:eastAsia="宋体" w:cs="宋体"/>
          <w:b w:val="0"/>
          <w:bCs w:val="0"/>
          <w:sz w:val="28"/>
          <w:szCs w:val="28"/>
          <w:highlight w:val="none"/>
          <w:lang w:val="en-US" w:eastAsia="zh-CN"/>
        </w:rPr>
        <w:t>，剔除515.72万元（三通一平土石方工程批复金额245.34万元、设备购置费270.43万元），实际达到4682元/㎡（2937.00万元-</w:t>
      </w:r>
      <w:r>
        <w:rPr>
          <w:rFonts w:hint="eastAsia" w:ascii="宋体" w:hAnsi="宋体" w:eastAsia="宋体" w:cs="宋体"/>
          <w:b w:val="0"/>
          <w:bCs w:val="0"/>
          <w:sz w:val="28"/>
          <w:szCs w:val="28"/>
          <w:highlight w:val="none"/>
          <w:lang w:val="en-US" w:eastAsia="zh-CN"/>
        </w:rPr>
        <w:t>515.72万元)</w:t>
      </w:r>
      <w:r>
        <w:rPr>
          <w:rFonts w:hint="eastAsia" w:ascii="宋体" w:hAnsi="宋体" w:eastAsia="宋体" w:cs="宋体"/>
          <w:b w:val="0"/>
          <w:bCs w:val="0"/>
          <w:sz w:val="28"/>
          <w:szCs w:val="28"/>
          <w:highlight w:val="none"/>
          <w:lang w:val="en-US" w:eastAsia="zh-CN"/>
        </w:rPr>
        <w:t>/5172㎡)，超过标准上限值1582元/㎡，超标准值51%。原因：现阶段合同结算金额未经区财政评审中心评审，区审计局终审，其实际工作量与支付金额不明确，可能存在差异。</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建设及投资规模</w:t>
      </w:r>
      <w:r>
        <w:rPr>
          <w:rFonts w:hint="eastAsia" w:ascii="宋体" w:hAnsi="宋体" w:eastAsia="宋体" w:cs="宋体"/>
          <w:b w:val="0"/>
          <w:bCs w:val="0"/>
          <w:sz w:val="28"/>
          <w:szCs w:val="28"/>
          <w:highlight w:val="none"/>
          <w:lang w:val="en-US" w:eastAsia="zh-CN"/>
        </w:rPr>
        <w:t>超标准，增加区政府财力负担，不符合机关事业单位预算管理遵循的厉行节约、从严从紧的原则，不符合《幼儿园建设标准》相关规定。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4.未按时间开工及竣工验收，项目建设时效控制不到位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color w:val="000000"/>
          <w:sz w:val="28"/>
          <w:szCs w:val="28"/>
          <w:lang w:val="en-US" w:eastAsia="zh-CN"/>
        </w:rPr>
        <w:t>根据项目开工令，项目主体工程实际开工时间为2022年9月25日，比</w:t>
      </w:r>
      <w:r>
        <w:rPr>
          <w:rFonts w:hint="eastAsia" w:ascii="宋体" w:hAnsi="宋体" w:eastAsia="宋体" w:cs="宋体"/>
          <w:color w:val="000000"/>
          <w:sz w:val="28"/>
          <w:szCs w:val="28"/>
          <w:highlight w:val="none"/>
          <w:lang w:val="en-US" w:eastAsia="zh-CN"/>
        </w:rPr>
        <w:t>合同计划开工时间（2022年8月25日）推迟1个月。至2023年10月25日，项目尚未提交竣工验收报告，比合同计划竣工验收时间（2023年4月25日），推迟6个月。</w:t>
      </w:r>
      <w:r>
        <w:rPr>
          <w:rFonts w:hint="eastAsia" w:ascii="宋体" w:hAnsi="宋体" w:eastAsia="宋体" w:cs="宋体"/>
          <w:b w:val="0"/>
          <w:bCs w:val="0"/>
          <w:color w:val="000000"/>
          <w:sz w:val="28"/>
          <w:szCs w:val="28"/>
          <w:lang w:val="en-US" w:eastAsia="zh-CN"/>
        </w:rPr>
        <w:t>未按时间完成开工及竣工验收工作进度，项目建设时效控制不到位。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5.投入运营手续不齐全，资产管理不规范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项目于2023年9月1日投入运营，未办理竣工验收、消防验收</w:t>
      </w:r>
      <w:r>
        <w:rPr>
          <w:rFonts w:hint="eastAsia" w:ascii="宋体" w:hAnsi="宋体" w:eastAsia="宋体" w:cs="宋体"/>
          <w:color w:val="000000"/>
          <w:sz w:val="28"/>
          <w:szCs w:val="28"/>
          <w:lang w:val="en-US" w:eastAsia="zh-CN"/>
        </w:rPr>
        <w:t>手续</w:t>
      </w:r>
      <w:r>
        <w:rPr>
          <w:rFonts w:hint="eastAsia" w:ascii="宋体" w:hAnsi="宋体" w:eastAsia="宋体" w:cs="宋体"/>
          <w:color w:val="000000"/>
          <w:sz w:val="28"/>
          <w:szCs w:val="28"/>
          <w:lang w:val="en-US" w:eastAsia="zh-CN"/>
        </w:rPr>
        <w:t>，资产交付使用时，未办理工程资产接收证书、总资产移交清单、产权登记</w:t>
      </w:r>
      <w:r>
        <w:rPr>
          <w:rFonts w:hint="eastAsia" w:ascii="宋体" w:hAnsi="宋体" w:eastAsia="宋体" w:cs="宋体"/>
          <w:color w:val="000000"/>
          <w:sz w:val="28"/>
          <w:szCs w:val="28"/>
          <w:lang w:val="en-US" w:eastAsia="zh-CN"/>
        </w:rPr>
        <w:t>等手续。</w:t>
      </w:r>
      <w:r>
        <w:rPr>
          <w:rFonts w:hint="eastAsia" w:ascii="宋体" w:hAnsi="宋体" w:eastAsia="宋体" w:cs="宋体"/>
          <w:b w:val="0"/>
          <w:bCs w:val="0"/>
          <w:color w:val="000000"/>
          <w:sz w:val="28"/>
          <w:szCs w:val="28"/>
          <w:lang w:val="en-US" w:eastAsia="zh-CN"/>
        </w:rPr>
        <w:t>投入运营手续不齐全</w:t>
      </w:r>
      <w:r>
        <w:rPr>
          <w:rFonts w:hint="eastAsia" w:ascii="宋体" w:hAnsi="宋体" w:eastAsia="宋体" w:cs="宋体"/>
          <w:b/>
          <w:bCs/>
          <w:color w:val="000000"/>
          <w:sz w:val="28"/>
          <w:szCs w:val="28"/>
          <w:lang w:val="en-US" w:eastAsia="zh-CN"/>
        </w:rPr>
        <w:t>，</w:t>
      </w:r>
      <w:r>
        <w:rPr>
          <w:rFonts w:hint="eastAsia" w:ascii="宋体" w:hAnsi="宋体" w:eastAsia="宋体" w:cs="宋体"/>
          <w:color w:val="000000"/>
          <w:sz w:val="28"/>
          <w:szCs w:val="28"/>
          <w:lang w:val="en-US" w:eastAsia="zh-CN"/>
        </w:rPr>
        <w:t>资产管理不规范。原因：竣工验收备案及消防验收相关手续正在办理中，估计2023年11月可完成；工程交付手续正在补办中。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6.项目合同管理欠规范，合同金额超概算</w:t>
      </w:r>
      <w:r>
        <w:rPr>
          <w:rFonts w:hint="eastAsia" w:ascii="宋体" w:hAnsi="宋体" w:eastAsia="宋体" w:cs="宋体"/>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根据区教育体育局提供的项目合同，至2023年6月止，已签订合同</w:t>
      </w:r>
      <w:r>
        <w:rPr>
          <w:rFonts w:hint="eastAsia" w:ascii="宋体" w:hAnsi="宋体" w:eastAsia="宋体" w:cs="宋体"/>
          <w:b w:val="0"/>
          <w:bCs w:val="0"/>
          <w:color w:val="auto"/>
          <w:sz w:val="28"/>
          <w:szCs w:val="28"/>
          <w:shd w:val="clear" w:color="auto" w:fill="FFFFFF"/>
          <w:lang w:val="en-US" w:eastAsia="zh-CN"/>
        </w:rPr>
        <w:t>14个、</w:t>
      </w:r>
      <w:r>
        <w:rPr>
          <w:rFonts w:hint="eastAsia" w:ascii="宋体" w:hAnsi="宋体" w:eastAsia="宋体" w:cs="宋体"/>
          <w:color w:val="000000"/>
          <w:sz w:val="28"/>
          <w:szCs w:val="28"/>
          <w:lang w:val="en-US" w:eastAsia="zh-CN"/>
        </w:rPr>
        <w:t>金额3274万元，其中</w:t>
      </w:r>
      <w:r>
        <w:rPr>
          <w:rFonts w:hint="eastAsia" w:ascii="宋体" w:hAnsi="宋体" w:eastAsia="宋体" w:cs="宋体"/>
          <w:b w:val="0"/>
          <w:bCs w:val="0"/>
          <w:color w:val="auto"/>
          <w:sz w:val="28"/>
          <w:szCs w:val="28"/>
          <w:shd w:val="clear" w:color="auto" w:fill="FFFFFF"/>
          <w:lang w:val="en-US" w:eastAsia="zh-CN"/>
        </w:rPr>
        <w:t>签订设计采购施工总承包合同1个，金额为2937.00万元，其他项目相关费用合同13个、金额337万元。从签订的合同金额来看，</w:t>
      </w:r>
      <w:r>
        <w:rPr>
          <w:rFonts w:hint="eastAsia" w:ascii="宋体" w:hAnsi="宋体" w:eastAsia="宋体" w:cs="宋体"/>
          <w:color w:val="000000"/>
          <w:sz w:val="28"/>
          <w:szCs w:val="28"/>
          <w:lang w:val="en-US" w:eastAsia="zh-CN"/>
        </w:rPr>
        <w:t>超过立项总概算金额274万元；但根据区教体局项目相关人员说明，</w:t>
      </w:r>
      <w:r>
        <w:rPr>
          <w:rFonts w:hint="eastAsia" w:ascii="宋体" w:hAnsi="宋体" w:eastAsia="宋体" w:cs="宋体"/>
          <w:b w:val="0"/>
          <w:bCs w:val="0"/>
          <w:color w:val="auto"/>
          <w:sz w:val="28"/>
          <w:szCs w:val="28"/>
          <w:shd w:val="clear" w:color="auto" w:fill="FFFFFF"/>
          <w:lang w:val="en-US" w:eastAsia="zh-CN"/>
        </w:rPr>
        <w:t>为便于对项目管理，项目单位与总承包方双方约定，将其他项目相关费用合同金额337万元，在形式上纳入总承包合同金额中，在结算时抵扣总承包合同实际结算金额337万元；项目合同金额</w:t>
      </w:r>
      <w:r>
        <w:rPr>
          <w:rFonts w:hint="eastAsia" w:ascii="宋体" w:hAnsi="宋体" w:eastAsia="宋体" w:cs="宋体"/>
          <w:color w:val="000000"/>
          <w:sz w:val="28"/>
          <w:szCs w:val="28"/>
          <w:lang w:val="en-US" w:eastAsia="zh-CN"/>
        </w:rPr>
        <w:t>不会超过概算金额。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原因：</w:t>
      </w:r>
      <w:r>
        <w:rPr>
          <w:rFonts w:hint="eastAsia" w:ascii="宋体" w:hAnsi="宋体" w:eastAsia="宋体" w:cs="宋体"/>
          <w:b w:val="0"/>
          <w:bCs w:val="0"/>
          <w:color w:val="auto"/>
          <w:sz w:val="28"/>
          <w:szCs w:val="28"/>
          <w:shd w:val="clear" w:color="auto" w:fill="FFFFFF"/>
          <w:lang w:val="en-US" w:eastAsia="zh-CN"/>
        </w:rPr>
        <w:t>但由于区教体局对工程总承包建设业务不熟悉，本项目在未签订总承包合同前（2021年10月）已动工开始了勘察、设计、土石方工程等前期工作，区教体局与相关单位签订了合同、并支付了相应合同款，包括勘察费、可研费、监理费、质量检测费、建设单位管理费、环评费、预算费用、招标费用、土石方工程等共计337万元；所以在合同签订时未剔除前期工程相关费用支出337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7.收费标准未经相关部门审核，</w:t>
      </w:r>
      <w:r>
        <w:rPr>
          <w:rFonts w:hint="eastAsia" w:ascii="宋体" w:hAnsi="宋体" w:eastAsia="宋体" w:cs="宋体"/>
          <w:b/>
          <w:bCs/>
          <w:color w:val="000000"/>
          <w:sz w:val="28"/>
          <w:szCs w:val="28"/>
          <w:lang w:val="en-US" w:eastAsia="zh-CN"/>
        </w:rPr>
        <w:t>依据不充分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color w:val="000000"/>
          <w:sz w:val="28"/>
          <w:szCs w:val="28"/>
          <w:lang w:val="en-US" w:eastAsia="zh-CN"/>
        </w:rPr>
        <w:t>区城南幼儿园2023年下学期收</w:t>
      </w:r>
      <w:r>
        <w:rPr>
          <w:rFonts w:hint="eastAsia" w:ascii="宋体" w:hAnsi="宋体" w:eastAsia="宋体" w:cs="宋体"/>
          <w:b w:val="0"/>
          <w:bCs w:val="0"/>
          <w:sz w:val="28"/>
          <w:szCs w:val="28"/>
          <w:highlight w:val="none"/>
          <w:lang w:val="en-US" w:eastAsia="zh-CN"/>
        </w:rPr>
        <w:t>费项目及标准按照标准园幼儿园等级收取，收费项目及标准为：保教费420元/月、2100元/期，伙食费为60元/周、1380元/期。区城南幼儿园2023年下学期收费标准确定未经相关部门的审核、批准，不符合区发改局、区财政局、区教体局《关于岳阳市云溪区公办幼儿园保教费有关事项的通知》（岳云发改[2022]51号）规定的“新建公办幼儿园（含设立分园）暂未定级的，由区县教育行政部门提出认定等级及试行收费标准意见，经区发改、财政部门审核后执行，待定级后按程序确定正式收费标准”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8.实际与预期净收益存在很大差异，无法实现项目实际收益和融资自求平衡。</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jc w:val="both"/>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在现有运营状态下，实际运营与《资金平衡方案》预测性财务信息存在很大差异，实际运营期收入减少、成本增加，实际净收益明显低于预期，项目总收益及年度收益均无法覆盖本息、达到本息保障倍数；</w:t>
      </w:r>
      <w:r>
        <w:rPr>
          <w:rFonts w:hint="eastAsia" w:ascii="宋体" w:hAnsi="宋体" w:eastAsia="宋体" w:cs="宋体"/>
          <w:sz w:val="28"/>
          <w:szCs w:val="28"/>
          <w:highlight w:val="none"/>
          <w:lang w:val="en-US" w:eastAsia="zh-CN"/>
        </w:rPr>
        <w:t>无法达到预期融资平衡计划，</w:t>
      </w:r>
      <w:r>
        <w:rPr>
          <w:rFonts w:hint="eastAsia" w:ascii="宋体" w:hAnsi="宋体" w:eastAsia="宋体" w:cs="宋体"/>
          <w:b w:val="0"/>
          <w:bCs w:val="0"/>
          <w:sz w:val="28"/>
          <w:szCs w:val="28"/>
          <w:highlight w:val="none"/>
          <w:lang w:val="en-US" w:eastAsia="zh-CN"/>
        </w:rPr>
        <w:t>无法实现项目实际收益和融资自求平衡，容易形成新增的隐性债务。</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预测总收入将远高于实现收入。</w:t>
      </w:r>
      <w:r>
        <w:rPr>
          <w:rFonts w:hint="eastAsia" w:ascii="宋体" w:hAnsi="宋体" w:eastAsia="宋体" w:cs="宋体"/>
          <w:b w:val="0"/>
          <w:bCs w:val="0"/>
          <w:sz w:val="28"/>
          <w:szCs w:val="28"/>
          <w:highlight w:val="none"/>
          <w:lang w:val="en-US" w:eastAsia="zh-CN"/>
        </w:rPr>
        <w:t>根据《资金平衡方案》，债券存续期（15年）预测项目总收入5438.28万元，包含保教费收入7500元/年、伙食费收入3000元/年/人。根据2023年下学期收费情况，保教费收入4200元/年/人，伙食费收入与实际支出收支相抵，不纳入计算收入范畴，评价人员估计债券存续期收入大约为2.268.00万元（4200元/年/人*360人*15年），比预期收入大约少3,170.00万元。主要原因：预测项目总收入中包含了伙食费收入，不符合幼儿园收费的实际情况；二是预测项目保教费收入按7500元/年/人估算，实际收费是4200元/年/人计收，收支差额为3300元/年/人。</w:t>
      </w:r>
    </w:p>
    <w:p>
      <w:pPr>
        <w:keepNext w:val="0"/>
        <w:keepLines w:val="0"/>
        <w:pageBreakBefore w:val="0"/>
        <w:widowControl w:val="0"/>
        <w:numPr>
          <w:ilvl w:val="0"/>
          <w:numId w:val="8"/>
        </w:numPr>
        <w:kinsoku/>
        <w:wordWrap/>
        <w:overflowPunct/>
        <w:topLinePunct w:val="0"/>
        <w:autoSpaceDE/>
        <w:autoSpaceDN w:val="0"/>
        <w:bidi w:val="0"/>
        <w:snapToGrid/>
        <w:spacing w:line="520" w:lineRule="exact"/>
        <w:ind w:left="0" w:leftChars="0" w:firstLine="560" w:firstLineChars="200"/>
        <w:jc w:val="both"/>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预测总成本低于实际支付成本。根据《资金平衡方案》，债券存续期（15年）项目成本1494.71万元，平均年成本为100万元左右（1494.71万元/15年），月成本在8.3万元左右，根据2023年下学期9月份运营情况来看，9月实际成本为14.63万元，月成本高出6.33万元，实际总成本约高出预测成本1000多万元。原因：主要是实际人员经费成本比预测成本高。根据《资金平衡方案》预测运营期定员人数为24人，根据区城南幼儿园提供的资料，实际现配备人数为44人，其中财政供养事业编制人员4人，</w:t>
      </w:r>
      <w:r>
        <w:rPr>
          <w:rFonts w:hint="eastAsia" w:ascii="宋体" w:hAnsi="宋体" w:eastAsia="宋体" w:cs="宋体"/>
          <w:sz w:val="28"/>
          <w:szCs w:val="28"/>
          <w:lang w:val="en-US" w:eastAsia="zh-CN"/>
        </w:rPr>
        <w:t>巴陵石化负担2人</w:t>
      </w:r>
      <w:r>
        <w:rPr>
          <w:rFonts w:hint="eastAsia" w:ascii="宋体" w:hAnsi="宋体" w:eastAsia="宋体" w:cs="宋体"/>
          <w:b w:val="0"/>
          <w:bCs w:val="0"/>
          <w:sz w:val="28"/>
          <w:szCs w:val="28"/>
          <w:highlight w:val="none"/>
          <w:lang w:val="en-US" w:eastAsia="zh-CN"/>
        </w:rPr>
        <w:t>，其他教职员工38人（专任教保人员33人），实际需承担工资及福利费用人数比预测人数多14人，人员增加，费用成本增加。</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jc w:val="both"/>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（3）2023年实际比预测的收入</w:t>
      </w:r>
      <w:r>
        <w:rPr>
          <w:rFonts w:hint="eastAsia" w:ascii="宋体" w:hAnsi="宋体" w:eastAsia="宋体" w:cs="宋体"/>
          <w:b w:val="0"/>
          <w:bCs w:val="0"/>
          <w:sz w:val="28"/>
          <w:szCs w:val="28"/>
          <w:highlight w:val="none"/>
          <w:lang w:val="en-US" w:eastAsia="zh-CN"/>
        </w:rPr>
        <w:t>减少、成本增加。</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jc w:val="both"/>
        <w:textAlignment w:val="center"/>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sz w:val="28"/>
          <w:szCs w:val="28"/>
          <w:highlight w:val="none"/>
          <w:lang w:val="en-US" w:eastAsia="zh-CN"/>
        </w:rPr>
        <w:t>2023年下学期</w:t>
      </w:r>
      <w:r>
        <w:rPr>
          <w:rFonts w:hint="eastAsia" w:ascii="宋体" w:hAnsi="宋体" w:eastAsia="宋体" w:cs="宋体"/>
          <w:b w:val="0"/>
          <w:bCs w:val="0"/>
          <w:color w:val="000000"/>
          <w:sz w:val="28"/>
          <w:szCs w:val="28"/>
          <w:highlight w:val="none"/>
          <w:lang w:val="en-US" w:eastAsia="zh-CN"/>
        </w:rPr>
        <w:t>实际保教费收入49.35万元，比</w:t>
      </w:r>
      <w:r>
        <w:rPr>
          <w:rFonts w:hint="eastAsia" w:ascii="宋体" w:hAnsi="宋体" w:eastAsia="宋体" w:cs="宋体"/>
          <w:b w:val="0"/>
          <w:bCs w:val="0"/>
          <w:sz w:val="28"/>
          <w:szCs w:val="28"/>
          <w:highlight w:val="none"/>
          <w:lang w:val="en-US" w:eastAsia="zh-CN"/>
        </w:rPr>
        <w:t>《资金平衡方案》</w:t>
      </w:r>
      <w:r>
        <w:rPr>
          <w:rFonts w:hint="eastAsia" w:ascii="宋体" w:hAnsi="宋体" w:eastAsia="宋体" w:cs="宋体"/>
          <w:b w:val="0"/>
          <w:bCs w:val="0"/>
          <w:color w:val="000000"/>
          <w:sz w:val="28"/>
          <w:szCs w:val="28"/>
          <w:highlight w:val="none"/>
          <w:lang w:val="en-US" w:eastAsia="zh-CN"/>
        </w:rPr>
        <w:t>预测收益151.20万元少收101.85万元，比预测计划少收67.36%。原因：一是实际招生人数</w:t>
      </w:r>
      <w:r>
        <w:rPr>
          <w:rFonts w:hint="eastAsia" w:ascii="宋体" w:hAnsi="宋体" w:eastAsia="宋体" w:cs="宋体"/>
          <w:b w:val="0"/>
          <w:bCs w:val="0"/>
          <w:sz w:val="28"/>
          <w:szCs w:val="28"/>
          <w:lang w:val="en-US" w:eastAsia="zh-CN"/>
        </w:rPr>
        <w:t>未达到预期，二是</w:t>
      </w:r>
      <w:r>
        <w:rPr>
          <w:rFonts w:hint="eastAsia" w:ascii="宋体" w:hAnsi="宋体" w:eastAsia="宋体" w:cs="宋体"/>
          <w:sz w:val="28"/>
          <w:szCs w:val="28"/>
          <w:lang w:val="en-US" w:eastAsia="zh-CN"/>
        </w:rPr>
        <w:t>伙食费用不需记入收入，三是保教费收入比预期低。</w:t>
      </w:r>
      <w:r>
        <w:rPr>
          <w:rFonts w:hint="eastAsia" w:ascii="宋体" w:hAnsi="宋体" w:eastAsia="宋体" w:cs="宋体"/>
          <w:b w:val="0"/>
          <w:bCs w:val="0"/>
          <w:sz w:val="28"/>
          <w:szCs w:val="28"/>
          <w:highlight w:val="none"/>
          <w:lang w:val="en-US" w:eastAsia="zh-CN"/>
        </w:rPr>
        <w:t>2023年9月</w:t>
      </w:r>
      <w:r>
        <w:rPr>
          <w:rFonts w:hint="eastAsia" w:ascii="宋体" w:hAnsi="宋体" w:eastAsia="宋体" w:cs="宋体"/>
          <w:b w:val="0"/>
          <w:bCs w:val="0"/>
          <w:color w:val="000000"/>
          <w:sz w:val="28"/>
          <w:szCs w:val="28"/>
          <w:highlight w:val="none"/>
          <w:lang w:val="en-US" w:eastAsia="zh-CN"/>
        </w:rPr>
        <w:t>实际成本支出</w:t>
      </w:r>
      <w:r>
        <w:rPr>
          <w:rFonts w:hint="eastAsia" w:ascii="宋体" w:hAnsi="宋体" w:eastAsia="宋体" w:cs="宋体"/>
          <w:b w:val="0"/>
          <w:bCs w:val="0"/>
          <w:sz w:val="28"/>
          <w:szCs w:val="28"/>
          <w:highlight w:val="none"/>
          <w:lang w:val="en-US" w:eastAsia="zh-CN"/>
        </w:rPr>
        <w:t>14.63万元，按6个月计算，2023年下半年成本为87.78万元，比预测成本44.54，高出43.24万元，高出97.08%。原因：主要是工作人员比预期人数增加，所以人员工资及福利费用成本比预期增多。</w:t>
      </w:r>
    </w:p>
    <w:p>
      <w:pPr>
        <w:keepNext w:val="0"/>
        <w:keepLines w:val="0"/>
        <w:pageBreakBefore w:val="0"/>
        <w:widowControl w:val="0"/>
        <w:numPr>
          <w:ilvl w:val="0"/>
          <w:numId w:val="0"/>
        </w:numPr>
        <w:kinsoku/>
        <w:wordWrap/>
        <w:overflowPunct/>
        <w:topLinePunct w:val="0"/>
        <w:autoSpaceDE/>
        <w:autoSpaceDN w:val="0"/>
        <w:bidi w:val="0"/>
        <w:snapToGrid/>
        <w:spacing w:line="520" w:lineRule="exact"/>
        <w:jc w:val="both"/>
        <w:textAlignment w:val="center"/>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    9</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lang w:val="en-US" w:eastAsia="zh-CN"/>
        </w:rPr>
        <w:t>招生人数将低于预期，</w:t>
      </w:r>
      <w:r>
        <w:rPr>
          <w:rFonts w:hint="eastAsia" w:ascii="宋体" w:hAnsi="宋体" w:eastAsia="宋体" w:cs="宋体"/>
          <w:b/>
          <w:bCs/>
          <w:sz w:val="28"/>
          <w:szCs w:val="28"/>
          <w:highlight w:val="none"/>
          <w:lang w:val="en-US" w:eastAsia="zh-CN"/>
        </w:rPr>
        <w:t>教育资源未得到充分利用</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0" w:firstLineChars="200"/>
        <w:jc w:val="both"/>
        <w:textAlignment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实际招生人数将低于预期，影响后期收入的实现。根据相关统计数据，云溪区人口出生率近年来均呈逐年递减趋势，2023年下学期在新园开园设施设备条件优等、环境优美、价格最低的情况下，仅招生8个班、幼儿人数236人，仅为12个班360人计划的66.67%、65.55%;招生人数将低于预期，后期可能面临招生不满、学位空缺的问题，影响后期收入的实现。</w:t>
      </w:r>
    </w:p>
    <w:p>
      <w:pPr>
        <w:keepNext w:val="0"/>
        <w:keepLines w:val="0"/>
        <w:pageBreakBefore w:val="0"/>
        <w:widowControl w:val="0"/>
        <w:numPr>
          <w:ilvl w:val="0"/>
          <w:numId w:val="0"/>
        </w:numPr>
        <w:kinsoku/>
        <w:wordWrap/>
        <w:overflowPunct/>
        <w:topLinePunct w:val="0"/>
        <w:autoSpaceDE/>
        <w:autoSpaceDN w:val="0"/>
        <w:bidi w:val="0"/>
        <w:snapToGrid/>
        <w:spacing w:line="520" w:lineRule="exact"/>
        <w:ind w:firstLine="562" w:firstLineChars="200"/>
        <w:jc w:val="both"/>
        <w:textAlignment w:val="center"/>
        <w:rPr>
          <w:rFonts w:hint="default" w:ascii="宋体" w:hAnsi="宋体" w:eastAsia="宋体" w:cs="宋体"/>
          <w:b w:val="0"/>
          <w:bCs w:val="0"/>
          <w:sz w:val="28"/>
          <w:szCs w:val="28"/>
          <w:highlight w:val="none"/>
          <w:lang w:val="en-US" w:eastAsia="zh-CN"/>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val="en-US" w:eastAsia="zh-CN"/>
        </w:rPr>
        <w:t>部分资产有闲置，</w:t>
      </w:r>
      <w:r>
        <w:rPr>
          <w:rFonts w:hint="eastAsia" w:ascii="宋体" w:hAnsi="宋体" w:eastAsia="宋体" w:cs="宋体"/>
          <w:b/>
          <w:bCs/>
          <w:sz w:val="28"/>
          <w:szCs w:val="28"/>
          <w:highlight w:val="none"/>
          <w:lang w:val="en-US" w:eastAsia="zh-CN"/>
        </w:rPr>
        <w:t>教育资源未得到充分利用。</w:t>
      </w:r>
      <w:r>
        <w:rPr>
          <w:rFonts w:hint="eastAsia" w:ascii="宋体" w:hAnsi="宋体" w:eastAsia="宋体" w:cs="宋体"/>
          <w:b w:val="0"/>
          <w:bCs w:val="0"/>
          <w:color w:val="000000"/>
          <w:sz w:val="28"/>
          <w:szCs w:val="28"/>
          <w:lang w:val="en-US" w:eastAsia="zh-CN"/>
        </w:rPr>
        <w:t>2023年下学期招生为8个班236人，4个教室</w:t>
      </w:r>
      <w:r>
        <w:rPr>
          <w:rFonts w:hint="eastAsia" w:ascii="宋体" w:hAnsi="宋体" w:eastAsia="宋体" w:cs="宋体"/>
          <w:b w:val="0"/>
          <w:bCs w:val="0"/>
          <w:color w:val="000000"/>
          <w:sz w:val="28"/>
          <w:szCs w:val="28"/>
          <w:lang w:val="en-US" w:eastAsia="zh-CN"/>
        </w:rPr>
        <w:t>、设施、设备闲置，未得到充分利用；已配备的教职员工工作量未达到饱和状态，</w:t>
      </w:r>
      <w:r>
        <w:rPr>
          <w:rFonts w:hint="eastAsia" w:ascii="宋体" w:hAnsi="宋体" w:eastAsia="宋体" w:cs="宋体"/>
          <w:b w:val="0"/>
          <w:bCs w:val="0"/>
          <w:sz w:val="28"/>
          <w:szCs w:val="28"/>
          <w:highlight w:val="none"/>
          <w:lang w:val="en-US" w:eastAsia="zh-CN"/>
        </w:rPr>
        <w:t>教育资源未得到充分利用。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10.监管不到位，未建立应对的债券风险防范措施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监管部门未及时监管运营期可能发生的招生生源不足、收费定价较低、运营成本增加将影响收益达不到预测标准、从而导致债券还本付息出现的债务风险问题，未根据实际情况及时建立应对的防范措施及预案。原因：投入运营时间不长，正在制订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（二）相关建议</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1.加强</w:t>
      </w:r>
      <w:r>
        <w:rPr>
          <w:rFonts w:hint="eastAsia" w:ascii="宋体" w:hAnsi="宋体" w:eastAsia="宋体" w:cs="宋体"/>
          <w:b/>
          <w:bCs/>
          <w:sz w:val="28"/>
          <w:szCs w:val="28"/>
        </w:rPr>
        <w:t>绩效</w:t>
      </w:r>
      <w:r>
        <w:rPr>
          <w:rFonts w:hint="eastAsia" w:ascii="宋体" w:hAnsi="宋体" w:eastAsia="宋体" w:cs="宋体"/>
          <w:b/>
          <w:bCs/>
          <w:sz w:val="28"/>
          <w:szCs w:val="28"/>
          <w:lang w:val="en-US" w:eastAsia="zh-CN"/>
        </w:rPr>
        <w:t>管理</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按要求设置绩效指标</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sz w:val="28"/>
          <w:szCs w:val="28"/>
        </w:rPr>
      </w:pPr>
      <w:r>
        <w:rPr>
          <w:rFonts w:hint="eastAsia" w:ascii="宋体" w:hAnsi="宋体" w:eastAsia="宋体" w:cs="宋体"/>
          <w:sz w:val="28"/>
          <w:szCs w:val="28"/>
          <w:lang w:val="en-US" w:eastAsia="zh-CN"/>
        </w:rPr>
        <w:t>相关单位应</w:t>
      </w:r>
      <w:r>
        <w:rPr>
          <w:rFonts w:hint="eastAsia" w:ascii="宋体" w:hAnsi="宋体" w:eastAsia="宋体" w:cs="宋体"/>
          <w:sz w:val="28"/>
          <w:szCs w:val="28"/>
        </w:rPr>
        <w:t>严格按照湖南省财政厅印发的《湖南省政府债券项目绩效管理暂行办法》要求，将绩效目标设置作为安排专项债券资金的前置条件，</w:t>
      </w:r>
      <w:r>
        <w:rPr>
          <w:rFonts w:hint="eastAsia" w:ascii="宋体" w:hAnsi="宋体" w:eastAsia="宋体" w:cs="宋体"/>
          <w:sz w:val="28"/>
          <w:szCs w:val="28"/>
          <w:lang w:val="en-US" w:eastAsia="zh-CN"/>
        </w:rPr>
        <w:t>经批复的绩效目标作为后续开展绩效运行监控、绩效评价、绩效评价结果应用等工作的重要依据。预算单位申报债券项目资金时同时申报绩效目标，并按照区财政绩效管理要求，每年对项目绩效目标完成情况以及债券资金使用情况等进行单位自评；自评绩效指标</w:t>
      </w:r>
      <w:r>
        <w:rPr>
          <w:rFonts w:hint="eastAsia" w:ascii="宋体" w:hAnsi="宋体" w:eastAsia="宋体" w:cs="宋体"/>
          <w:sz w:val="28"/>
          <w:szCs w:val="28"/>
        </w:rPr>
        <w:t>设置</w:t>
      </w:r>
      <w:r>
        <w:rPr>
          <w:rFonts w:hint="eastAsia" w:ascii="宋体" w:hAnsi="宋体" w:eastAsia="宋体" w:cs="宋体"/>
          <w:sz w:val="28"/>
          <w:szCs w:val="28"/>
          <w:lang w:val="en-US" w:eastAsia="zh-CN"/>
        </w:rPr>
        <w:t>应细化、量化、完整、规范，能完整反映</w:t>
      </w:r>
      <w:r>
        <w:rPr>
          <w:rFonts w:hint="eastAsia" w:ascii="宋体" w:hAnsi="宋体" w:eastAsia="宋体" w:cs="宋体"/>
          <w:b w:val="0"/>
          <w:bCs w:val="0"/>
          <w:sz w:val="28"/>
          <w:szCs w:val="28"/>
          <w:highlight w:val="none"/>
          <w:lang w:val="en-US" w:eastAsia="zh-CN"/>
        </w:rPr>
        <w:t>政府债券项目在全生命周期内及每一年度内预期达到的产出和效果。</w:t>
      </w:r>
    </w:p>
    <w:p>
      <w:pPr>
        <w:keepNext w:val="0"/>
        <w:keepLines w:val="0"/>
        <w:pageBreakBefore w:val="0"/>
        <w:widowControl w:val="0"/>
        <w:numPr>
          <w:ilvl w:val="0"/>
          <w:numId w:val="0"/>
        </w:numPr>
        <w:kinsoku/>
        <w:wordWrap/>
        <w:overflowPunct/>
        <w:topLinePunct w:val="0"/>
        <w:autoSpaceDE/>
        <w:bidi w:val="0"/>
        <w:adjustRightInd/>
        <w:snapToGrid/>
        <w:spacing w:line="520" w:lineRule="exact"/>
        <w:ind w:firstLine="562" w:firstLineChars="200"/>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w:t>
      </w:r>
      <w:r>
        <w:rPr>
          <w:rFonts w:hint="eastAsia" w:ascii="宋体" w:hAnsi="宋体" w:eastAsia="宋体" w:cs="宋体"/>
          <w:b/>
          <w:bCs/>
          <w:kern w:val="2"/>
          <w:sz w:val="28"/>
          <w:szCs w:val="28"/>
          <w:highlight w:val="none"/>
          <w:lang w:val="en-US" w:eastAsia="zh-CN" w:bidi="ar-SA"/>
        </w:rPr>
        <w:t>按照规定的程序补办相关手续</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如</w:t>
      </w:r>
      <w:r>
        <w:rPr>
          <w:rFonts w:hint="eastAsia" w:ascii="宋体" w:hAnsi="宋体" w:eastAsia="宋体" w:cs="宋体"/>
          <w:b w:val="0"/>
          <w:bCs w:val="0"/>
          <w:sz w:val="28"/>
          <w:szCs w:val="28"/>
          <w:highlight w:val="none"/>
          <w:lang w:val="en-US" w:eastAsia="zh-CN"/>
        </w:rPr>
        <w:t>因特殊情况，已经批复的立项项目建设规模及内容发生较大改变时，项目相关单位应</w:t>
      </w:r>
      <w:r>
        <w:rPr>
          <w:rFonts w:hint="eastAsia" w:ascii="宋体" w:hAnsi="宋体" w:eastAsia="宋体" w:cs="宋体"/>
          <w:b w:val="0"/>
          <w:bCs w:val="0"/>
          <w:kern w:val="2"/>
          <w:sz w:val="28"/>
          <w:szCs w:val="28"/>
          <w:highlight w:val="none"/>
          <w:lang w:val="en-US" w:eastAsia="zh-CN" w:bidi="ar-SA"/>
        </w:rPr>
        <w:t>按照《政府投资条例》规定及立项批复要求，按照规定的程序报原审批部门审批，办理相关手续。在总建筑面积发生较大变更时，投资概算应根据实际情况进行相应调整，如不需调整，则要进行必要的情况说明。防止批大建小，擅自违规提高建设标准，从面增加财政资金负担。</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3.增收节支，争取运营收益达到预测标准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加强宣传，争取后期招生人数达标。区城南幼儿园应该加大宣传力度，让更多的幼儿家长了解城南幼儿园运营情况，让更多符合条件的幼儿享受区城南幼儿园良好的学习和生活环境，争取每年幼儿班级从现有的8个班、236人，达到12个班360人，从而</w:t>
      </w:r>
      <w:r>
        <w:rPr>
          <w:rFonts w:hint="eastAsia" w:ascii="宋体" w:hAnsi="宋体" w:eastAsia="宋体" w:cs="宋体"/>
          <w:b w:val="0"/>
          <w:bCs w:val="0"/>
          <w:kern w:val="2"/>
          <w:sz w:val="28"/>
          <w:szCs w:val="28"/>
          <w:highlight w:val="none"/>
          <w:lang w:val="en-US" w:eastAsia="zh-CN" w:bidi="ar-SA"/>
        </w:rPr>
        <w:t>增加保教费收入，</w:t>
      </w:r>
      <w:r>
        <w:rPr>
          <w:rFonts w:hint="eastAsia" w:ascii="宋体" w:hAnsi="宋体" w:eastAsia="宋体" w:cs="宋体"/>
          <w:b w:val="0"/>
          <w:bCs w:val="0"/>
          <w:kern w:val="2"/>
          <w:sz w:val="28"/>
          <w:szCs w:val="28"/>
          <w:highlight w:val="none"/>
          <w:lang w:val="en-US" w:eastAsia="zh-CN" w:bidi="ar-SA"/>
        </w:rPr>
        <w:t>使教室、设施、设备利用率达到100%。</w:t>
      </w:r>
      <w:r>
        <w:rPr>
          <w:rFonts w:hint="eastAsia" w:ascii="宋体" w:hAnsi="宋体" w:eastAsia="宋体" w:cs="宋体"/>
          <w:b w:val="0"/>
          <w:bCs w:val="0"/>
          <w:kern w:val="2"/>
          <w:sz w:val="28"/>
          <w:szCs w:val="28"/>
          <w:highlight w:val="none"/>
          <w:lang w:val="en-US" w:eastAsia="zh-CN" w:bidi="ar-SA"/>
        </w:rPr>
        <w:t>区城南幼儿园</w:t>
      </w:r>
      <w:r>
        <w:rPr>
          <w:rFonts w:hint="eastAsia" w:ascii="宋体" w:hAnsi="宋体" w:eastAsia="宋体" w:cs="宋体"/>
          <w:b w:val="0"/>
          <w:bCs w:val="0"/>
          <w:kern w:val="2"/>
          <w:sz w:val="28"/>
          <w:szCs w:val="28"/>
          <w:highlight w:val="none"/>
          <w:lang w:val="en-US" w:eastAsia="zh-CN" w:bidi="ar-SA"/>
        </w:rPr>
        <w:t>通过教学质量及服务的提高，争取</w:t>
      </w:r>
      <w:r>
        <w:rPr>
          <w:rFonts w:hint="eastAsia" w:ascii="宋体" w:hAnsi="宋体" w:eastAsia="宋体" w:cs="宋体"/>
          <w:b w:val="0"/>
          <w:bCs w:val="0"/>
          <w:kern w:val="2"/>
          <w:sz w:val="28"/>
          <w:szCs w:val="28"/>
          <w:highlight w:val="none"/>
          <w:lang w:val="en-US" w:eastAsia="zh-CN" w:bidi="ar-SA"/>
        </w:rPr>
        <w:t>评定为</w:t>
      </w:r>
      <w:r>
        <w:rPr>
          <w:rFonts w:hint="eastAsia" w:ascii="宋体" w:hAnsi="宋体" w:eastAsia="宋体" w:cs="宋体"/>
          <w:b w:val="0"/>
          <w:bCs w:val="0"/>
          <w:kern w:val="2"/>
          <w:sz w:val="28"/>
          <w:szCs w:val="28"/>
          <w:highlight w:val="none"/>
          <w:lang w:val="en-US" w:eastAsia="zh-CN" w:bidi="ar-SA"/>
        </w:rPr>
        <w:t>省市级幼儿园等级，合理提升收费标准，</w:t>
      </w:r>
      <w:r>
        <w:rPr>
          <w:rFonts w:hint="eastAsia" w:ascii="宋体" w:hAnsi="宋体" w:eastAsia="宋体" w:cs="宋体"/>
          <w:b w:val="0"/>
          <w:bCs w:val="0"/>
          <w:sz w:val="28"/>
          <w:szCs w:val="28"/>
          <w:highlight w:val="none"/>
          <w:lang w:val="en-US" w:eastAsia="zh-CN"/>
        </w:rPr>
        <w:t>争取运营收入达到预测标准。</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2）降低成本，合理配置教职工岗位人数。根据现有招生人数，按教育部《幼儿园教职工配备标准（暂行）》配备专任教师、保养员及其他相关人员，减少超标人员，降低人员工资及福利支出，待达到招生12个班级360人，再按相关文件要求合理配备教职工。加强水、电设施的管理，防止浪费水电资源，厉行节约、从严从紧节省日用办公品等低值易耗品开支，从而降低运营成本，争取运营收益达到预测标准，防止新增政府隐性债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4.加强财务核算，未经批准不得擅自确定收费标准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val="0"/>
          <w:bCs w:val="0"/>
          <w:sz w:val="28"/>
          <w:szCs w:val="28"/>
          <w:lang w:val="en-US" w:eastAsia="zh-CN"/>
        </w:rPr>
        <w:t>区城南幼儿园应加强运营管理，</w:t>
      </w:r>
      <w:r>
        <w:rPr>
          <w:rFonts w:hint="eastAsia" w:ascii="宋体" w:hAnsi="宋体" w:eastAsia="宋体" w:cs="宋体"/>
          <w:b w:val="0"/>
          <w:bCs w:val="0"/>
          <w:color w:val="auto"/>
          <w:sz w:val="28"/>
          <w:szCs w:val="28"/>
          <w:lang w:val="en-US" w:eastAsia="zh-CN"/>
        </w:rPr>
        <w:t>制订</w:t>
      </w:r>
      <w:r>
        <w:rPr>
          <w:rFonts w:hint="eastAsia" w:ascii="宋体" w:hAnsi="宋体" w:eastAsia="宋体" w:cs="宋体"/>
          <w:b w:val="0"/>
          <w:bCs w:val="0"/>
          <w:sz w:val="28"/>
          <w:szCs w:val="28"/>
          <w:lang w:val="en-US" w:eastAsia="zh-CN"/>
        </w:rPr>
        <w:t>运营管理办法及制度；按行政事业</w:t>
      </w:r>
      <w:r>
        <w:rPr>
          <w:rFonts w:hint="eastAsia" w:ascii="宋体" w:hAnsi="宋体" w:eastAsia="宋体" w:cs="宋体"/>
          <w:color w:val="000000"/>
          <w:sz w:val="28"/>
          <w:szCs w:val="28"/>
          <w:lang w:val="en-US" w:eastAsia="zh-CN"/>
        </w:rPr>
        <w:t>财务制度管理办法，建立帐户，项目收支及时记帐，按月出具会计报表，全面、真实、及时地反映运营期财务收支状况。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区城南幼儿园应严格执行发改局、区财政局、区教体局《关于岳阳市云溪区公办幼儿园保教费有关事项的通知》（岳云发改[2022]51号）“新建公办幼儿园（含设立分园）暂未定级的，由区县教育行政部门提出认定等级及试行收费标准意见，经区发改、财政部门审核后执行，待定级后按程序确定正式收费标准”的规定，未经批准不得擅自确定收费标准。</w:t>
      </w:r>
    </w:p>
    <w:p>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jc w:val="both"/>
        <w:textAlignment w:val="center"/>
        <w:rPr>
          <w:rFonts w:hint="eastAsia" w:ascii="宋体" w:hAnsi="宋体" w:eastAsia="宋体" w:cs="宋体"/>
          <w:color w:val="000000"/>
          <w:sz w:val="28"/>
          <w:szCs w:val="28"/>
        </w:rPr>
      </w:pPr>
      <w:r>
        <w:rPr>
          <w:rFonts w:hint="eastAsia" w:ascii="宋体" w:hAnsi="宋体" w:eastAsia="宋体" w:cs="宋体"/>
          <w:b/>
          <w:bCs/>
          <w:color w:val="auto"/>
          <w:sz w:val="28"/>
          <w:szCs w:val="28"/>
          <w:lang w:val="en-US" w:eastAsia="zh-CN"/>
        </w:rPr>
        <w:t>5.制订</w:t>
      </w:r>
      <w:r>
        <w:rPr>
          <w:rFonts w:hint="eastAsia" w:ascii="宋体" w:hAnsi="宋体" w:eastAsia="宋体" w:cs="宋体"/>
          <w:b/>
          <w:bCs/>
          <w:color w:val="000000"/>
          <w:sz w:val="28"/>
          <w:szCs w:val="28"/>
        </w:rPr>
        <w:t>风控机制及措施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严控债券资金风险</w:t>
      </w:r>
    </w:p>
    <w:p>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sz w:val="28"/>
          <w:szCs w:val="28"/>
          <w:lang w:val="en-US" w:eastAsia="zh-CN"/>
        </w:rPr>
      </w:pPr>
      <w:r>
        <w:rPr>
          <w:rFonts w:hint="eastAsia" w:ascii="宋体" w:hAnsi="宋体" w:eastAsia="宋体" w:cs="宋体"/>
          <w:color w:val="000000"/>
          <w:sz w:val="28"/>
          <w:szCs w:val="28"/>
        </w:rPr>
        <w:t>项目相关单位</w:t>
      </w:r>
      <w:r>
        <w:rPr>
          <w:rFonts w:hint="eastAsia" w:ascii="宋体" w:hAnsi="宋体" w:eastAsia="宋体" w:cs="宋体"/>
          <w:color w:val="000000"/>
          <w:sz w:val="28"/>
          <w:szCs w:val="28"/>
          <w:lang w:val="en-US" w:eastAsia="zh-CN"/>
        </w:rPr>
        <w:t>应按</w:t>
      </w:r>
      <w:r>
        <w:rPr>
          <w:rFonts w:hint="eastAsia" w:ascii="宋体" w:hAnsi="宋体" w:eastAsia="宋体" w:cs="宋体"/>
          <w:color w:val="000000"/>
          <w:sz w:val="28"/>
          <w:szCs w:val="28"/>
        </w:rPr>
        <w:t>《湖南省政府债务项目绩效管理暂行办法》</w:t>
      </w:r>
      <w:r>
        <w:rPr>
          <w:rFonts w:hint="eastAsia" w:ascii="宋体" w:hAnsi="宋体" w:eastAsia="宋体" w:cs="宋体"/>
          <w:color w:val="000000"/>
          <w:sz w:val="28"/>
          <w:szCs w:val="28"/>
          <w:lang w:val="en-US" w:eastAsia="zh-CN"/>
        </w:rPr>
        <w:t>要求，</w:t>
      </w:r>
      <w:r>
        <w:rPr>
          <w:rFonts w:hint="eastAsia" w:ascii="宋体" w:hAnsi="宋体" w:eastAsia="宋体" w:cs="宋体"/>
          <w:color w:val="000000"/>
          <w:sz w:val="28"/>
          <w:szCs w:val="28"/>
        </w:rPr>
        <w:t>建立债务风险动态监测机制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对项目收益不能达到预期目标的，项目单位应该认真分析、研究制订</w:t>
      </w:r>
      <w:r>
        <w:rPr>
          <w:rFonts w:hint="eastAsia" w:ascii="宋体" w:hAnsi="宋体" w:eastAsia="宋体" w:cs="宋体"/>
          <w:color w:val="000000"/>
          <w:sz w:val="28"/>
          <w:szCs w:val="28"/>
        </w:rPr>
        <w:t>应对的风险预案及防范措施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严格控制债券资金运营期潜在</w:t>
      </w:r>
      <w:r>
        <w:rPr>
          <w:rFonts w:hint="eastAsia" w:ascii="宋体" w:hAnsi="宋体" w:eastAsia="宋体" w:cs="宋体"/>
          <w:color w:val="000000"/>
          <w:sz w:val="28"/>
          <w:szCs w:val="28"/>
        </w:rPr>
        <w:t>风险</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保障项目单位能按期还本付息。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highlight w:val="none"/>
          <w:lang w:val="en-US" w:eastAsia="zh-CN"/>
        </w:rPr>
        <w:t>6.加快办理项目竣工手续</w:t>
      </w:r>
      <w:r>
        <w:rPr>
          <w:rFonts w:hint="eastAsia" w:ascii="宋体" w:hAnsi="宋体" w:eastAsia="宋体" w:cs="宋体"/>
          <w:b w:val="0"/>
          <w:bCs w:val="0"/>
          <w:sz w:val="28"/>
          <w:szCs w:val="28"/>
          <w:highlight w:val="none"/>
          <w:lang w:val="en-US" w:eastAsia="zh-CN"/>
        </w:rPr>
        <w:t>及</w:t>
      </w:r>
      <w:r>
        <w:rPr>
          <w:rFonts w:hint="eastAsia" w:ascii="宋体" w:hAnsi="宋体" w:eastAsia="宋体" w:cs="宋体"/>
          <w:b/>
          <w:bCs/>
          <w:color w:val="auto"/>
          <w:sz w:val="28"/>
          <w:szCs w:val="28"/>
          <w:lang w:val="en-US" w:eastAsia="zh-CN"/>
        </w:rPr>
        <w:t>项目工程预算、决算审计工作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项目已于2023年9月1日交付使用，项目业主单位应督促施工单位尽快完成竣工验收备案登记、消防验收手续。</w:t>
      </w:r>
      <w:r>
        <w:rPr>
          <w:rFonts w:hint="eastAsia" w:ascii="宋体" w:hAnsi="宋体" w:eastAsia="宋体" w:cs="宋体"/>
          <w:b w:val="0"/>
          <w:bCs w:val="0"/>
          <w:color w:val="auto"/>
          <w:sz w:val="28"/>
          <w:szCs w:val="28"/>
          <w:lang w:val="en-US" w:eastAsia="zh-CN"/>
        </w:rPr>
        <w:t>相关单位应加强对项目工程预算、决算审计工作，应关注项目实际工程量、项目立项建筑面积与实际建筑面积变更对投入资金的影响，加快工程决算及审计进程。项目工程结算时注意剔除区教体局前期费用337.00万元，防止重复计算工程费用。</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left="700" w:leftChars="0"/>
        <w:jc w:val="both"/>
        <w:textAlignment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7.加强项目资产管理，及时办理交接手续</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560" w:firstLineChars="20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项目建设单位与区城南幼儿园及时补办资产交接手续，办理资产接收证书、总资产移交清单；办理产权登记手续，</w:t>
      </w:r>
      <w:r>
        <w:rPr>
          <w:rFonts w:hint="eastAsia" w:ascii="宋体" w:hAnsi="宋体" w:eastAsia="宋体" w:cs="宋体"/>
          <w:b w:val="0"/>
          <w:bCs w:val="0"/>
          <w:color w:val="auto"/>
          <w:sz w:val="28"/>
          <w:szCs w:val="28"/>
          <w:highlight w:val="none"/>
          <w:lang w:val="en-US" w:eastAsia="zh-CN"/>
        </w:rPr>
        <w:t>加强国有资产管理。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sz w:val="28"/>
          <w:szCs w:val="28"/>
          <w:lang w:val="en-US" w:eastAsia="zh-CN"/>
        </w:rPr>
        <w:t>六、其他需要说明的问题</w:t>
      </w:r>
    </w:p>
    <w:p>
      <w:pPr>
        <w:widowControl/>
        <w:shd w:val="clear" w:color="auto" w:fill="FFFFFF"/>
        <w:spacing w:line="660" w:lineRule="exact"/>
        <w:ind w:firstLine="602" w:firstLineChars="200"/>
        <w:rPr>
          <w:rFonts w:hint="eastAsia" w:ascii="楷体_GB2312" w:hAnsi="Times New Roman" w:eastAsia="楷体_GB2312" w:cs="Times New Roman"/>
          <w:b/>
          <w:kern w:val="0"/>
          <w:sz w:val="30"/>
          <w:szCs w:val="30"/>
          <w:lang w:val="en-US" w:eastAsia="zh-CN"/>
        </w:rPr>
      </w:pPr>
      <w:r>
        <w:rPr>
          <w:rFonts w:hint="eastAsia" w:ascii="楷体_GB2312" w:hAnsi="Times New Roman" w:eastAsia="楷体_GB2312" w:cs="Times New Roman"/>
          <w:b/>
          <w:kern w:val="0"/>
          <w:sz w:val="30"/>
          <w:szCs w:val="30"/>
          <w:lang w:val="en-US" w:eastAsia="zh-CN"/>
        </w:rPr>
        <w:t>（一）本报告的局限性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color w:val="auto"/>
          <w:kern w:val="2"/>
          <w:sz w:val="28"/>
          <w:szCs w:val="28"/>
          <w:lang w:val="en-US" w:eastAsia="zh-CN" w:bidi="ar-SA"/>
        </w:rPr>
        <w:t>本报告所基于的数据具有一定的局限性，主要体现在以下两个方面：一是本次评价所收集数据的真实性是基于各项目单位提供的资料具有真实性和可靠性，数据统计和分析工作是在假设所有信息都是在项目实施过程中实际发生的基础上进行的；二是本报告在对评价结果分析时所陈述的没有提供资料是指项目单位在评价期间未能及时向评价组提供所需资料，不代表项目单位在项目实施过程中没有收集或整理相关信息。 三是</w:t>
      </w:r>
      <w:r>
        <w:rPr>
          <w:rFonts w:hint="eastAsia" w:ascii="宋体" w:hAnsi="宋体" w:eastAsia="宋体" w:cs="宋体"/>
          <w:sz w:val="28"/>
          <w:szCs w:val="28"/>
        </w:rPr>
        <w:t>调查问卷属于被调查者的主观反馈，问卷措辞可能影响被调查者的回应，问卷题目也无法给出项目全貌，不能完全真实反映本项目实际效果</w:t>
      </w:r>
      <w:r>
        <w:rPr>
          <w:rFonts w:hint="eastAsia" w:ascii="宋体" w:hAnsi="宋体" w:eastAsia="宋体" w:cs="宋体"/>
          <w:sz w:val="28"/>
          <w:szCs w:val="28"/>
          <w:lang w:eastAsia="zh-CN"/>
        </w:rPr>
        <w:t>，</w:t>
      </w:r>
      <w:r>
        <w:rPr>
          <w:rFonts w:hint="eastAsia" w:ascii="宋体" w:hAnsi="宋体" w:eastAsia="宋体" w:cs="宋体"/>
          <w:sz w:val="28"/>
          <w:szCs w:val="28"/>
        </w:rPr>
        <w:t>其满意度调查受到</w:t>
      </w:r>
      <w:r>
        <w:rPr>
          <w:rFonts w:hint="eastAsia" w:ascii="宋体" w:hAnsi="宋体" w:eastAsia="宋体" w:cs="宋体"/>
          <w:sz w:val="28"/>
          <w:szCs w:val="28"/>
          <w:lang w:eastAsia="zh-CN"/>
        </w:rPr>
        <w:t>一定</w:t>
      </w:r>
      <w:r>
        <w:rPr>
          <w:rFonts w:hint="eastAsia" w:ascii="宋体" w:hAnsi="宋体" w:eastAsia="宋体" w:cs="宋体"/>
          <w:sz w:val="28"/>
          <w:szCs w:val="28"/>
        </w:rPr>
        <w:t>限制。</w:t>
      </w:r>
    </w:p>
    <w:p>
      <w:pPr>
        <w:keepNext w:val="0"/>
        <w:keepLines w:val="0"/>
        <w:pageBreakBefore w:val="0"/>
        <w:widowControl w:val="0"/>
        <w:shd w:val="clear" w:color="auto" w:fill="FFFFFF"/>
        <w:kinsoku/>
        <w:wordWrap/>
        <w:overflowPunct/>
        <w:topLinePunct w:val="0"/>
        <w:autoSpaceDE/>
        <w:bidi w:val="0"/>
        <w:snapToGrid/>
        <w:spacing w:line="520" w:lineRule="exact"/>
        <w:ind w:firstLine="602" w:firstLineChars="200"/>
        <w:jc w:val="both"/>
        <w:rPr>
          <w:rFonts w:hint="eastAsia" w:ascii="宋体" w:hAnsi="宋体" w:eastAsia="宋体" w:cs="宋体"/>
          <w:b/>
          <w:kern w:val="0"/>
          <w:sz w:val="28"/>
          <w:szCs w:val="28"/>
          <w:lang w:val="en-US" w:eastAsia="zh-CN"/>
        </w:rPr>
      </w:pPr>
      <w:r>
        <w:rPr>
          <w:rFonts w:hint="eastAsia" w:ascii="楷体_GB2312" w:hAnsi="Times New Roman" w:eastAsia="楷体_GB2312" w:cs="Times New Roman"/>
          <w:b/>
          <w:kern w:val="0"/>
          <w:sz w:val="30"/>
          <w:szCs w:val="30"/>
          <w:lang w:val="en-US" w:eastAsia="zh-CN"/>
        </w:rPr>
        <w:t>（二）本报告用途说明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本报告</w:t>
      </w:r>
      <w:r>
        <w:rPr>
          <w:rFonts w:hint="eastAsia" w:ascii="宋体" w:hAnsi="宋体" w:eastAsia="宋体" w:cs="宋体"/>
          <w:sz w:val="28"/>
          <w:szCs w:val="28"/>
        </w:rPr>
        <w:t>仅供</w:t>
      </w:r>
      <w:r>
        <w:rPr>
          <w:rFonts w:hint="eastAsia" w:ascii="宋体" w:hAnsi="宋体" w:eastAsia="宋体" w:cs="宋体"/>
          <w:sz w:val="28"/>
          <w:szCs w:val="28"/>
          <w:lang w:val="en-US" w:eastAsia="zh-CN"/>
        </w:rPr>
        <w:t>云溪区</w:t>
      </w:r>
      <w:r>
        <w:rPr>
          <w:rFonts w:hint="eastAsia" w:ascii="宋体" w:hAnsi="宋体" w:eastAsia="宋体" w:cs="宋体"/>
          <w:sz w:val="28"/>
          <w:szCs w:val="28"/>
        </w:rPr>
        <w:t>财政局</w:t>
      </w:r>
      <w:r>
        <w:rPr>
          <w:rFonts w:hint="eastAsia" w:ascii="宋体" w:hAnsi="宋体" w:eastAsia="宋体" w:cs="宋体"/>
          <w:sz w:val="28"/>
          <w:szCs w:val="28"/>
          <w:lang w:val="en-US" w:eastAsia="zh-CN"/>
        </w:rPr>
        <w:t>区城南幼儿园建设债券资金项目</w:t>
      </w:r>
      <w:r>
        <w:rPr>
          <w:rFonts w:hint="eastAsia" w:ascii="宋体" w:hAnsi="宋体" w:eastAsia="宋体" w:cs="宋体"/>
          <w:sz w:val="28"/>
          <w:szCs w:val="28"/>
          <w:lang w:eastAsia="zh-CN"/>
        </w:rPr>
        <w:t>绩效评价</w:t>
      </w:r>
      <w:r>
        <w:rPr>
          <w:rFonts w:hint="eastAsia" w:ascii="宋体" w:hAnsi="宋体" w:eastAsia="宋体" w:cs="宋体"/>
          <w:sz w:val="28"/>
          <w:szCs w:val="28"/>
          <w:lang w:val="en-US" w:eastAsia="zh-CN"/>
        </w:rPr>
        <w:t>所用</w:t>
      </w:r>
      <w:r>
        <w:rPr>
          <w:rFonts w:hint="eastAsia" w:ascii="宋体" w:hAnsi="宋体" w:eastAsia="宋体" w:cs="宋体"/>
          <w:sz w:val="28"/>
          <w:szCs w:val="28"/>
          <w:lang w:eastAsia="zh-CN"/>
        </w:rPr>
        <w:t>，不能作为其他用途。因使用不当造成任何后果与本报告</w:t>
      </w:r>
      <w:r>
        <w:rPr>
          <w:rFonts w:hint="eastAsia" w:ascii="宋体" w:hAnsi="宋体" w:eastAsia="宋体" w:cs="宋体"/>
          <w:sz w:val="28"/>
          <w:szCs w:val="28"/>
        </w:rPr>
        <w:t>执业注册会计师及本事务所无关。</w:t>
      </w:r>
    </w:p>
    <w:p>
      <w:pPr>
        <w:pStyle w:val="21"/>
        <w:keepNext w:val="0"/>
        <w:keepLines w:val="0"/>
        <w:pageBreakBefore w:val="0"/>
        <w:widowControl w:val="0"/>
        <w:kinsoku/>
        <w:wordWrap/>
        <w:overflowPunct/>
        <w:topLinePunct w:val="0"/>
        <w:autoSpaceDE/>
        <w:bidi w:val="0"/>
        <w:snapToGrid/>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七、附件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1.云溪区城南幼儿园专项债券项目资金绩效评价指标体系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t>云溪区城南幼儿园专项债券项目资金绩效评价</w:t>
      </w:r>
      <w:r>
        <w:rPr>
          <w:rFonts w:hint="eastAsia" w:ascii="宋体" w:hAnsi="宋体" w:eastAsia="宋体" w:cs="宋体"/>
          <w:sz w:val="28"/>
          <w:szCs w:val="28"/>
          <w:lang w:val="en-US" w:eastAsia="zh-CN"/>
        </w:rPr>
        <w:t>评分表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3.绩效评价工作小组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000000"/>
          <w:sz w:val="28"/>
          <w:szCs w:val="28"/>
        </w:rPr>
      </w:pPr>
      <w:r>
        <w:rPr>
          <w:rFonts w:hint="eastAsia" w:ascii="宋体" w:hAnsi="宋体" w:eastAsia="宋体" w:cs="宋体"/>
          <w:sz w:val="28"/>
          <w:szCs w:val="28"/>
          <w:lang w:val="en-US" w:eastAsia="zh-CN"/>
        </w:rPr>
        <w:t>4.问卷调查表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5.区城南幼儿园债券资金还本付息预测情况表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6.区城南幼儿园项目收入预测表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7.区城南幼儿园项目运营成本及税费测算表</w:t>
      </w:r>
    </w:p>
    <w:p>
      <w:pPr>
        <w:spacing w:line="300" w:lineRule="auto"/>
        <w:rPr>
          <w:rFonts w:hint="eastAsia" w:ascii="宋体" w:hAnsi="宋体"/>
          <w:color w:val="000000"/>
          <w:sz w:val="28"/>
          <w:szCs w:val="28"/>
        </w:rPr>
      </w:pPr>
    </w:p>
    <w:p>
      <w:pPr>
        <w:spacing w:line="300" w:lineRule="auto"/>
        <w:ind w:firstLine="840" w:firstLineChars="300"/>
        <w:rPr>
          <w:rFonts w:hint="eastAsia" w:ascii="宋体" w:hAnsi="宋体"/>
          <w:color w:val="000000"/>
          <w:sz w:val="28"/>
          <w:szCs w:val="28"/>
        </w:rPr>
      </w:pPr>
      <w:r>
        <w:rPr>
          <w:rFonts w:hint="eastAsia" w:ascii="宋体" w:hAnsi="宋体"/>
          <w:color w:val="000000"/>
          <w:sz w:val="28"/>
          <w:szCs w:val="28"/>
        </w:rPr>
        <w:t>湖南恒兴联合                 中国注册会计师:</w:t>
      </w:r>
    </w:p>
    <w:p>
      <w:pPr>
        <w:spacing w:line="300" w:lineRule="auto"/>
        <w:ind w:firstLine="560" w:firstLineChars="200"/>
        <w:rPr>
          <w:rFonts w:hint="eastAsia" w:ascii="宋体" w:hAnsi="宋体"/>
          <w:color w:val="000000"/>
          <w:sz w:val="28"/>
          <w:szCs w:val="28"/>
        </w:rPr>
      </w:pPr>
    </w:p>
    <w:p>
      <w:pPr>
        <w:spacing w:line="300" w:lineRule="auto"/>
        <w:ind w:firstLine="840" w:firstLineChars="300"/>
        <w:rPr>
          <w:rFonts w:hint="eastAsia" w:ascii="宋体" w:hAnsi="宋体"/>
          <w:sz w:val="28"/>
          <w:szCs w:val="28"/>
        </w:rPr>
      </w:pPr>
      <w:r>
        <w:rPr>
          <w:rFonts w:hint="eastAsia" w:ascii="宋体" w:hAnsi="宋体"/>
          <w:color w:val="000000"/>
          <w:sz w:val="28"/>
          <w:szCs w:val="28"/>
        </w:rPr>
        <w:t>会计师事务所                 中国注册会计师：</w:t>
      </w:r>
    </w:p>
    <w:p>
      <w:pPr>
        <w:spacing w:line="1000" w:lineRule="exact"/>
        <w:ind w:firstLine="840" w:firstLineChars="300"/>
        <w:rPr>
          <w:rFonts w:hint="eastAsia"/>
          <w:b/>
          <w:sz w:val="28"/>
          <w:szCs w:val="28"/>
        </w:rPr>
      </w:pPr>
      <w:r>
        <w:rPr>
          <w:rFonts w:hint="eastAsia" w:ascii="宋体" w:hAnsi="宋体"/>
          <w:color w:val="000000"/>
          <w:sz w:val="28"/>
          <w:szCs w:val="28"/>
        </w:rPr>
        <w:t>湖南.岳阳                 二0</w:t>
      </w:r>
      <w:r>
        <w:rPr>
          <w:rFonts w:hint="eastAsia" w:ascii="宋体" w:hAnsi="宋体"/>
          <w:color w:val="000000"/>
          <w:sz w:val="28"/>
          <w:szCs w:val="28"/>
          <w:lang w:eastAsia="zh-CN"/>
        </w:rPr>
        <w:t>二</w:t>
      </w:r>
      <w:r>
        <w:rPr>
          <w:rFonts w:hint="eastAsia" w:ascii="宋体" w:hAnsi="宋体"/>
          <w:color w:val="000000"/>
          <w:sz w:val="28"/>
          <w:szCs w:val="28"/>
          <w:lang w:val="en-US" w:eastAsia="zh-CN"/>
        </w:rPr>
        <w:t>三</w:t>
      </w:r>
      <w:r>
        <w:rPr>
          <w:rFonts w:hint="eastAsia" w:ascii="宋体" w:hAnsi="宋体"/>
          <w:color w:val="000000"/>
          <w:sz w:val="28"/>
          <w:szCs w:val="28"/>
        </w:rPr>
        <w:t>年</w:t>
      </w:r>
      <w:r>
        <w:rPr>
          <w:rFonts w:hint="eastAsia" w:ascii="宋体" w:hAnsi="宋体"/>
          <w:color w:val="000000"/>
          <w:sz w:val="28"/>
          <w:szCs w:val="28"/>
          <w:lang w:val="en-US" w:eastAsia="zh-CN"/>
        </w:rPr>
        <w:t>十</w:t>
      </w:r>
      <w:r>
        <w:rPr>
          <w:rFonts w:hint="eastAsia" w:ascii="宋体" w:hAnsi="宋体"/>
          <w:color w:val="000000"/>
          <w:sz w:val="28"/>
          <w:szCs w:val="28"/>
        </w:rPr>
        <w:t>月</w:t>
      </w:r>
      <w:r>
        <w:rPr>
          <w:rFonts w:hint="eastAsia" w:ascii="宋体" w:hAnsi="宋体"/>
          <w:color w:val="000000"/>
          <w:sz w:val="28"/>
          <w:szCs w:val="28"/>
          <w:lang w:val="en-US" w:eastAsia="zh-CN"/>
        </w:rPr>
        <w:t>三十</w:t>
      </w:r>
      <w:r>
        <w:rPr>
          <w:rFonts w:hint="eastAsia" w:ascii="宋体" w:hAnsi="宋体"/>
          <w:color w:val="000000"/>
          <w:sz w:val="28"/>
          <w:szCs w:val="28"/>
        </w:rPr>
        <w:t>日</w:t>
      </w:r>
    </w:p>
    <w:sectPr>
      <w:footerReference r:id="rId11" w:type="default"/>
      <w:pgSz w:w="11906" w:h="16838"/>
      <w:pgMar w:top="1440" w:right="1644" w:bottom="1247" w:left="164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lang w:val="en-US" w:eastAsia="zh-CN"/>
      </w:rPr>
      <w:t>湖 南 恒 兴 联 合 会 计 师 事 务 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lang w:val="en-US" w:eastAsia="zh-CN"/>
      </w:rPr>
      <w:t>湖 南 恒 兴 联 合 会 计 师 事 务 所（普通合伙）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lang w:val="en-US" w:eastAsia="zh-CN"/>
      </w:rPr>
      <w:t>湖 南 恒 兴 联 合 会 计 师 事 务 所（普通合伙）</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lang w:val="en-US" w:eastAsia="zh-CN"/>
      </w:rPr>
      <w:t>湖 南 恒 兴 联 合 会 计 师 事 务 所（普通合伙）</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lang w:val="en-US" w:eastAsia="zh-CN"/>
      </w:rPr>
      <w:t>湖 南 恒 兴 联 合 会 计 师 事 务 所（普通合伙）</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ascii="楷体" w:hAnsi="楷体" w:eastAsia="楷体" w:cs="楷体"/>
        <w:lang w:val="en-US" w:eastAsia="zh-CN"/>
      </w:rPr>
    </w:pPr>
    <w:r>
      <w:rPr>
        <w:rFonts w:hint="eastAsia" w:ascii="楷体" w:hAnsi="楷体" w:eastAsia="楷体" w:cs="楷体"/>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29</w:t>
                          </w:r>
                          <w:r>
                            <w:rPr>
                              <w:rFonts w:hint="eastAsia" w:ascii="楷体" w:hAnsi="楷体" w:eastAsia="楷体" w:cs="楷体"/>
                              <w:lang w:eastAsia="zh-CN"/>
                            </w:rPr>
                            <w:t xml:space="preserve"> 页</w:t>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l8Y8kBAACa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fL&#10;N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6XxjyQEAAJoDAAAOAAAAAAAAAAEAIAAAAB4BAABkcnMvZTJvRG9j&#10;LnhtbFBLBQYAAAAABgAGAFkBAABZBQAAAAA=&#10;">
              <v:fill on="f" focussize="0,0"/>
              <v:stroke on="f"/>
              <v:imagedata o:title=""/>
              <o:lock v:ext="edit" aspectratio="f"/>
              <v:textbox inset="0mm,0mm,0mm,0mm" style="mso-fit-shape-to-text:t;">
                <w:txbxContent>
                  <w:p>
                    <w:pPr>
                      <w:pStyle w:val="16"/>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1</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val="en-US" w:eastAsia="zh-CN"/>
                      </w:rPr>
                      <w:t>29</w:t>
                    </w:r>
                    <w:r>
                      <w:rPr>
                        <w:rFonts w:hint="eastAsia" w:ascii="楷体" w:hAnsi="楷体" w:eastAsia="楷体" w:cs="楷体"/>
                        <w:lang w:eastAsia="zh-CN"/>
                      </w:rPr>
                      <w:t xml:space="preserve"> 页</w:t>
                    </w:r>
                  </w:p>
                </w:txbxContent>
              </v:textbox>
            </v:shape>
          </w:pict>
        </mc:Fallback>
      </mc:AlternateContent>
    </w:r>
    <w:r>
      <w:rPr>
        <w:rFonts w:hint="eastAsia" w:ascii="楷体" w:hAnsi="楷体" w:eastAsia="楷体" w:cs="楷体"/>
        <w:lang w:val="en-US" w:eastAsia="zh-CN"/>
      </w:rPr>
      <w:t>湖 南 恒 兴 联 合 会 计 师 事 务 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hint="eastAsia" w:ascii="楷体" w:hAnsi="楷体" w:eastAsia="楷体" w:cs="楷体"/>
        <w:b/>
      </w:rPr>
    </w:pPr>
  </w:p>
  <w:p>
    <w:pPr>
      <w:pStyle w:val="17"/>
      <w:pBdr>
        <w:bottom w:val="none" w:color="auto" w:sz="0" w:space="0"/>
      </w:pBdr>
    </w:pPr>
  </w:p>
  <w:p>
    <w:pPr>
      <w:pStyle w:val="17"/>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right"/>
      <w:rPr>
        <w:rFonts w:hint="eastAsia" w:ascii="楷体" w:hAnsi="楷体" w:eastAsia="楷体" w:cs="楷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
        <w:lang w:eastAsia="zh-CN"/>
      </w:rPr>
      <w:t>2020年度</w:t>
    </w:r>
    <w:r>
      <w:rPr>
        <w:rFonts w:hint="eastAsia" w:ascii="楷体" w:hAnsi="楷体" w:eastAsia="楷体" w:cs="楷体"/>
        <w:b/>
      </w:rPr>
      <w:t>岳阳市云溪区</w:t>
    </w:r>
    <w:r>
      <w:rPr>
        <w:rFonts w:hint="eastAsia" w:ascii="楷体" w:hAnsi="楷体" w:eastAsia="楷体" w:cs="楷体"/>
        <w:b/>
        <w:lang w:eastAsia="zh-CN"/>
      </w:rPr>
      <w:t>医疗保险中心</w:t>
    </w:r>
    <w:r>
      <w:rPr>
        <w:rFonts w:hint="eastAsia" w:ascii="楷体" w:hAnsi="楷体" w:eastAsia="楷体" w:cs="楷体"/>
        <w:b/>
      </w:rPr>
      <w:t>整体支出绩效评价报告书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tabs>
        <w:tab w:val="left" w:pos="7392"/>
        <w:tab w:val="clear" w:pos="4153"/>
      </w:tabs>
      <w:jc w:val="both"/>
      <w:rPr>
        <w:rFonts w:hint="eastAsia" w:eastAsia="楷体"/>
        <w:b/>
        <w:lang w:eastAsia="zh-CN"/>
      </w:rPr>
    </w:pPr>
    <w:r>
      <w:rPr>
        <w:rFonts w:hint="eastAsia" w:ascii="楷体" w:hAnsi="楷体" w:eastAsia="楷体" w:cs="楷体"/>
        <w:b/>
      </w:rPr>
      <w:t xml:space="preserve">                            </w:t>
    </w:r>
    <w:r>
      <w:rPr>
        <w:rFonts w:hint="eastAsia" w:ascii="楷体" w:hAnsi="楷体" w:eastAsia="楷体" w:cs="楷体"/>
        <w:b/>
        <w:lang w:val="en-US" w:eastAsia="zh-CN"/>
      </w:rPr>
      <w:t xml:space="preserve">             </w:t>
    </w:r>
    <w:r>
      <w:rPr>
        <w:rFonts w:hint="eastAsia" w:ascii="楷体" w:hAnsi="楷体" w:eastAsia="楷体" w:cs="楷体"/>
        <w:b/>
        <w:lang w:eastAsia="zh-CN"/>
      </w:rPr>
      <w:t>云溪区</w:t>
    </w:r>
    <w:r>
      <w:rPr>
        <w:rFonts w:hint="eastAsia" w:ascii="楷体" w:hAnsi="楷体" w:eastAsia="楷体" w:cs="楷体"/>
        <w:b/>
        <w:lang w:val="en-US" w:eastAsia="zh-CN"/>
      </w:rPr>
      <w:t>城南幼儿园建设专项债券</w:t>
    </w:r>
    <w:r>
      <w:rPr>
        <w:rFonts w:hint="eastAsia" w:ascii="楷体" w:hAnsi="楷体" w:eastAsia="楷体" w:cs="楷体"/>
        <w:b/>
        <w:lang w:eastAsia="zh-CN"/>
      </w:rPr>
      <w:t>项目</w:t>
    </w:r>
    <w:r>
      <w:rPr>
        <w:rFonts w:hint="eastAsia" w:ascii="楷体" w:hAnsi="楷体" w:eastAsia="楷体" w:cs="楷体"/>
        <w:b/>
        <w:lang w:val="en-US" w:eastAsia="zh-CN"/>
      </w:rPr>
      <w:t>重点</w:t>
    </w:r>
    <w:r>
      <w:rPr>
        <w:rFonts w:hint="eastAsia" w:ascii="楷体" w:hAnsi="楷体" w:eastAsia="楷体" w:cs="楷体"/>
        <w:b/>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B804A"/>
    <w:multiLevelType w:val="singleLevel"/>
    <w:tmpl w:val="B55B804A"/>
    <w:lvl w:ilvl="0" w:tentative="0">
      <w:start w:val="7"/>
      <w:numFmt w:val="chineseCounting"/>
      <w:suff w:val="nothing"/>
      <w:lvlText w:val="%1、"/>
      <w:lvlJc w:val="left"/>
      <w:rPr>
        <w:rFonts w:hint="eastAsia"/>
      </w:rPr>
    </w:lvl>
  </w:abstractNum>
  <w:abstractNum w:abstractNumId="1">
    <w:nsid w:val="B81AD0F3"/>
    <w:multiLevelType w:val="singleLevel"/>
    <w:tmpl w:val="B81AD0F3"/>
    <w:lvl w:ilvl="0" w:tentative="0">
      <w:start w:val="2"/>
      <w:numFmt w:val="chineseCounting"/>
      <w:suff w:val="nothing"/>
      <w:lvlText w:val="%1、"/>
      <w:lvlJc w:val="left"/>
      <w:rPr>
        <w:rFonts w:hint="eastAsia"/>
      </w:rPr>
    </w:lvl>
  </w:abstractNum>
  <w:abstractNum w:abstractNumId="2">
    <w:nsid w:val="D6E3F18E"/>
    <w:multiLevelType w:val="singleLevel"/>
    <w:tmpl w:val="D6E3F18E"/>
    <w:lvl w:ilvl="0" w:tentative="0">
      <w:start w:val="1"/>
      <w:numFmt w:val="decimal"/>
      <w:suff w:val="nothing"/>
      <w:lvlText w:val="（%1）"/>
      <w:lvlJc w:val="left"/>
    </w:lvl>
  </w:abstractNum>
  <w:abstractNum w:abstractNumId="3">
    <w:nsid w:val="FFE53A44"/>
    <w:multiLevelType w:val="singleLevel"/>
    <w:tmpl w:val="FFE53A44"/>
    <w:lvl w:ilvl="0" w:tentative="0">
      <w:start w:val="1"/>
      <w:numFmt w:val="chineseCounting"/>
      <w:suff w:val="nothing"/>
      <w:lvlText w:val="（%1）"/>
      <w:lvlJc w:val="left"/>
      <w:pPr>
        <w:ind w:left="-142"/>
      </w:pPr>
      <w:rPr>
        <w:rFonts w:hint="eastAsia"/>
      </w:rPr>
    </w:lvl>
  </w:abstractNum>
  <w:abstractNum w:abstractNumId="4">
    <w:nsid w:val="1F44254B"/>
    <w:multiLevelType w:val="multilevel"/>
    <w:tmpl w:val="1F44254B"/>
    <w:lvl w:ilvl="0" w:tentative="0">
      <w:start w:val="2"/>
      <w:numFmt w:val="decimal"/>
      <w:pStyle w:val="2"/>
      <w:lvlText w:val="%1"/>
      <w:lvlJc w:val="left"/>
      <w:pPr>
        <w:tabs>
          <w:tab w:val="left" w:pos="1282"/>
        </w:tabs>
        <w:ind w:left="1282" w:hanging="432"/>
      </w:pPr>
      <w:rPr>
        <w:rFonts w:hint="eastAsia"/>
      </w:rPr>
    </w:lvl>
    <w:lvl w:ilvl="1" w:tentative="0">
      <w:start w:val="1"/>
      <w:numFmt w:val="decimal"/>
      <w:pStyle w:val="3"/>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4"/>
      <w:lvlText w:val="%1.%2.%3"/>
      <w:lvlJc w:val="left"/>
      <w:pPr>
        <w:tabs>
          <w:tab w:val="left" w:pos="1570"/>
        </w:tabs>
        <w:ind w:left="1570" w:hanging="720"/>
      </w:pPr>
      <w:rPr>
        <w:rFonts w:hint="eastAsia"/>
      </w:rPr>
    </w:lvl>
    <w:lvl w:ilvl="3" w:tentative="0">
      <w:start w:val="1"/>
      <w:numFmt w:val="decimal"/>
      <w:pStyle w:val="5"/>
      <w:lvlText w:val="%1.%2.%3.%4"/>
      <w:lvlJc w:val="left"/>
      <w:pPr>
        <w:tabs>
          <w:tab w:val="left" w:pos="1714"/>
        </w:tabs>
        <w:ind w:left="1714" w:hanging="864"/>
      </w:pPr>
      <w:rPr>
        <w:rFonts w:hint="eastAsia"/>
      </w:rPr>
    </w:lvl>
    <w:lvl w:ilvl="4" w:tentative="0">
      <w:start w:val="1"/>
      <w:numFmt w:val="decimal"/>
      <w:pStyle w:val="6"/>
      <w:lvlText w:val="%1.%2.%3.%4.%5"/>
      <w:lvlJc w:val="left"/>
      <w:pPr>
        <w:tabs>
          <w:tab w:val="left" w:pos="1858"/>
        </w:tabs>
        <w:ind w:left="1858" w:hanging="1008"/>
      </w:pPr>
      <w:rPr>
        <w:rFonts w:hint="eastAsia"/>
      </w:rPr>
    </w:lvl>
    <w:lvl w:ilvl="5" w:tentative="0">
      <w:start w:val="1"/>
      <w:numFmt w:val="decimal"/>
      <w:pStyle w:val="7"/>
      <w:isLgl/>
      <w:lvlText w:val="%1.%2.%3.%4.%5.%6"/>
      <w:lvlJc w:val="left"/>
      <w:pPr>
        <w:tabs>
          <w:tab w:val="left" w:pos="2002"/>
        </w:tabs>
        <w:ind w:left="2002" w:hanging="1152"/>
      </w:pPr>
      <w:rPr>
        <w:rFonts w:hint="eastAsia"/>
      </w:rPr>
    </w:lvl>
    <w:lvl w:ilvl="6" w:tentative="0">
      <w:start w:val="1"/>
      <w:numFmt w:val="decimal"/>
      <w:pStyle w:val="8"/>
      <w:lvlText w:val="%1.%2.%3.%4.%5.%6.%7"/>
      <w:lvlJc w:val="left"/>
      <w:pPr>
        <w:tabs>
          <w:tab w:val="left" w:pos="2146"/>
        </w:tabs>
        <w:ind w:left="2146" w:hanging="1296"/>
      </w:pPr>
      <w:rPr>
        <w:rFonts w:hint="eastAsia"/>
      </w:rPr>
    </w:lvl>
    <w:lvl w:ilvl="7" w:tentative="0">
      <w:start w:val="1"/>
      <w:numFmt w:val="decimal"/>
      <w:pStyle w:val="9"/>
      <w:lvlText w:val="%1.%2.%3.%4.%5.%6.%7.%8"/>
      <w:lvlJc w:val="left"/>
      <w:pPr>
        <w:tabs>
          <w:tab w:val="left" w:pos="2290"/>
        </w:tabs>
        <w:ind w:left="2290" w:hanging="1440"/>
      </w:pPr>
      <w:rPr>
        <w:rFonts w:hint="eastAsia"/>
      </w:rPr>
    </w:lvl>
    <w:lvl w:ilvl="8" w:tentative="0">
      <w:start w:val="1"/>
      <w:numFmt w:val="decimal"/>
      <w:pStyle w:val="10"/>
      <w:lvlText w:val="%1.%2.%3.%4.%5.%6.%7.%8.%9"/>
      <w:lvlJc w:val="left"/>
      <w:pPr>
        <w:tabs>
          <w:tab w:val="left" w:pos="2434"/>
        </w:tabs>
        <w:ind w:left="2434" w:hanging="1584"/>
      </w:pPr>
      <w:rPr>
        <w:rFonts w:hint="eastAsia"/>
      </w:rPr>
    </w:lvl>
  </w:abstractNum>
  <w:abstractNum w:abstractNumId="5">
    <w:nsid w:val="27222B0D"/>
    <w:multiLevelType w:val="singleLevel"/>
    <w:tmpl w:val="27222B0D"/>
    <w:lvl w:ilvl="0" w:tentative="0">
      <w:start w:val="1"/>
      <w:numFmt w:val="chineseCounting"/>
      <w:suff w:val="nothing"/>
      <w:lvlText w:val="（%1）"/>
      <w:lvlJc w:val="left"/>
      <w:rPr>
        <w:rFonts w:hint="eastAsia"/>
      </w:rPr>
    </w:lvl>
  </w:abstractNum>
  <w:abstractNum w:abstractNumId="6">
    <w:nsid w:val="52C89CDD"/>
    <w:multiLevelType w:val="singleLevel"/>
    <w:tmpl w:val="52C89CDD"/>
    <w:lvl w:ilvl="0" w:tentative="0">
      <w:start w:val="1"/>
      <w:numFmt w:val="chineseCounting"/>
      <w:suff w:val="nothing"/>
      <w:lvlText w:val="（%1）"/>
      <w:lvlJc w:val="left"/>
      <w:rPr>
        <w:rFonts w:hint="eastAsia"/>
      </w:rPr>
    </w:lvl>
  </w:abstractNum>
  <w:abstractNum w:abstractNumId="7">
    <w:nsid w:val="66A64C43"/>
    <w:multiLevelType w:val="singleLevel"/>
    <w:tmpl w:val="66A64C43"/>
    <w:lvl w:ilvl="0" w:tentative="0">
      <w:start w:val="1"/>
      <w:numFmt w:val="decimal"/>
      <w:lvlText w:val="%1."/>
      <w:lvlJc w:val="left"/>
      <w:pPr>
        <w:tabs>
          <w:tab w:val="left" w:pos="312"/>
        </w:tabs>
      </w:pPr>
    </w:lvl>
  </w:abstractNum>
  <w:num w:numId="1">
    <w:abstractNumId w:val="4"/>
  </w:num>
  <w:num w:numId="2">
    <w:abstractNumId w:val="6"/>
  </w:num>
  <w:num w:numId="3">
    <w:abstractNumId w:val="0"/>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zIxZTY5Njc5YjJmMmUwOTAzMzg4ZDAwOTc1YTAifQ=="/>
  </w:docVars>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0A2B"/>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5D1"/>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4A60"/>
    <w:rsid w:val="00EB68AC"/>
    <w:rsid w:val="00EB6F57"/>
    <w:rsid w:val="00EB70D0"/>
    <w:rsid w:val="00EC2440"/>
    <w:rsid w:val="00EC5546"/>
    <w:rsid w:val="00EC5FFD"/>
    <w:rsid w:val="00ED2588"/>
    <w:rsid w:val="00ED2FC4"/>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7240DE"/>
    <w:rsid w:val="0175674F"/>
    <w:rsid w:val="01E565FA"/>
    <w:rsid w:val="01F00AC2"/>
    <w:rsid w:val="02154663"/>
    <w:rsid w:val="02292863"/>
    <w:rsid w:val="0239693F"/>
    <w:rsid w:val="023A042F"/>
    <w:rsid w:val="025010BB"/>
    <w:rsid w:val="02546B6C"/>
    <w:rsid w:val="029A5126"/>
    <w:rsid w:val="02D8282F"/>
    <w:rsid w:val="031B02C0"/>
    <w:rsid w:val="032231CF"/>
    <w:rsid w:val="03277754"/>
    <w:rsid w:val="032F4B07"/>
    <w:rsid w:val="03E10EBA"/>
    <w:rsid w:val="03F655EE"/>
    <w:rsid w:val="042664DE"/>
    <w:rsid w:val="046C0CB2"/>
    <w:rsid w:val="0477536F"/>
    <w:rsid w:val="04B94F4D"/>
    <w:rsid w:val="04C21344"/>
    <w:rsid w:val="04C43D63"/>
    <w:rsid w:val="04F81DE1"/>
    <w:rsid w:val="05454338"/>
    <w:rsid w:val="05B01635"/>
    <w:rsid w:val="05E77817"/>
    <w:rsid w:val="061B04B7"/>
    <w:rsid w:val="061D2A2B"/>
    <w:rsid w:val="06315ED7"/>
    <w:rsid w:val="065151B1"/>
    <w:rsid w:val="06895999"/>
    <w:rsid w:val="06C03A9E"/>
    <w:rsid w:val="06D949CD"/>
    <w:rsid w:val="06DD6191"/>
    <w:rsid w:val="06E254C0"/>
    <w:rsid w:val="06F64EBB"/>
    <w:rsid w:val="071A3688"/>
    <w:rsid w:val="07205A43"/>
    <w:rsid w:val="076619AB"/>
    <w:rsid w:val="077917A3"/>
    <w:rsid w:val="079E2695"/>
    <w:rsid w:val="07DB3FA1"/>
    <w:rsid w:val="08490522"/>
    <w:rsid w:val="0880218A"/>
    <w:rsid w:val="08B408A7"/>
    <w:rsid w:val="08CB2335"/>
    <w:rsid w:val="08D02FA9"/>
    <w:rsid w:val="09102B5A"/>
    <w:rsid w:val="091E7CF5"/>
    <w:rsid w:val="09380221"/>
    <w:rsid w:val="096E5954"/>
    <w:rsid w:val="097A7C6C"/>
    <w:rsid w:val="097C48EB"/>
    <w:rsid w:val="09AE5935"/>
    <w:rsid w:val="09B12843"/>
    <w:rsid w:val="09DE6C10"/>
    <w:rsid w:val="0A1020DD"/>
    <w:rsid w:val="0A14100E"/>
    <w:rsid w:val="0A175C31"/>
    <w:rsid w:val="0A22297D"/>
    <w:rsid w:val="0A886976"/>
    <w:rsid w:val="0AC007F8"/>
    <w:rsid w:val="0ACD63C7"/>
    <w:rsid w:val="0ADC1457"/>
    <w:rsid w:val="0B1308F6"/>
    <w:rsid w:val="0B203310"/>
    <w:rsid w:val="0B253205"/>
    <w:rsid w:val="0B25707A"/>
    <w:rsid w:val="0B5F4322"/>
    <w:rsid w:val="0B8C2DDC"/>
    <w:rsid w:val="0B8C7DC3"/>
    <w:rsid w:val="0C1A02D7"/>
    <w:rsid w:val="0C4E061F"/>
    <w:rsid w:val="0CDD051E"/>
    <w:rsid w:val="0D107A79"/>
    <w:rsid w:val="0D167CE5"/>
    <w:rsid w:val="0D443483"/>
    <w:rsid w:val="0D646FD0"/>
    <w:rsid w:val="0D9A6380"/>
    <w:rsid w:val="0DC22EC1"/>
    <w:rsid w:val="0DD759F4"/>
    <w:rsid w:val="0DFB2FB3"/>
    <w:rsid w:val="0E665386"/>
    <w:rsid w:val="0E8A6DC2"/>
    <w:rsid w:val="0EA74A65"/>
    <w:rsid w:val="0EB55CA2"/>
    <w:rsid w:val="0ECA344C"/>
    <w:rsid w:val="0EFD1661"/>
    <w:rsid w:val="0F21641D"/>
    <w:rsid w:val="0F40320A"/>
    <w:rsid w:val="0F4672D5"/>
    <w:rsid w:val="0F75734D"/>
    <w:rsid w:val="0FF705E9"/>
    <w:rsid w:val="10182083"/>
    <w:rsid w:val="104F141E"/>
    <w:rsid w:val="108744B7"/>
    <w:rsid w:val="109F7C81"/>
    <w:rsid w:val="10A049A9"/>
    <w:rsid w:val="10A710B4"/>
    <w:rsid w:val="10AC2496"/>
    <w:rsid w:val="10AE050B"/>
    <w:rsid w:val="10B643FA"/>
    <w:rsid w:val="10C71AAC"/>
    <w:rsid w:val="10DA389B"/>
    <w:rsid w:val="10DA76D6"/>
    <w:rsid w:val="11325CE0"/>
    <w:rsid w:val="113A2F0E"/>
    <w:rsid w:val="11B322D4"/>
    <w:rsid w:val="11C8782E"/>
    <w:rsid w:val="11CC2A7C"/>
    <w:rsid w:val="11FE06F3"/>
    <w:rsid w:val="120558D6"/>
    <w:rsid w:val="12073485"/>
    <w:rsid w:val="122B2DC6"/>
    <w:rsid w:val="12645961"/>
    <w:rsid w:val="126F7F50"/>
    <w:rsid w:val="128B37A6"/>
    <w:rsid w:val="12E71799"/>
    <w:rsid w:val="132A7280"/>
    <w:rsid w:val="13416D96"/>
    <w:rsid w:val="136A3DB0"/>
    <w:rsid w:val="13764A3E"/>
    <w:rsid w:val="13B677A9"/>
    <w:rsid w:val="13BE3D4A"/>
    <w:rsid w:val="13C452C2"/>
    <w:rsid w:val="13CE4FE0"/>
    <w:rsid w:val="13FC5C4F"/>
    <w:rsid w:val="142E526F"/>
    <w:rsid w:val="14A744DC"/>
    <w:rsid w:val="14AD0DD4"/>
    <w:rsid w:val="14B51D30"/>
    <w:rsid w:val="14DB4EC7"/>
    <w:rsid w:val="14E07884"/>
    <w:rsid w:val="156B4EF5"/>
    <w:rsid w:val="159A0776"/>
    <w:rsid w:val="15D0626F"/>
    <w:rsid w:val="15D712D8"/>
    <w:rsid w:val="16615E8E"/>
    <w:rsid w:val="16684270"/>
    <w:rsid w:val="1677734A"/>
    <w:rsid w:val="167C538B"/>
    <w:rsid w:val="168C541C"/>
    <w:rsid w:val="16FE48D3"/>
    <w:rsid w:val="17216AF1"/>
    <w:rsid w:val="17422B1D"/>
    <w:rsid w:val="176F2136"/>
    <w:rsid w:val="17A0322D"/>
    <w:rsid w:val="17EB1580"/>
    <w:rsid w:val="1817154F"/>
    <w:rsid w:val="187F4F37"/>
    <w:rsid w:val="189B6D62"/>
    <w:rsid w:val="18BD3B08"/>
    <w:rsid w:val="18CB0E86"/>
    <w:rsid w:val="191A645C"/>
    <w:rsid w:val="1922698B"/>
    <w:rsid w:val="199554CB"/>
    <w:rsid w:val="1A2A1B57"/>
    <w:rsid w:val="1A505BF9"/>
    <w:rsid w:val="1AAD32C3"/>
    <w:rsid w:val="1AC32E97"/>
    <w:rsid w:val="1AC960C2"/>
    <w:rsid w:val="1ADD078C"/>
    <w:rsid w:val="1AE060BE"/>
    <w:rsid w:val="1B3A7B26"/>
    <w:rsid w:val="1B506EEB"/>
    <w:rsid w:val="1B784800"/>
    <w:rsid w:val="1B7A33A9"/>
    <w:rsid w:val="1C341BE3"/>
    <w:rsid w:val="1C343E63"/>
    <w:rsid w:val="1C426CD6"/>
    <w:rsid w:val="1C54688B"/>
    <w:rsid w:val="1C5E08C4"/>
    <w:rsid w:val="1C810E6C"/>
    <w:rsid w:val="1C893C15"/>
    <w:rsid w:val="1C8C3DE3"/>
    <w:rsid w:val="1CB6087B"/>
    <w:rsid w:val="1CFC3842"/>
    <w:rsid w:val="1D5000F7"/>
    <w:rsid w:val="1D807409"/>
    <w:rsid w:val="1DB40E22"/>
    <w:rsid w:val="1E075089"/>
    <w:rsid w:val="1E2A4C19"/>
    <w:rsid w:val="1E3E1865"/>
    <w:rsid w:val="1E5F5C5F"/>
    <w:rsid w:val="1E680583"/>
    <w:rsid w:val="1E98544B"/>
    <w:rsid w:val="1E9F0221"/>
    <w:rsid w:val="1ED82539"/>
    <w:rsid w:val="1EFF2FFD"/>
    <w:rsid w:val="1F2F0E04"/>
    <w:rsid w:val="1F350C0D"/>
    <w:rsid w:val="1F80470F"/>
    <w:rsid w:val="1F806D36"/>
    <w:rsid w:val="1F8B60F0"/>
    <w:rsid w:val="1FF55BC4"/>
    <w:rsid w:val="20917681"/>
    <w:rsid w:val="20DA10EA"/>
    <w:rsid w:val="20F01EC6"/>
    <w:rsid w:val="20F87D04"/>
    <w:rsid w:val="213B5E42"/>
    <w:rsid w:val="21440214"/>
    <w:rsid w:val="21612073"/>
    <w:rsid w:val="217677E4"/>
    <w:rsid w:val="21955768"/>
    <w:rsid w:val="2196094F"/>
    <w:rsid w:val="21A24C40"/>
    <w:rsid w:val="21FA1A16"/>
    <w:rsid w:val="221E1123"/>
    <w:rsid w:val="233E118F"/>
    <w:rsid w:val="24021188"/>
    <w:rsid w:val="240535B7"/>
    <w:rsid w:val="24447D76"/>
    <w:rsid w:val="24666511"/>
    <w:rsid w:val="246F0492"/>
    <w:rsid w:val="24B21A5A"/>
    <w:rsid w:val="24D10905"/>
    <w:rsid w:val="24FD246F"/>
    <w:rsid w:val="255F1D5A"/>
    <w:rsid w:val="25983863"/>
    <w:rsid w:val="263416AE"/>
    <w:rsid w:val="26E866B4"/>
    <w:rsid w:val="27076A5B"/>
    <w:rsid w:val="27282F8D"/>
    <w:rsid w:val="2735145F"/>
    <w:rsid w:val="27CA036D"/>
    <w:rsid w:val="27F3015D"/>
    <w:rsid w:val="28421013"/>
    <w:rsid w:val="28485A15"/>
    <w:rsid w:val="285E79CB"/>
    <w:rsid w:val="286337EB"/>
    <w:rsid w:val="287B6F62"/>
    <w:rsid w:val="28836B25"/>
    <w:rsid w:val="288C62EA"/>
    <w:rsid w:val="28C060D8"/>
    <w:rsid w:val="28E90451"/>
    <w:rsid w:val="292066FE"/>
    <w:rsid w:val="29AC79D1"/>
    <w:rsid w:val="29AF14F4"/>
    <w:rsid w:val="29B135DD"/>
    <w:rsid w:val="29C74A0E"/>
    <w:rsid w:val="2A1E3431"/>
    <w:rsid w:val="2A28792F"/>
    <w:rsid w:val="2A4134CC"/>
    <w:rsid w:val="2A490E29"/>
    <w:rsid w:val="2A5C2E7E"/>
    <w:rsid w:val="2A7C5463"/>
    <w:rsid w:val="2AC45EB1"/>
    <w:rsid w:val="2B044B89"/>
    <w:rsid w:val="2B174D70"/>
    <w:rsid w:val="2B3E2541"/>
    <w:rsid w:val="2B49215A"/>
    <w:rsid w:val="2BCC5D13"/>
    <w:rsid w:val="2BDE08FA"/>
    <w:rsid w:val="2BEB7CFF"/>
    <w:rsid w:val="2BF90944"/>
    <w:rsid w:val="2C586EAF"/>
    <w:rsid w:val="2C8F7376"/>
    <w:rsid w:val="2CEC4612"/>
    <w:rsid w:val="2CFC54EE"/>
    <w:rsid w:val="2D4B773E"/>
    <w:rsid w:val="2D673047"/>
    <w:rsid w:val="2D9E0246"/>
    <w:rsid w:val="2DC35A6B"/>
    <w:rsid w:val="2E050709"/>
    <w:rsid w:val="2E201624"/>
    <w:rsid w:val="2E497F59"/>
    <w:rsid w:val="2E8D0249"/>
    <w:rsid w:val="2EE92E1E"/>
    <w:rsid w:val="2EF42911"/>
    <w:rsid w:val="2EFB7B35"/>
    <w:rsid w:val="2F1331C7"/>
    <w:rsid w:val="2F173A57"/>
    <w:rsid w:val="2F2720ED"/>
    <w:rsid w:val="2F2D5666"/>
    <w:rsid w:val="2F357E25"/>
    <w:rsid w:val="2F395F54"/>
    <w:rsid w:val="2F3A778B"/>
    <w:rsid w:val="2F4050D0"/>
    <w:rsid w:val="2F870A85"/>
    <w:rsid w:val="2F9072FF"/>
    <w:rsid w:val="2FA16C41"/>
    <w:rsid w:val="2FCC4D09"/>
    <w:rsid w:val="2FF16D8F"/>
    <w:rsid w:val="304D21A4"/>
    <w:rsid w:val="30AE768C"/>
    <w:rsid w:val="314E2AD7"/>
    <w:rsid w:val="317A19BB"/>
    <w:rsid w:val="317D18D2"/>
    <w:rsid w:val="31C23CED"/>
    <w:rsid w:val="3285327B"/>
    <w:rsid w:val="32BC6E5E"/>
    <w:rsid w:val="32C71AE0"/>
    <w:rsid w:val="32C748DC"/>
    <w:rsid w:val="32DA30EA"/>
    <w:rsid w:val="32E64609"/>
    <w:rsid w:val="332F28F5"/>
    <w:rsid w:val="33365E13"/>
    <w:rsid w:val="33D3632F"/>
    <w:rsid w:val="33F56FEC"/>
    <w:rsid w:val="33FD76BE"/>
    <w:rsid w:val="34055461"/>
    <w:rsid w:val="344F417C"/>
    <w:rsid w:val="34530AE6"/>
    <w:rsid w:val="345343F5"/>
    <w:rsid w:val="34944088"/>
    <w:rsid w:val="35156241"/>
    <w:rsid w:val="351C180B"/>
    <w:rsid w:val="35396DA0"/>
    <w:rsid w:val="35530BD2"/>
    <w:rsid w:val="358322BE"/>
    <w:rsid w:val="35B35362"/>
    <w:rsid w:val="35D455C8"/>
    <w:rsid w:val="363D2660"/>
    <w:rsid w:val="365E6576"/>
    <w:rsid w:val="368B5773"/>
    <w:rsid w:val="36B850BA"/>
    <w:rsid w:val="36DD3DA6"/>
    <w:rsid w:val="36DF6D48"/>
    <w:rsid w:val="36E542A3"/>
    <w:rsid w:val="36EC5CED"/>
    <w:rsid w:val="37036833"/>
    <w:rsid w:val="372532FA"/>
    <w:rsid w:val="372E5DD5"/>
    <w:rsid w:val="37705DD2"/>
    <w:rsid w:val="37846F04"/>
    <w:rsid w:val="37D269D4"/>
    <w:rsid w:val="37E42938"/>
    <w:rsid w:val="380E11D9"/>
    <w:rsid w:val="38231C25"/>
    <w:rsid w:val="38307E3A"/>
    <w:rsid w:val="38754373"/>
    <w:rsid w:val="38B12F93"/>
    <w:rsid w:val="38D95E52"/>
    <w:rsid w:val="390C3312"/>
    <w:rsid w:val="391A4DE7"/>
    <w:rsid w:val="392845DF"/>
    <w:rsid w:val="39384075"/>
    <w:rsid w:val="393D237B"/>
    <w:rsid w:val="39905C5B"/>
    <w:rsid w:val="39905CBA"/>
    <w:rsid w:val="39C93C16"/>
    <w:rsid w:val="39ED0AA1"/>
    <w:rsid w:val="3A0029F3"/>
    <w:rsid w:val="3A002E9A"/>
    <w:rsid w:val="3A0E7677"/>
    <w:rsid w:val="3A3C25D7"/>
    <w:rsid w:val="3A5D7DF1"/>
    <w:rsid w:val="3A696106"/>
    <w:rsid w:val="3A771E7C"/>
    <w:rsid w:val="3AAB09E4"/>
    <w:rsid w:val="3AC01B09"/>
    <w:rsid w:val="3ACA26EC"/>
    <w:rsid w:val="3AD06B53"/>
    <w:rsid w:val="3AEE58E1"/>
    <w:rsid w:val="3B4603B4"/>
    <w:rsid w:val="3B480A98"/>
    <w:rsid w:val="3BB64A67"/>
    <w:rsid w:val="3BD75AD6"/>
    <w:rsid w:val="3C624388"/>
    <w:rsid w:val="3CA40A90"/>
    <w:rsid w:val="3CAC79CA"/>
    <w:rsid w:val="3CC36161"/>
    <w:rsid w:val="3D0B7084"/>
    <w:rsid w:val="3D532A73"/>
    <w:rsid w:val="3D663392"/>
    <w:rsid w:val="3DA610DF"/>
    <w:rsid w:val="3DF64736"/>
    <w:rsid w:val="3DF95BD7"/>
    <w:rsid w:val="3E974885"/>
    <w:rsid w:val="3EBC53F6"/>
    <w:rsid w:val="3EBE60F2"/>
    <w:rsid w:val="3F0E7F6E"/>
    <w:rsid w:val="3F0F4BB9"/>
    <w:rsid w:val="3F75273C"/>
    <w:rsid w:val="3F9B1B4A"/>
    <w:rsid w:val="3FBB54A1"/>
    <w:rsid w:val="3FE12999"/>
    <w:rsid w:val="3FEC6FA3"/>
    <w:rsid w:val="404D6193"/>
    <w:rsid w:val="409669F0"/>
    <w:rsid w:val="40D10A84"/>
    <w:rsid w:val="41430D6E"/>
    <w:rsid w:val="415E0D5B"/>
    <w:rsid w:val="418B32B2"/>
    <w:rsid w:val="41BC1DA2"/>
    <w:rsid w:val="420143AB"/>
    <w:rsid w:val="4228754F"/>
    <w:rsid w:val="422F39F0"/>
    <w:rsid w:val="42422076"/>
    <w:rsid w:val="4243163F"/>
    <w:rsid w:val="42731BA1"/>
    <w:rsid w:val="427830BA"/>
    <w:rsid w:val="42951607"/>
    <w:rsid w:val="42BC64DD"/>
    <w:rsid w:val="42C07915"/>
    <w:rsid w:val="42C575BD"/>
    <w:rsid w:val="42E2174B"/>
    <w:rsid w:val="43230647"/>
    <w:rsid w:val="4344573C"/>
    <w:rsid w:val="43A22025"/>
    <w:rsid w:val="43A65EF5"/>
    <w:rsid w:val="43A67AF8"/>
    <w:rsid w:val="43AC7BAF"/>
    <w:rsid w:val="44036C30"/>
    <w:rsid w:val="443F7548"/>
    <w:rsid w:val="444A128E"/>
    <w:rsid w:val="444D37D5"/>
    <w:rsid w:val="44695F03"/>
    <w:rsid w:val="449373B9"/>
    <w:rsid w:val="449D633E"/>
    <w:rsid w:val="44BF3ED1"/>
    <w:rsid w:val="44D142E8"/>
    <w:rsid w:val="44E13350"/>
    <w:rsid w:val="451D41E6"/>
    <w:rsid w:val="4544208D"/>
    <w:rsid w:val="4560102C"/>
    <w:rsid w:val="457A0001"/>
    <w:rsid w:val="45853E19"/>
    <w:rsid w:val="45B177E7"/>
    <w:rsid w:val="45B36CD7"/>
    <w:rsid w:val="45D015EF"/>
    <w:rsid w:val="45EE11A5"/>
    <w:rsid w:val="45FE57B3"/>
    <w:rsid w:val="462C0FA0"/>
    <w:rsid w:val="46501022"/>
    <w:rsid w:val="46735870"/>
    <w:rsid w:val="46B22DAD"/>
    <w:rsid w:val="46FA03FD"/>
    <w:rsid w:val="47022C63"/>
    <w:rsid w:val="47286E32"/>
    <w:rsid w:val="472E2059"/>
    <w:rsid w:val="478A72C4"/>
    <w:rsid w:val="479E32E6"/>
    <w:rsid w:val="479E5F68"/>
    <w:rsid w:val="47E47304"/>
    <w:rsid w:val="47E50A8C"/>
    <w:rsid w:val="47EC5626"/>
    <w:rsid w:val="48604A6A"/>
    <w:rsid w:val="487C76A0"/>
    <w:rsid w:val="48853388"/>
    <w:rsid w:val="48AD7B6E"/>
    <w:rsid w:val="48DE0DBD"/>
    <w:rsid w:val="48F573F1"/>
    <w:rsid w:val="48F649D4"/>
    <w:rsid w:val="4952155D"/>
    <w:rsid w:val="49594016"/>
    <w:rsid w:val="499A72FA"/>
    <w:rsid w:val="49B55B84"/>
    <w:rsid w:val="49D97353"/>
    <w:rsid w:val="4A642A4E"/>
    <w:rsid w:val="4A7A1AE5"/>
    <w:rsid w:val="4AA84682"/>
    <w:rsid w:val="4ADC51BE"/>
    <w:rsid w:val="4AEF6313"/>
    <w:rsid w:val="4AFC1194"/>
    <w:rsid w:val="4B142168"/>
    <w:rsid w:val="4B3178BD"/>
    <w:rsid w:val="4B594A1B"/>
    <w:rsid w:val="4B9932D0"/>
    <w:rsid w:val="4BB24E66"/>
    <w:rsid w:val="4BBF6453"/>
    <w:rsid w:val="4BFF6423"/>
    <w:rsid w:val="4C2D43FD"/>
    <w:rsid w:val="4C3B016F"/>
    <w:rsid w:val="4C4731E4"/>
    <w:rsid w:val="4C4A3A0C"/>
    <w:rsid w:val="4C556956"/>
    <w:rsid w:val="4CE25F39"/>
    <w:rsid w:val="4CF0588C"/>
    <w:rsid w:val="4D9F3E38"/>
    <w:rsid w:val="4DA0671F"/>
    <w:rsid w:val="4DA579D5"/>
    <w:rsid w:val="4DC25290"/>
    <w:rsid w:val="4DC54641"/>
    <w:rsid w:val="4DCA2D3A"/>
    <w:rsid w:val="4DD66800"/>
    <w:rsid w:val="4E1E5245"/>
    <w:rsid w:val="4E63397B"/>
    <w:rsid w:val="4E7835BC"/>
    <w:rsid w:val="4E873C75"/>
    <w:rsid w:val="4E913497"/>
    <w:rsid w:val="4EB122B3"/>
    <w:rsid w:val="4F1C1126"/>
    <w:rsid w:val="4F411A2B"/>
    <w:rsid w:val="4F9973F4"/>
    <w:rsid w:val="4FB516E1"/>
    <w:rsid w:val="4FD07B4B"/>
    <w:rsid w:val="4FF60E27"/>
    <w:rsid w:val="4FFB6E83"/>
    <w:rsid w:val="50142A24"/>
    <w:rsid w:val="504E4900"/>
    <w:rsid w:val="506523AF"/>
    <w:rsid w:val="50A53988"/>
    <w:rsid w:val="50DE11DD"/>
    <w:rsid w:val="514432FE"/>
    <w:rsid w:val="51450D89"/>
    <w:rsid w:val="517158BA"/>
    <w:rsid w:val="51766916"/>
    <w:rsid w:val="51854E7F"/>
    <w:rsid w:val="51966F39"/>
    <w:rsid w:val="51DF29B8"/>
    <w:rsid w:val="51F46078"/>
    <w:rsid w:val="51FC53E0"/>
    <w:rsid w:val="5201325E"/>
    <w:rsid w:val="520443CA"/>
    <w:rsid w:val="520A725D"/>
    <w:rsid w:val="52744776"/>
    <w:rsid w:val="52831058"/>
    <w:rsid w:val="52844815"/>
    <w:rsid w:val="52C55C27"/>
    <w:rsid w:val="533F5425"/>
    <w:rsid w:val="53635E9D"/>
    <w:rsid w:val="538006EE"/>
    <w:rsid w:val="53CB4573"/>
    <w:rsid w:val="54023D29"/>
    <w:rsid w:val="5417754E"/>
    <w:rsid w:val="544B6EBD"/>
    <w:rsid w:val="54651740"/>
    <w:rsid w:val="54661A6D"/>
    <w:rsid w:val="547000E3"/>
    <w:rsid w:val="547E76AA"/>
    <w:rsid w:val="54D3458B"/>
    <w:rsid w:val="54D55E32"/>
    <w:rsid w:val="54DC6F76"/>
    <w:rsid w:val="54EC48EF"/>
    <w:rsid w:val="54F262B2"/>
    <w:rsid w:val="553A4A5A"/>
    <w:rsid w:val="553D6CBE"/>
    <w:rsid w:val="554E1A2E"/>
    <w:rsid w:val="55500544"/>
    <w:rsid w:val="5558603B"/>
    <w:rsid w:val="558A07AD"/>
    <w:rsid w:val="55C2011B"/>
    <w:rsid w:val="55D212DA"/>
    <w:rsid w:val="55DE2EAD"/>
    <w:rsid w:val="56055D7B"/>
    <w:rsid w:val="561C06B7"/>
    <w:rsid w:val="565B470A"/>
    <w:rsid w:val="566E1B98"/>
    <w:rsid w:val="56985ECA"/>
    <w:rsid w:val="569E48CE"/>
    <w:rsid w:val="56BB6F53"/>
    <w:rsid w:val="574A647E"/>
    <w:rsid w:val="57794F86"/>
    <w:rsid w:val="57962DD5"/>
    <w:rsid w:val="579C5972"/>
    <w:rsid w:val="57BE0BA9"/>
    <w:rsid w:val="57DA2FF7"/>
    <w:rsid w:val="57FD7F87"/>
    <w:rsid w:val="58210F70"/>
    <w:rsid w:val="586F1DD2"/>
    <w:rsid w:val="588671C4"/>
    <w:rsid w:val="58B01E68"/>
    <w:rsid w:val="58B3757A"/>
    <w:rsid w:val="58BE4999"/>
    <w:rsid w:val="58CE4E5E"/>
    <w:rsid w:val="58D32786"/>
    <w:rsid w:val="592854BF"/>
    <w:rsid w:val="59474427"/>
    <w:rsid w:val="594C7A50"/>
    <w:rsid w:val="598E39A7"/>
    <w:rsid w:val="598E6E85"/>
    <w:rsid w:val="5992116A"/>
    <w:rsid w:val="59AD1DB0"/>
    <w:rsid w:val="59CA67CF"/>
    <w:rsid w:val="5A131F6B"/>
    <w:rsid w:val="5A1F4157"/>
    <w:rsid w:val="5A4F1586"/>
    <w:rsid w:val="5A5534F6"/>
    <w:rsid w:val="5B1D1F89"/>
    <w:rsid w:val="5B365D93"/>
    <w:rsid w:val="5B380BC3"/>
    <w:rsid w:val="5B41331E"/>
    <w:rsid w:val="5B590846"/>
    <w:rsid w:val="5B726428"/>
    <w:rsid w:val="5B883509"/>
    <w:rsid w:val="5B97670E"/>
    <w:rsid w:val="5C0C4A07"/>
    <w:rsid w:val="5C313AEE"/>
    <w:rsid w:val="5C3E03D2"/>
    <w:rsid w:val="5C5825AA"/>
    <w:rsid w:val="5C9639C4"/>
    <w:rsid w:val="5CB127D2"/>
    <w:rsid w:val="5D7609D1"/>
    <w:rsid w:val="5DA913A6"/>
    <w:rsid w:val="5E215AF5"/>
    <w:rsid w:val="5E85058B"/>
    <w:rsid w:val="5EC877BE"/>
    <w:rsid w:val="5EE35E56"/>
    <w:rsid w:val="5EFD5C8E"/>
    <w:rsid w:val="5F0F6B05"/>
    <w:rsid w:val="5F6E36A0"/>
    <w:rsid w:val="5FC15F09"/>
    <w:rsid w:val="5FDC1FC3"/>
    <w:rsid w:val="5FF03B17"/>
    <w:rsid w:val="6047743B"/>
    <w:rsid w:val="607A593F"/>
    <w:rsid w:val="607E760A"/>
    <w:rsid w:val="60965ADD"/>
    <w:rsid w:val="60BD0C0D"/>
    <w:rsid w:val="60CF4CAA"/>
    <w:rsid w:val="61226E78"/>
    <w:rsid w:val="612A36F4"/>
    <w:rsid w:val="61AC4E9D"/>
    <w:rsid w:val="61AE0F73"/>
    <w:rsid w:val="61BB1034"/>
    <w:rsid w:val="61C72E6E"/>
    <w:rsid w:val="623546AA"/>
    <w:rsid w:val="625B56F8"/>
    <w:rsid w:val="62FA19FB"/>
    <w:rsid w:val="63234585"/>
    <w:rsid w:val="63592F9D"/>
    <w:rsid w:val="63A7359E"/>
    <w:rsid w:val="63CF1C92"/>
    <w:rsid w:val="6409130A"/>
    <w:rsid w:val="641A1533"/>
    <w:rsid w:val="642A40AF"/>
    <w:rsid w:val="647075CD"/>
    <w:rsid w:val="64737DE5"/>
    <w:rsid w:val="64782FAA"/>
    <w:rsid w:val="64B452BD"/>
    <w:rsid w:val="64C526A6"/>
    <w:rsid w:val="64CA2ADF"/>
    <w:rsid w:val="65242C85"/>
    <w:rsid w:val="65374528"/>
    <w:rsid w:val="653E2C47"/>
    <w:rsid w:val="65713B58"/>
    <w:rsid w:val="65773FB0"/>
    <w:rsid w:val="65A34952"/>
    <w:rsid w:val="65AF4E0B"/>
    <w:rsid w:val="65BF71D6"/>
    <w:rsid w:val="65E650F7"/>
    <w:rsid w:val="66351977"/>
    <w:rsid w:val="66A44CC7"/>
    <w:rsid w:val="670D5158"/>
    <w:rsid w:val="672F24E9"/>
    <w:rsid w:val="674B49C6"/>
    <w:rsid w:val="681A5F3B"/>
    <w:rsid w:val="683602AE"/>
    <w:rsid w:val="683E4061"/>
    <w:rsid w:val="685A699C"/>
    <w:rsid w:val="6878474F"/>
    <w:rsid w:val="68882BCB"/>
    <w:rsid w:val="68B0186F"/>
    <w:rsid w:val="68CB0E27"/>
    <w:rsid w:val="68F06A92"/>
    <w:rsid w:val="690C2762"/>
    <w:rsid w:val="691C5141"/>
    <w:rsid w:val="691E574C"/>
    <w:rsid w:val="69501373"/>
    <w:rsid w:val="69C63F07"/>
    <w:rsid w:val="69DD7064"/>
    <w:rsid w:val="6A34657F"/>
    <w:rsid w:val="6A583B10"/>
    <w:rsid w:val="6A763F50"/>
    <w:rsid w:val="6A8E2BDB"/>
    <w:rsid w:val="6AB378B4"/>
    <w:rsid w:val="6AB54053"/>
    <w:rsid w:val="6AD71D05"/>
    <w:rsid w:val="6B06622D"/>
    <w:rsid w:val="6B61082D"/>
    <w:rsid w:val="6B670800"/>
    <w:rsid w:val="6BBB08DF"/>
    <w:rsid w:val="6BE801E7"/>
    <w:rsid w:val="6C08539F"/>
    <w:rsid w:val="6C655BF8"/>
    <w:rsid w:val="6C9F465B"/>
    <w:rsid w:val="6CA166B8"/>
    <w:rsid w:val="6CA743CC"/>
    <w:rsid w:val="6CBF1508"/>
    <w:rsid w:val="6CE27ACD"/>
    <w:rsid w:val="6CE759E9"/>
    <w:rsid w:val="6CF7074B"/>
    <w:rsid w:val="6D6B6E4D"/>
    <w:rsid w:val="6D796755"/>
    <w:rsid w:val="6D9305DB"/>
    <w:rsid w:val="6DC37052"/>
    <w:rsid w:val="6DE94F39"/>
    <w:rsid w:val="6DF243DE"/>
    <w:rsid w:val="6E056DE4"/>
    <w:rsid w:val="6E2F66A7"/>
    <w:rsid w:val="6E543DB3"/>
    <w:rsid w:val="6E683453"/>
    <w:rsid w:val="6E862D42"/>
    <w:rsid w:val="6E937CD8"/>
    <w:rsid w:val="6ECA26D1"/>
    <w:rsid w:val="6F07481C"/>
    <w:rsid w:val="6F13037E"/>
    <w:rsid w:val="6F213CF7"/>
    <w:rsid w:val="6F213FA3"/>
    <w:rsid w:val="6F3D3ED9"/>
    <w:rsid w:val="6F414742"/>
    <w:rsid w:val="6F422395"/>
    <w:rsid w:val="6F5E5CAB"/>
    <w:rsid w:val="6F777F27"/>
    <w:rsid w:val="6F8F7052"/>
    <w:rsid w:val="6FB23DD0"/>
    <w:rsid w:val="6FC113A3"/>
    <w:rsid w:val="6FCB39B7"/>
    <w:rsid w:val="704242AE"/>
    <w:rsid w:val="707D5EC5"/>
    <w:rsid w:val="709256F6"/>
    <w:rsid w:val="70C90DC0"/>
    <w:rsid w:val="70CE529A"/>
    <w:rsid w:val="70DA70E5"/>
    <w:rsid w:val="715776FB"/>
    <w:rsid w:val="71D30F7C"/>
    <w:rsid w:val="71F4425A"/>
    <w:rsid w:val="723C52DD"/>
    <w:rsid w:val="72C26192"/>
    <w:rsid w:val="72DE59F0"/>
    <w:rsid w:val="73295315"/>
    <w:rsid w:val="732A2376"/>
    <w:rsid w:val="73A47D96"/>
    <w:rsid w:val="73D20A9B"/>
    <w:rsid w:val="743261FE"/>
    <w:rsid w:val="745650ED"/>
    <w:rsid w:val="7460295E"/>
    <w:rsid w:val="74673DE0"/>
    <w:rsid w:val="74804C04"/>
    <w:rsid w:val="74C10AC5"/>
    <w:rsid w:val="74C979F8"/>
    <w:rsid w:val="74F51117"/>
    <w:rsid w:val="74FA159B"/>
    <w:rsid w:val="75131A0E"/>
    <w:rsid w:val="75B15EDF"/>
    <w:rsid w:val="75D81FEC"/>
    <w:rsid w:val="760261F5"/>
    <w:rsid w:val="763B11D1"/>
    <w:rsid w:val="76BE257C"/>
    <w:rsid w:val="76D34414"/>
    <w:rsid w:val="76E5305A"/>
    <w:rsid w:val="77326D7C"/>
    <w:rsid w:val="777651F6"/>
    <w:rsid w:val="779023EF"/>
    <w:rsid w:val="77A75DE5"/>
    <w:rsid w:val="77E358EB"/>
    <w:rsid w:val="77E612B6"/>
    <w:rsid w:val="77F05A71"/>
    <w:rsid w:val="78273EF6"/>
    <w:rsid w:val="78B10FE2"/>
    <w:rsid w:val="78BE77DD"/>
    <w:rsid w:val="7919753F"/>
    <w:rsid w:val="791A7C3D"/>
    <w:rsid w:val="79353340"/>
    <w:rsid w:val="795A70E9"/>
    <w:rsid w:val="79745C4F"/>
    <w:rsid w:val="79A951B4"/>
    <w:rsid w:val="7A136184"/>
    <w:rsid w:val="7A1B49B2"/>
    <w:rsid w:val="7A357C19"/>
    <w:rsid w:val="7A600926"/>
    <w:rsid w:val="7AA11E4E"/>
    <w:rsid w:val="7ACA3E17"/>
    <w:rsid w:val="7ADD0FC9"/>
    <w:rsid w:val="7AF422F1"/>
    <w:rsid w:val="7AFE373A"/>
    <w:rsid w:val="7B4E2788"/>
    <w:rsid w:val="7B70526D"/>
    <w:rsid w:val="7B7F10DE"/>
    <w:rsid w:val="7BA81DE3"/>
    <w:rsid w:val="7BC94E48"/>
    <w:rsid w:val="7BD36A76"/>
    <w:rsid w:val="7BD9545B"/>
    <w:rsid w:val="7BDB77AD"/>
    <w:rsid w:val="7C375405"/>
    <w:rsid w:val="7C7042BA"/>
    <w:rsid w:val="7C7F7A0B"/>
    <w:rsid w:val="7C850882"/>
    <w:rsid w:val="7C9E6B19"/>
    <w:rsid w:val="7CD07F23"/>
    <w:rsid w:val="7D53422E"/>
    <w:rsid w:val="7D5D66EF"/>
    <w:rsid w:val="7D7368E0"/>
    <w:rsid w:val="7D8F6250"/>
    <w:rsid w:val="7D987E04"/>
    <w:rsid w:val="7DDB0212"/>
    <w:rsid w:val="7E1B491C"/>
    <w:rsid w:val="7E295D76"/>
    <w:rsid w:val="7E39407C"/>
    <w:rsid w:val="7E394FEA"/>
    <w:rsid w:val="7E462FD2"/>
    <w:rsid w:val="7E835567"/>
    <w:rsid w:val="7EA753CB"/>
    <w:rsid w:val="7EC555A7"/>
    <w:rsid w:val="7EC7708F"/>
    <w:rsid w:val="7ECE249D"/>
    <w:rsid w:val="7F9A610B"/>
    <w:rsid w:val="7FBC1C41"/>
    <w:rsid w:val="7FC33025"/>
    <w:rsid w:val="7FE47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5"/>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8"/>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4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4">
    <w:name w:val="Default Paragraph Font"/>
    <w:semiHidden/>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11">
    <w:name w:val="annotation text"/>
    <w:basedOn w:val="1"/>
    <w:link w:val="41"/>
    <w:uiPriority w:val="0"/>
    <w:pPr>
      <w:jc w:val="left"/>
    </w:pPr>
  </w:style>
  <w:style w:type="paragraph" w:styleId="12">
    <w:name w:val="Body Text"/>
    <w:basedOn w:val="1"/>
    <w:next w:val="1"/>
    <w:qFormat/>
    <w:uiPriority w:val="0"/>
    <w:pPr>
      <w:spacing w:after="120"/>
    </w:pPr>
  </w:style>
  <w:style w:type="paragraph" w:styleId="13">
    <w:name w:val="Body Text Indent"/>
    <w:basedOn w:val="1"/>
    <w:qFormat/>
    <w:uiPriority w:val="0"/>
    <w:pPr>
      <w:spacing w:after="120"/>
      <w:ind w:left="420" w:leftChars="200"/>
    </w:pPr>
  </w:style>
  <w:style w:type="paragraph" w:styleId="14">
    <w:name w:val="Date"/>
    <w:basedOn w:val="1"/>
    <w:next w:val="1"/>
    <w:uiPriority w:val="0"/>
    <w:pPr>
      <w:ind w:left="100" w:leftChars="2500"/>
    </w:pPr>
  </w:style>
  <w:style w:type="paragraph" w:styleId="15">
    <w:name w:val="Balloon Text"/>
    <w:basedOn w:val="1"/>
    <w:link w:val="42"/>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11"/>
    <w:next w:val="11"/>
    <w:link w:val="43"/>
    <w:uiPriority w:val="0"/>
    <w:rPr>
      <w:b/>
      <w:bCs/>
    </w:rPr>
  </w:style>
  <w:style w:type="paragraph" w:styleId="20">
    <w:name w:val="Body Text First Indent"/>
    <w:basedOn w:val="12"/>
    <w:qFormat/>
    <w:uiPriority w:val="0"/>
    <w:pPr>
      <w:spacing w:after="0" w:line="360" w:lineRule="auto"/>
      <w:ind w:firstLine="420" w:firstLineChars="100"/>
    </w:pPr>
    <w:rPr>
      <w:rFonts w:ascii="Times New Roman" w:hAnsi="Times New Roman"/>
      <w:sz w:val="28"/>
      <w:szCs w:val="20"/>
    </w:rPr>
  </w:style>
  <w:style w:type="paragraph" w:styleId="21">
    <w:name w:val="Body Text First Indent 2"/>
    <w:basedOn w:val="13"/>
    <w:qFormat/>
    <w:uiPriority w:val="0"/>
    <w:pPr>
      <w:tabs>
        <w:tab w:val="left" w:pos="630"/>
      </w:tabs>
      <w:ind w:firstLine="420"/>
    </w:pPr>
  </w:style>
  <w:style w:type="table" w:styleId="23">
    <w:name w:val="Table Grid"/>
    <w:basedOn w:val="22"/>
    <w:uiPriority w:val="0"/>
    <w:pPr>
      <w:widowControl w:val="0"/>
      <w:jc w:val="both"/>
    </w:pPr>
    <w:rPr>
      <w:rFonts w:ascii="Calibri" w:hAnsi="Calibri"/>
      <w:lang w:val="en-US" w:eastAsia="zh-CN" w:bidi="ar-SA"/>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uiPriority w:val="0"/>
  </w:style>
  <w:style w:type="character" w:styleId="27">
    <w:name w:val="FollowedHyperlink"/>
    <w:basedOn w:val="24"/>
    <w:uiPriority w:val="0"/>
    <w:rPr>
      <w:color w:val="000000"/>
      <w:u w:val="none"/>
    </w:rPr>
  </w:style>
  <w:style w:type="character" w:styleId="28">
    <w:name w:val="Emphasis"/>
    <w:basedOn w:val="24"/>
    <w:qFormat/>
    <w:uiPriority w:val="0"/>
    <w:rPr>
      <w:i/>
    </w:rPr>
  </w:style>
  <w:style w:type="character" w:styleId="29">
    <w:name w:val="Hyperlink"/>
    <w:uiPriority w:val="0"/>
    <w:rPr>
      <w:color w:val="0563C1"/>
      <w:u w:val="single"/>
    </w:rPr>
  </w:style>
  <w:style w:type="character" w:styleId="30">
    <w:name w:val="HTML Code"/>
    <w:uiPriority w:val="0"/>
    <w:rPr>
      <w:rFonts w:ascii="宋体" w:hAnsi="宋体" w:eastAsia="宋体" w:cs="宋体"/>
      <w:sz w:val="24"/>
      <w:szCs w:val="24"/>
    </w:rPr>
  </w:style>
  <w:style w:type="character" w:styleId="31">
    <w:name w:val="annotation reference"/>
    <w:uiPriority w:val="0"/>
    <w:rPr>
      <w:sz w:val="21"/>
      <w:szCs w:val="21"/>
    </w:rPr>
  </w:style>
  <w:style w:type="character" w:customStyle="1" w:styleId="32">
    <w:name w:val="标题 1 Char"/>
    <w:link w:val="2"/>
    <w:uiPriority w:val="0"/>
    <w:rPr>
      <w:rFonts w:eastAsia="宋体"/>
      <w:b/>
      <w:bCs/>
      <w:kern w:val="44"/>
      <w:sz w:val="44"/>
      <w:szCs w:val="44"/>
      <w:lang w:val="en-US" w:eastAsia="zh-CN" w:bidi="ar-SA"/>
    </w:rPr>
  </w:style>
  <w:style w:type="character" w:customStyle="1" w:styleId="33">
    <w:name w:val="标题 2 Char"/>
    <w:link w:val="3"/>
    <w:uiPriority w:val="0"/>
    <w:rPr>
      <w:rFonts w:ascii="Arial" w:hAnsi="Arial" w:eastAsia="黑体"/>
      <w:b/>
      <w:bCs/>
      <w:kern w:val="2"/>
      <w:sz w:val="32"/>
      <w:szCs w:val="32"/>
      <w:lang w:val="en-US" w:eastAsia="zh-CN" w:bidi="ar-SA"/>
    </w:rPr>
  </w:style>
  <w:style w:type="character" w:customStyle="1" w:styleId="34">
    <w:name w:val="标题 3 Char"/>
    <w:link w:val="4"/>
    <w:uiPriority w:val="0"/>
    <w:rPr>
      <w:rFonts w:eastAsia="宋体"/>
      <w:b/>
      <w:bCs/>
      <w:kern w:val="2"/>
      <w:sz w:val="32"/>
      <w:szCs w:val="32"/>
      <w:lang w:val="en-US" w:eastAsia="zh-CN" w:bidi="ar-SA"/>
    </w:rPr>
  </w:style>
  <w:style w:type="character" w:customStyle="1" w:styleId="35">
    <w:name w:val="标题 4 Char"/>
    <w:link w:val="5"/>
    <w:uiPriority w:val="0"/>
    <w:rPr>
      <w:rFonts w:ascii="Arial" w:hAnsi="Arial" w:eastAsia="黑体"/>
      <w:b/>
      <w:bCs/>
      <w:kern w:val="2"/>
      <w:sz w:val="28"/>
      <w:szCs w:val="28"/>
      <w:lang w:val="en-US" w:eastAsia="zh-CN" w:bidi="ar-SA"/>
    </w:rPr>
  </w:style>
  <w:style w:type="character" w:customStyle="1" w:styleId="36">
    <w:name w:val="标题 5 Char"/>
    <w:link w:val="6"/>
    <w:uiPriority w:val="0"/>
    <w:rPr>
      <w:rFonts w:eastAsia="宋体"/>
      <w:b/>
      <w:bCs/>
      <w:kern w:val="2"/>
      <w:sz w:val="28"/>
      <w:szCs w:val="28"/>
      <w:lang w:val="en-US" w:eastAsia="zh-CN" w:bidi="ar-SA"/>
    </w:rPr>
  </w:style>
  <w:style w:type="character" w:customStyle="1" w:styleId="37">
    <w:name w:val="标题 6 Char"/>
    <w:link w:val="7"/>
    <w:uiPriority w:val="0"/>
    <w:rPr>
      <w:rFonts w:ascii="Arial" w:hAnsi="Arial" w:eastAsia="黑体"/>
      <w:b/>
      <w:bCs/>
      <w:kern w:val="2"/>
      <w:sz w:val="24"/>
      <w:szCs w:val="24"/>
      <w:lang w:val="en-US" w:eastAsia="zh-CN" w:bidi="ar-SA"/>
    </w:rPr>
  </w:style>
  <w:style w:type="character" w:customStyle="1" w:styleId="38">
    <w:name w:val="标题 7 Char"/>
    <w:link w:val="8"/>
    <w:uiPriority w:val="0"/>
    <w:rPr>
      <w:rFonts w:eastAsia="宋体"/>
      <w:b/>
      <w:bCs/>
      <w:kern w:val="2"/>
      <w:sz w:val="24"/>
      <w:szCs w:val="24"/>
      <w:lang w:val="en-US" w:eastAsia="zh-CN" w:bidi="ar-SA"/>
    </w:rPr>
  </w:style>
  <w:style w:type="character" w:customStyle="1" w:styleId="39">
    <w:name w:val="标题 8 Char"/>
    <w:link w:val="9"/>
    <w:uiPriority w:val="0"/>
    <w:rPr>
      <w:rFonts w:ascii="Arial" w:hAnsi="Arial" w:eastAsia="黑体"/>
      <w:kern w:val="2"/>
      <w:sz w:val="24"/>
      <w:szCs w:val="24"/>
      <w:lang w:val="en-US" w:eastAsia="zh-CN" w:bidi="ar-SA"/>
    </w:rPr>
  </w:style>
  <w:style w:type="character" w:customStyle="1" w:styleId="40">
    <w:name w:val="标题 9 Char"/>
    <w:link w:val="10"/>
    <w:uiPriority w:val="0"/>
    <w:rPr>
      <w:rFonts w:ascii="Arial" w:hAnsi="Arial" w:eastAsia="黑体"/>
      <w:kern w:val="2"/>
      <w:sz w:val="21"/>
      <w:szCs w:val="21"/>
      <w:lang w:val="en-US" w:eastAsia="zh-CN" w:bidi="ar-SA"/>
    </w:rPr>
  </w:style>
  <w:style w:type="character" w:customStyle="1" w:styleId="41">
    <w:name w:val="批注文字 Char"/>
    <w:link w:val="11"/>
    <w:uiPriority w:val="0"/>
    <w:rPr>
      <w:rFonts w:eastAsia="宋体"/>
      <w:kern w:val="2"/>
      <w:sz w:val="21"/>
      <w:szCs w:val="24"/>
      <w:lang w:val="en-US" w:eastAsia="zh-CN" w:bidi="ar-SA"/>
    </w:rPr>
  </w:style>
  <w:style w:type="character" w:customStyle="1" w:styleId="42">
    <w:name w:val="批注框文本 Char"/>
    <w:link w:val="15"/>
    <w:uiPriority w:val="0"/>
    <w:rPr>
      <w:rFonts w:eastAsia="宋体"/>
      <w:kern w:val="2"/>
      <w:sz w:val="18"/>
      <w:szCs w:val="18"/>
      <w:lang w:val="en-US" w:eastAsia="zh-CN" w:bidi="ar-SA"/>
    </w:rPr>
  </w:style>
  <w:style w:type="character" w:customStyle="1" w:styleId="43">
    <w:name w:val="批注主题 Char"/>
    <w:link w:val="19"/>
    <w:uiPriority w:val="0"/>
    <w:rPr>
      <w:rFonts w:eastAsia="宋体"/>
      <w:b/>
      <w:bCs/>
      <w:kern w:val="2"/>
      <w:sz w:val="21"/>
      <w:szCs w:val="24"/>
      <w:lang w:val="en-US" w:eastAsia="zh-CN" w:bidi="ar-SA"/>
    </w:rPr>
  </w:style>
  <w:style w:type="paragraph" w:customStyle="1" w:styleId="44">
    <w:name w:val="正文首行缩进1"/>
    <w:basedOn w:val="1"/>
    <w:qFormat/>
    <w:uiPriority w:val="0"/>
    <w:pPr>
      <w:spacing w:after="120"/>
      <w:ind w:firstLine="420" w:firstLineChars="100"/>
    </w:pPr>
    <w:rPr>
      <w:rFonts w:ascii="Times New Roman" w:hAnsi="Times New Roman"/>
    </w:rPr>
  </w:style>
  <w:style w:type="character" w:customStyle="1" w:styleId="45">
    <w:name w:val="font71"/>
    <w:basedOn w:val="24"/>
    <w:uiPriority w:val="0"/>
    <w:rPr>
      <w:rFonts w:hint="eastAsia" w:ascii="宋体" w:hAnsi="宋体" w:eastAsia="宋体" w:cs="宋体"/>
      <w:color w:val="000000"/>
      <w:sz w:val="18"/>
      <w:szCs w:val="18"/>
      <w:u w:val="none"/>
    </w:rPr>
  </w:style>
  <w:style w:type="character" w:customStyle="1" w:styleId="46">
    <w:name w:val="font12"/>
    <w:basedOn w:val="24"/>
    <w:uiPriority w:val="0"/>
    <w:rPr>
      <w:rFonts w:hint="default" w:ascii="Times New Roman" w:hAnsi="Times New Roman" w:cs="Times New Roman"/>
      <w:color w:val="000000"/>
      <w:sz w:val="18"/>
      <w:szCs w:val="18"/>
      <w:u w:val="none"/>
    </w:rPr>
  </w:style>
  <w:style w:type="character" w:customStyle="1" w:styleId="47">
    <w:name w:val="apple-converted-space"/>
    <w:uiPriority w:val="0"/>
    <w:rPr>
      <w:rFonts w:cs="Times New Roman"/>
    </w:rPr>
  </w:style>
  <w:style w:type="character" w:customStyle="1" w:styleId="48">
    <w:name w:val="wx-space"/>
    <w:basedOn w:val="24"/>
    <w:uiPriority w:val="0"/>
  </w:style>
  <w:style w:type="character" w:customStyle="1" w:styleId="49">
    <w:name w:val="wx-space1"/>
    <w:basedOn w:val="24"/>
    <w:uiPriority w:val="0"/>
  </w:style>
  <w:style w:type="character" w:customStyle="1" w:styleId="50">
    <w:name w:val="font41"/>
    <w:basedOn w:val="24"/>
    <w:uiPriority w:val="0"/>
    <w:rPr>
      <w:rFonts w:hint="default" w:ascii="Times New Roman" w:hAnsi="Times New Roman" w:cs="Times New Roman"/>
      <w:color w:val="000000"/>
      <w:sz w:val="20"/>
      <w:szCs w:val="20"/>
      <w:u w:val="none"/>
    </w:rPr>
  </w:style>
  <w:style w:type="character" w:customStyle="1" w:styleId="51">
    <w:name w:val="font31"/>
    <w:basedOn w:val="24"/>
    <w:uiPriority w:val="0"/>
    <w:rPr>
      <w:rFonts w:hint="default" w:ascii="Microsoft Himalaya" w:hAnsi="Microsoft Himalaya" w:eastAsia="Microsoft Himalaya" w:cs="Microsoft Himalaya"/>
      <w:color w:val="000000"/>
      <w:sz w:val="20"/>
      <w:szCs w:val="20"/>
      <w:u w:val="none"/>
    </w:rPr>
  </w:style>
  <w:style w:type="character" w:customStyle="1" w:styleId="52">
    <w:name w:val="font101"/>
    <w:basedOn w:val="24"/>
    <w:uiPriority w:val="0"/>
    <w:rPr>
      <w:rFonts w:hint="eastAsia" w:ascii="宋体" w:hAnsi="宋体" w:eastAsia="宋体" w:cs="宋体"/>
      <w:color w:val="000000"/>
      <w:sz w:val="16"/>
      <w:szCs w:val="16"/>
      <w:u w:val="none"/>
    </w:rPr>
  </w:style>
  <w:style w:type="character" w:customStyle="1" w:styleId="53">
    <w:name w:val="font01"/>
    <w:basedOn w:val="24"/>
    <w:uiPriority w:val="0"/>
    <w:rPr>
      <w:rFonts w:hint="default" w:ascii="Microsoft Himalaya" w:hAnsi="Microsoft Himalaya" w:eastAsia="Microsoft Himalaya" w:cs="Microsoft Himalaya"/>
      <w:color w:val="000000"/>
      <w:sz w:val="20"/>
      <w:szCs w:val="20"/>
      <w:u w:val="none"/>
    </w:rPr>
  </w:style>
  <w:style w:type="character" w:customStyle="1" w:styleId="54">
    <w:name w:val="font161"/>
    <w:basedOn w:val="24"/>
    <w:uiPriority w:val="0"/>
    <w:rPr>
      <w:rFonts w:hint="default" w:ascii="Times New Roman" w:hAnsi="Times New Roman" w:cs="Times New Roman"/>
      <w:color w:val="000000"/>
      <w:sz w:val="16"/>
      <w:szCs w:val="16"/>
      <w:u w:val="none"/>
    </w:rPr>
  </w:style>
  <w:style w:type="character" w:customStyle="1" w:styleId="55">
    <w:name w:val="font211"/>
    <w:basedOn w:val="24"/>
    <w:uiPriority w:val="0"/>
    <w:rPr>
      <w:rFonts w:hint="default" w:ascii="Times New Roman" w:hAnsi="Times New Roman" w:cs="Times New Roman"/>
      <w:color w:val="000000"/>
      <w:sz w:val="16"/>
      <w:szCs w:val="16"/>
      <w:u w:val="none"/>
    </w:rPr>
  </w:style>
  <w:style w:type="character" w:customStyle="1" w:styleId="56">
    <w:name w:val="font151"/>
    <w:basedOn w:val="24"/>
    <w:uiPriority w:val="0"/>
    <w:rPr>
      <w:rFonts w:hint="default" w:ascii="Times New Roman" w:hAnsi="Times New Roman" w:cs="Times New Roman"/>
      <w:color w:val="000000"/>
      <w:sz w:val="16"/>
      <w:szCs w:val="16"/>
      <w:u w:val="none"/>
    </w:rPr>
  </w:style>
  <w:style w:type="character" w:customStyle="1" w:styleId="57">
    <w:name w:val="font121"/>
    <w:basedOn w:val="24"/>
    <w:uiPriority w:val="0"/>
    <w:rPr>
      <w:rFonts w:ascii="华文仿宋" w:hAnsi="华文仿宋" w:eastAsia="华文仿宋" w:cs="华文仿宋"/>
      <w:color w:val="000000"/>
      <w:sz w:val="20"/>
      <w:szCs w:val="20"/>
      <w:u w:val="none"/>
    </w:rPr>
  </w:style>
  <w:style w:type="character" w:customStyle="1" w:styleId="58">
    <w:name w:val="font81"/>
    <w:basedOn w:val="24"/>
    <w:uiPriority w:val="0"/>
    <w:rPr>
      <w:rFonts w:hint="default" w:ascii="Times New Roman" w:hAnsi="Times New Roman" w:cs="Times New Roman"/>
      <w:color w:val="000000"/>
      <w:sz w:val="18"/>
      <w:szCs w:val="18"/>
      <w:u w:val="none"/>
    </w:rPr>
  </w:style>
  <w:style w:type="character" w:customStyle="1" w:styleId="59">
    <w:name w:val="font191"/>
    <w:basedOn w:val="24"/>
    <w:uiPriority w:val="0"/>
    <w:rPr>
      <w:rFonts w:hint="default" w:ascii="Times New Roman" w:hAnsi="Times New Roman" w:cs="Times New Roman"/>
      <w:color w:val="000000"/>
      <w:sz w:val="16"/>
      <w:szCs w:val="16"/>
      <w:u w:val="none"/>
    </w:rPr>
  </w:style>
  <w:style w:type="character" w:customStyle="1" w:styleId="60">
    <w:name w:val="font141"/>
    <w:basedOn w:val="24"/>
    <w:uiPriority w:val="0"/>
    <w:rPr>
      <w:rFonts w:hint="eastAsia" w:ascii="宋体" w:hAnsi="宋体" w:eastAsia="宋体" w:cs="宋体"/>
      <w:b/>
      <w:color w:val="000000"/>
      <w:sz w:val="18"/>
      <w:szCs w:val="18"/>
      <w:u w:val="none"/>
    </w:rPr>
  </w:style>
  <w:style w:type="character" w:customStyle="1" w:styleId="61">
    <w:name w:val="font21"/>
    <w:basedOn w:val="24"/>
    <w:uiPriority w:val="0"/>
    <w:rPr>
      <w:rFonts w:hint="eastAsia" w:ascii="宋体" w:hAnsi="宋体" w:eastAsia="宋体" w:cs="宋体"/>
      <w:b/>
      <w:color w:val="000000"/>
      <w:sz w:val="32"/>
      <w:szCs w:val="32"/>
      <w:u w:val="none"/>
    </w:rPr>
  </w:style>
  <w:style w:type="character" w:customStyle="1" w:styleId="62">
    <w:name w:val="font181"/>
    <w:basedOn w:val="24"/>
    <w:uiPriority w:val="0"/>
    <w:rPr>
      <w:rFonts w:hint="eastAsia" w:ascii="宋体" w:hAnsi="宋体" w:eastAsia="宋体" w:cs="宋体"/>
      <w:color w:val="000000"/>
      <w:sz w:val="18"/>
      <w:szCs w:val="18"/>
      <w:u w:val="none"/>
    </w:rPr>
  </w:style>
  <w:style w:type="character" w:customStyle="1" w:styleId="63">
    <w:name w:val="font241"/>
    <w:basedOn w:val="24"/>
    <w:uiPriority w:val="0"/>
    <w:rPr>
      <w:rFonts w:ascii="华文仿宋" w:hAnsi="华文仿宋" w:eastAsia="华文仿宋" w:cs="华文仿宋"/>
      <w:color w:val="000000"/>
      <w:sz w:val="20"/>
      <w:szCs w:val="20"/>
      <w:u w:val="none"/>
    </w:rPr>
  </w:style>
  <w:style w:type="character" w:customStyle="1" w:styleId="64">
    <w:name w:val="font51"/>
    <w:basedOn w:val="24"/>
    <w:uiPriority w:val="0"/>
    <w:rPr>
      <w:rFonts w:hint="default" w:ascii="Times New Roman" w:hAnsi="Times New Roman" w:cs="Times New Roman"/>
      <w:b/>
      <w:color w:val="000000"/>
      <w:sz w:val="20"/>
      <w:szCs w:val="20"/>
      <w:u w:val="none"/>
    </w:rPr>
  </w:style>
  <w:style w:type="character" w:customStyle="1" w:styleId="65">
    <w:name w:val="hover25"/>
    <w:basedOn w:val="24"/>
    <w:uiPriority w:val="0"/>
    <w:rPr>
      <w:color w:val="000000"/>
      <w:shd w:val="clear" w:color="auto" w:fill="FFFFFF"/>
    </w:rPr>
  </w:style>
  <w:style w:type="character" w:customStyle="1" w:styleId="66">
    <w:name w:val="Heading 2 Char"/>
    <w:locked/>
    <w:uiPriority w:val="0"/>
    <w:rPr>
      <w:rFonts w:ascii="Cambria" w:hAnsi="Cambria" w:eastAsia="宋体" w:cs="Times New Roman"/>
      <w:b/>
      <w:bCs/>
      <w:sz w:val="32"/>
      <w:szCs w:val="32"/>
    </w:rPr>
  </w:style>
  <w:style w:type="character" w:customStyle="1" w:styleId="67">
    <w:name w:val="font11"/>
    <w:basedOn w:val="24"/>
    <w:uiPriority w:val="0"/>
    <w:rPr>
      <w:rFonts w:hint="eastAsia" w:ascii="仿宋" w:hAnsi="仿宋" w:eastAsia="仿宋" w:cs="仿宋"/>
      <w:color w:val="000000"/>
      <w:sz w:val="24"/>
      <w:szCs w:val="24"/>
      <w:u w:val="none"/>
    </w:rPr>
  </w:style>
  <w:style w:type="character" w:customStyle="1" w:styleId="68">
    <w:name w:val="font91"/>
    <w:basedOn w:val="24"/>
    <w:uiPriority w:val="0"/>
    <w:rPr>
      <w:rFonts w:hint="default" w:ascii="Times New Roman" w:hAnsi="Times New Roman" w:cs="Times New Roman"/>
      <w:color w:val="000000"/>
      <w:sz w:val="16"/>
      <w:szCs w:val="16"/>
      <w:u w:val="none"/>
    </w:rPr>
  </w:style>
  <w:style w:type="character" w:customStyle="1" w:styleId="69">
    <w:name w:val="font61"/>
    <w:basedOn w:val="24"/>
    <w:uiPriority w:val="0"/>
    <w:rPr>
      <w:rFonts w:hint="eastAsia" w:ascii="宋体" w:hAnsi="宋体" w:eastAsia="宋体" w:cs="宋体"/>
      <w:b/>
      <w:color w:val="000000"/>
      <w:sz w:val="20"/>
      <w:szCs w:val="20"/>
      <w:u w:val="none"/>
    </w:rPr>
  </w:style>
  <w:style w:type="character" w:customStyle="1" w:styleId="70">
    <w:name w:val="hover23"/>
    <w:basedOn w:val="24"/>
    <w:uiPriority w:val="0"/>
    <w:rPr>
      <w:color w:val="000000"/>
      <w:shd w:val="clear" w:color="auto" w:fill="FFFFFF"/>
    </w:rPr>
  </w:style>
  <w:style w:type="paragraph" w:customStyle="1" w:styleId="71">
    <w:name w:val="列出段落1"/>
    <w:basedOn w:val="1"/>
    <w:uiPriority w:val="0"/>
    <w:pPr>
      <w:ind w:firstLine="420" w:firstLineChars="200"/>
    </w:pPr>
  </w:style>
  <w:style w:type="paragraph" w:customStyle="1" w:styleId="72">
    <w:name w:val="1111"/>
    <w:basedOn w:val="1"/>
    <w:uiPriority w:val="0"/>
    <w:pPr>
      <w:spacing w:line="360" w:lineRule="auto"/>
      <w:ind w:firstLine="200" w:firstLineChars="200"/>
    </w:pPr>
    <w:rPr>
      <w:rFonts w:eastAsia="仿宋_GB2312"/>
      <w:sz w:val="24"/>
    </w:rPr>
  </w:style>
  <w:style w:type="paragraph" w:styleId="73">
    <w:name w:val="List Paragraph"/>
    <w:basedOn w:val="1"/>
    <w:qFormat/>
    <w:uiPriority w:val="0"/>
    <w:pPr>
      <w:ind w:firstLine="420" w:firstLineChars="200"/>
    </w:pPr>
  </w:style>
  <w:style w:type="character" w:customStyle="1" w:styleId="74">
    <w:name w:val="font111"/>
    <w:basedOn w:val="24"/>
    <w:uiPriority w:val="0"/>
    <w:rPr>
      <w:rFonts w:hint="default" w:ascii="Times New Roman" w:hAnsi="Times New Roman" w:cs="Times New Roman"/>
      <w:color w:val="000000"/>
      <w:sz w:val="20"/>
      <w:szCs w:val="20"/>
      <w:u w:val="none"/>
    </w:rPr>
  </w:style>
  <w:style w:type="character" w:customStyle="1" w:styleId="75">
    <w:name w:val="font112"/>
    <w:basedOn w:val="24"/>
    <w:uiPriority w:val="0"/>
    <w:rPr>
      <w:rFonts w:hint="default" w:ascii="Times New Roman" w:hAnsi="Times New Roman" w:cs="Times New Roman"/>
      <w:color w:val="000000"/>
      <w:sz w:val="18"/>
      <w:szCs w:val="18"/>
      <w:u w:val="none"/>
    </w:rPr>
  </w:style>
  <w:style w:type="character" w:customStyle="1" w:styleId="76">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24895</Words>
  <Characters>31050</Characters>
  <Lines>85</Lines>
  <Paragraphs>24</Paragraphs>
  <TotalTime>16</TotalTime>
  <ScaleCrop>false</ScaleCrop>
  <LinksUpToDate>false</LinksUpToDate>
  <CharactersWithSpaces>31432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张志超</cp:lastModifiedBy>
  <cp:lastPrinted>2023-10-23T10:31:22Z</cp:lastPrinted>
  <dcterms:modified xsi:type="dcterms:W3CDTF">2023-12-06T09:31:02Z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0F0D67CC20BE4753A08BC44FF6182023_13</vt:lpwstr>
  </property>
  <property fmtid="{D5CDD505-2E9C-101B-9397-08002B2CF9AE}" pid="4" name="commondata">
    <vt:lpwstr>eyJoZGlkIjoiYzQwYzIxZTY5Njc5YjJmMmUwOTAzMzg4ZDAwOTc1YTAifQ==</vt:lpwstr>
  </property>
</Properties>
</file>