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1158240</wp:posOffset>
            </wp:positionH>
            <wp:positionV relativeFrom="paragraph">
              <wp:posOffset>161290</wp:posOffset>
            </wp:positionV>
            <wp:extent cx="2941955" cy="3070225"/>
            <wp:effectExtent l="0" t="0" r="0" b="0"/>
            <wp:wrapNone/>
            <wp:docPr id="1" name="图片 1" descr="国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徽"/>
                    <pic:cNvPicPr>
                      <a:picLocks noChangeAspect="1"/>
                    </pic:cNvPicPr>
                  </pic:nvPicPr>
                  <pic:blipFill>
                    <a:blip r:embed="rId11"/>
                    <a:stretch>
                      <a:fillRect/>
                    </a:stretch>
                  </pic:blipFill>
                  <pic:spPr>
                    <a:xfrm>
                      <a:off x="0" y="0"/>
                      <a:ext cx="2941955" cy="307022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ascii="方正小标宋简体" w:hAnsi="方正小标宋简体" w:eastAsia="方正小标宋简体" w:cs="方正小标宋简体"/>
          <w:b/>
          <w:bCs/>
          <w:color w:val="0000FF"/>
          <w:sz w:val="72"/>
          <w:szCs w:val="144"/>
          <w:lang w:val="en-US" w:eastAsia="zh-CN"/>
        </w:rPr>
      </w:pPr>
      <w:r>
        <w:rPr>
          <w:rFonts w:hint="eastAsia" w:ascii="方正小标宋简体" w:hAnsi="方正小标宋简体" w:eastAsia="方正小标宋简体" w:cs="方正小标宋简体"/>
          <w:b/>
          <w:bCs/>
          <w:color w:val="0000FF"/>
          <w:sz w:val="72"/>
          <w:szCs w:val="144"/>
          <w:lang w:val="en-US" w:eastAsia="zh-CN"/>
        </w:rPr>
        <w:t>云 溪 区 人 民 政 府</w:t>
      </w:r>
    </w:p>
    <w:p>
      <w:pPr>
        <w:jc w:val="center"/>
        <w:rPr>
          <w:rFonts w:hint="eastAsia" w:ascii="方正小标宋简体" w:hAnsi="方正小标宋简体" w:eastAsia="方正小标宋简体" w:cs="方正小标宋简体"/>
          <w:color w:val="0000FF"/>
          <w:sz w:val="108"/>
          <w:szCs w:val="108"/>
          <w:lang w:val="en-US" w:eastAsia="zh-CN"/>
        </w:rPr>
      </w:pPr>
      <w:r>
        <w:rPr>
          <w:rFonts w:hint="eastAsia" w:ascii="方正小标宋简体" w:hAnsi="方正小标宋简体" w:eastAsia="方正小标宋简体" w:cs="方正小标宋简体"/>
          <w:color w:val="0000FF"/>
          <w:sz w:val="108"/>
          <w:szCs w:val="108"/>
          <w:lang w:val="en-US" w:eastAsia="zh-CN"/>
        </w:rPr>
        <w:t>公  报</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outlineLvl w:val="0"/>
        <w:rPr>
          <w:rFonts w:hint="eastAsia" w:ascii="微软雅黑" w:hAnsi="微软雅黑" w:eastAsia="微软雅黑" w:cs="微软雅黑"/>
          <w:sz w:val="36"/>
          <w:szCs w:val="44"/>
          <w:u w:val="none"/>
          <w:lang w:val="en-US" w:eastAsia="zh-CN"/>
        </w:rPr>
      </w:pPr>
      <w:bookmarkStart w:id="0" w:name="_Toc18785"/>
      <w:r>
        <w:rPr>
          <w:rFonts w:hint="eastAsia" w:ascii="微软雅黑" w:hAnsi="微软雅黑" w:eastAsia="微软雅黑" w:cs="微软雅黑"/>
          <w:sz w:val="36"/>
          <w:szCs w:val="44"/>
          <w:u w:val="none"/>
          <w:lang w:val="en-US" w:eastAsia="zh-CN"/>
        </w:rPr>
        <w:t>第 2 期</w:t>
      </w:r>
      <w:bookmarkEnd w:id="0"/>
    </w:p>
    <w:p>
      <w:pPr>
        <w:jc w:val="center"/>
        <w:rPr>
          <w:rFonts w:hint="eastAsia" w:ascii="微软雅黑" w:hAnsi="微软雅黑" w:eastAsia="微软雅黑" w:cs="微软雅黑"/>
          <w:b/>
          <w:bCs/>
          <w:color w:val="FF0000"/>
          <w:sz w:val="52"/>
          <w:szCs w:val="72"/>
          <w:lang w:val="en-US" w:eastAsia="zh-CN"/>
        </w:rPr>
      </w:pPr>
      <w:r>
        <w:rPr>
          <w:sz w:val="40"/>
          <w:szCs w:val="28"/>
        </w:rPr>
        <mc:AlternateContent>
          <mc:Choice Requires="wps">
            <w:drawing>
              <wp:anchor distT="0" distB="0" distL="114300" distR="114300" simplePos="0" relativeHeight="251660288" behindDoc="0" locked="0" layoutInCell="1" allowOverlap="1">
                <wp:simplePos x="0" y="0"/>
                <wp:positionH relativeFrom="column">
                  <wp:posOffset>2186305</wp:posOffset>
                </wp:positionH>
                <wp:positionV relativeFrom="paragraph">
                  <wp:posOffset>24130</wp:posOffset>
                </wp:positionV>
                <wp:extent cx="882015" cy="0"/>
                <wp:effectExtent l="0" t="14605" r="13335" b="23495"/>
                <wp:wrapNone/>
                <wp:docPr id="2" name="直接连接符 2"/>
                <wp:cNvGraphicFramePr/>
                <a:graphic xmlns:a="http://schemas.openxmlformats.org/drawingml/2006/main">
                  <a:graphicData uri="http://schemas.microsoft.com/office/word/2010/wordprocessingShape">
                    <wps:wsp>
                      <wps:cNvCnPr/>
                      <wps:spPr>
                        <a:xfrm>
                          <a:off x="3186430" y="8834755"/>
                          <a:ext cx="88201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15pt;margin-top:1.9pt;height:0pt;width:69.45pt;z-index:251660288;mso-width-relative:page;mso-height-relative:page;" filled="f" stroked="t" coordsize="21600,21600" o:gfxdata="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3bINQAAAAHAQAADwAAAAAAAAABACAAAAAiAAAAZHJzL2Rvd25yZXYueG1sUEsBAhQAFAAAAAgA&#10;h07iQL3E3gTwAQAAvQMAAA4AAAAAAAAAAQAgAAAAIwEAAGRycy9lMm9Eb2MueG1sUEsFBgAAAAAG&#10;AAYAWQEAAIUFAAAAAA==&#10;">
                <v:fill on="f" focussize="0,0"/>
                <v:stroke weight="2.25pt" color="#000000 [3200]" miterlimit="8" joinstyle="miter"/>
                <v:imagedata o:title=""/>
                <o:lock v:ext="edit" aspectratio="f"/>
              </v:line>
            </w:pict>
          </mc:Fallback>
        </mc:AlternateContent>
      </w:r>
      <w:r>
        <w:rPr>
          <w:rFonts w:hint="eastAsia" w:ascii="微软雅黑" w:hAnsi="微软雅黑" w:eastAsia="微软雅黑" w:cs="微软雅黑"/>
          <w:b/>
          <w:bCs/>
          <w:color w:val="FF0000"/>
          <w:sz w:val="52"/>
          <w:szCs w:val="72"/>
          <w:lang w:val="en-US" w:eastAsia="zh-CN"/>
        </w:rPr>
        <w:t>2024</w:t>
      </w:r>
    </w:p>
    <w:p>
      <w:pPr>
        <w:rPr>
          <w:rFonts w:hint="default" w:eastAsiaTheme="minorEastAsia"/>
          <w:lang w:val="en-US" w:eastAsia="zh-CN"/>
        </w:rPr>
        <w:sectPr>
          <w:footerReference r:id="rId3" w:type="first"/>
          <w:pgSz w:w="11906" w:h="16838"/>
          <w:pgMar w:top="1440" w:right="1800" w:bottom="1440" w:left="1800" w:header="851" w:footer="992" w:gutter="0"/>
          <w:pgNumType w:fmt="decimal"/>
          <w:cols w:space="425" w:num="1"/>
          <w:docGrid w:type="lines" w:linePitch="312" w:charSpace="0"/>
        </w:sectPr>
      </w:pPr>
    </w:p>
    <w:sdt>
      <w:sdtPr>
        <w:rPr>
          <w:rFonts w:hint="eastAsia" w:ascii="方正小标宋简体" w:hAnsi="方正小标宋简体" w:eastAsia="方正小标宋简体" w:cs="方正小标宋简体"/>
          <w:kern w:val="2"/>
          <w:sz w:val="32"/>
          <w:szCs w:val="32"/>
          <w:lang w:val="en-US" w:eastAsia="zh-CN" w:bidi="ar-SA"/>
        </w:rPr>
        <w:id w:val="147473376"/>
        <w15:color w:val="DBDBDB"/>
        <w:docPartObj>
          <w:docPartGallery w:val="Table of Contents"/>
          <w:docPartUnique/>
        </w:docPartObj>
      </w:sdtPr>
      <w:sdtEndPr>
        <w:rPr>
          <w:rFonts w:hint="eastAsia" w:ascii="仿宋" w:hAnsi="仿宋" w:eastAsia="仿宋" w:cs="仿宋"/>
          <w:b w:val="0"/>
          <w:bCs w:val="0"/>
          <w:kern w:val="2"/>
          <w:sz w:val="24"/>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760" w:lineRule="exact"/>
            <w:ind w:left="0" w:leftChars="0" w:right="0" w:rightChars="0" w:firstLine="0" w:firstLineChars="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w:t>
          </w:r>
          <w:r>
            <w:rPr>
              <w:rFonts w:hint="eastAsia" w:ascii="方正小标宋简体" w:hAnsi="方正小标宋简体" w:eastAsia="方正小标宋简体" w:cs="方正小标宋简体"/>
              <w:sz w:val="32"/>
              <w:szCs w:val="32"/>
              <w:lang w:val="en-US" w:eastAsia="zh-CN"/>
            </w:rPr>
            <w:t xml:space="preserve">    </w:t>
          </w:r>
          <w:r>
            <w:rPr>
              <w:rFonts w:hint="eastAsia" w:ascii="方正小标宋简体" w:hAnsi="方正小标宋简体" w:eastAsia="方正小标宋简体" w:cs="方正小标宋简体"/>
              <w:sz w:val="32"/>
              <w:szCs w:val="32"/>
            </w:rPr>
            <w:t>录</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【区政府文件】</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岳阳市云溪区人民政府关于谭敏等同志职务任免的通知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w:t>
          </w:r>
          <w:r>
            <w:rPr>
              <w:rFonts w:hint="eastAsia" w:ascii="仿宋" w:hAnsi="仿宋" w:eastAsia="仿宋" w:cs="仿宋"/>
              <w:b w:val="0"/>
              <w:bCs w:val="0"/>
              <w:sz w:val="24"/>
              <w:szCs w:val="24"/>
              <w:lang w:val="en-US" w:eastAsia="zh-CN"/>
            </w:rPr>
            <w:t>人</w:t>
          </w:r>
          <w:r>
            <w:rPr>
              <w:rFonts w:hint="eastAsia" w:ascii="仿宋" w:hAnsi="仿宋" w:eastAsia="仿宋" w:cs="仿宋"/>
              <w:b w:val="0"/>
              <w:bCs w:val="0"/>
              <w:sz w:val="24"/>
              <w:szCs w:val="24"/>
              <w:lang w:eastAsia="zh-CN"/>
            </w:rPr>
            <w:t>〔2024〕1号）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关于松杨湖、太平河、云溪河部分河段管理范围调整方案的批复</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（岳云政函〔2024〕42号）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5）</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_GB2312" w:hAnsi="Times New Roman" w:eastAsia="仿宋_GB2312" w:cs="Times New Roman"/>
              <w:sz w:val="32"/>
              <w:szCs w:val="32"/>
            </w:rPr>
          </w:pP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eastAsia" w:ascii="方正小标宋简体" w:eastAsia="方正小标宋简体"/>
              <w:sz w:val="44"/>
              <w:szCs w:val="44"/>
            </w:rPr>
          </w:pPr>
          <w:r>
            <w:rPr>
              <w:rFonts w:hint="eastAsia" w:ascii="仿宋" w:hAnsi="仿宋" w:eastAsia="仿宋" w:cs="仿宋"/>
              <w:b w:val="0"/>
              <w:bCs w:val="0"/>
              <w:sz w:val="24"/>
              <w:szCs w:val="24"/>
              <w:lang w:val="en-US" w:eastAsia="zh-CN"/>
            </w:rPr>
            <w:t>【区政府办文件】</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关于表彰奖励2023年度科技创新企业和优秀科技工作者的通报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（岳云政办通〔2024〕2号</w:t>
          </w:r>
          <w:r>
            <w:rPr>
              <w:rFonts w:hint="eastAsia" w:ascii="仿宋" w:hAnsi="仿宋" w:eastAsia="仿宋" w:cs="仿宋"/>
              <w:b w:val="0"/>
              <w:bCs w:val="0"/>
              <w:kern w:val="0"/>
              <w:sz w:val="24"/>
              <w:szCs w:val="24"/>
              <w:lang w:val="en-US" w:eastAsia="zh-CN"/>
            </w:rPr>
            <w:t>）</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6）</w:t>
          </w:r>
        </w:p>
        <w:p>
          <w:pPr>
            <w:keepNext w:val="0"/>
            <w:keepLines w:val="0"/>
            <w:pageBreakBefore w:val="0"/>
            <w:kinsoku/>
            <w:wordWrap/>
            <w:overflowPunct/>
            <w:topLinePunct w:val="0"/>
            <w:autoSpaceDE/>
            <w:autoSpaceDN/>
            <w:bidi w:val="0"/>
            <w:adjustRightInd/>
            <w:snapToGrid/>
            <w:spacing w:line="560" w:lineRule="atLeast"/>
            <w:ind w:firstLine="640" w:firstLineChars="200"/>
            <w:textAlignment w:val="auto"/>
            <w:rPr>
              <w:rFonts w:hint="eastAsia" w:ascii="仿宋_GB2312" w:hAnsi="Times New Roman" w:eastAsia="仿宋_GB2312" w:cs="Times New Roman"/>
              <w:color w:val="000000"/>
              <w:sz w:val="32"/>
              <w:szCs w:val="32"/>
            </w:rPr>
          </w:pP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关于印发《岳阳市云溪区实施创新驱动促进高质量发展的激励措施》的通知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（岳云政办发〔2024〕5号）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12）</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kern w:val="0"/>
              <w:sz w:val="24"/>
              <w:szCs w:val="24"/>
              <w:lang w:val="en-US" w:eastAsia="zh-CN"/>
            </w:rPr>
          </w:pP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关于公布2024年度云溪区人民政府重大行政决策事项目录的通知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kern w:val="0"/>
              <w:sz w:val="24"/>
              <w:szCs w:val="24"/>
              <w:lang w:val="en-US" w:eastAsia="zh-CN"/>
            </w:rPr>
            <w:t>（岳云政办函〔2024〕6号）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16）</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关于进一步加强项目建设管理的通知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（岳云政办发〔2024〕6号）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19</w:t>
          </w:r>
          <w:bookmarkStart w:id="1" w:name="_GoBack"/>
          <w:bookmarkEnd w:id="1"/>
          <w:r>
            <w:rPr>
              <w:rFonts w:hint="eastAsia" w:ascii="仿宋" w:hAnsi="仿宋" w:eastAsia="仿宋" w:cs="仿宋"/>
              <w:b w:val="0"/>
              <w:bCs w:val="0"/>
              <w:sz w:val="24"/>
              <w:szCs w:val="24"/>
              <w:lang w:val="en-US" w:eastAsia="zh-CN"/>
            </w:rPr>
            <w:t>）</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640" w:lineRule="exact"/>
            <w:jc w:val="both"/>
          </w:pPr>
        </w:p>
      </w:sdtContent>
    </w:sdt>
    <w:p>
      <w:pPr>
        <w:keepNext w:val="0"/>
        <w:keepLines w:val="0"/>
        <w:pageBreakBefore w:val="0"/>
        <w:widowControl w:val="0"/>
        <w:kinsoku/>
        <w:wordWrap/>
        <w:overflowPunct/>
        <w:topLinePunct w:val="0"/>
        <w:autoSpaceDE/>
        <w:autoSpaceDN/>
        <w:bidi w:val="0"/>
        <w:adjustRightInd/>
        <w:snapToGrid/>
        <w:spacing w:before="3837" w:beforeLines="1230" w:line="260" w:lineRule="exact"/>
        <w:jc w:val="center"/>
        <w:textAlignment w:val="auto"/>
        <w:rPr>
          <w:rFonts w:hint="eastAsia" w:ascii="仿宋_GB2312"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before="3837" w:beforeLines="1230" w:line="560" w:lineRule="exact"/>
        <w:jc w:val="center"/>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岳云政人〔2024〕1号</w:t>
      </w: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640" w:firstLineChars="200"/>
        <w:rPr>
          <w:rFonts w:hint="eastAsia" w:ascii="仿宋_GB2312" w:hAnsi="Times New Roman" w:eastAsia="仿宋_GB2312" w:cs="Times New Roman"/>
          <w:sz w:val="32"/>
          <w:szCs w:val="32"/>
        </w:rPr>
      </w:pP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w:t>
      </w: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关于谭敏等同志职务任免的通知</w:t>
      </w:r>
    </w:p>
    <w:p>
      <w:pPr>
        <w:spacing w:line="560" w:lineRule="exact"/>
        <w:ind w:firstLine="640" w:firstLineChars="200"/>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各镇人民政府、街道办事处，绿色化工高新区管委会，区直及驻区各单位：</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经研究，同意：</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张云同志任政府办副主任（兼）；</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谢先勇同志任区一中副校长（试用期一年）；</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免去谭敏同志区政府办副主任（兼）职务；</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免去李勇同志区一中副校长职务。</w:t>
      </w: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4640" w:firstLineChars="145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岳阳市云溪区人民政府</w:t>
      </w:r>
    </w:p>
    <w:p>
      <w:pPr>
        <w:wordWrap w:val="0"/>
        <w:spacing w:line="560" w:lineRule="exact"/>
        <w:ind w:right="1260" w:rightChars="600"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2024年6月14日</w:t>
      </w: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060" w:type="dxa"/>
            <w:noWrap w:val="0"/>
            <w:vAlign w:val="top"/>
          </w:tcPr>
          <w:p>
            <w:pPr>
              <w:ind w:firstLine="280" w:firstLineChars="100"/>
              <w:rPr>
                <w:rFonts w:hint="eastAsia" w:ascii="仿宋_GB2312" w:hAnsi="Times New Roman" w:eastAsia="仿宋_GB2312" w:cs="Times New Roman"/>
                <w:sz w:val="32"/>
                <w:szCs w:val="32"/>
              </w:rPr>
            </w:pPr>
            <w:r>
              <w:rPr>
                <w:rFonts w:hint="eastAsia" w:ascii="仿宋_GB2312" w:hAnsi="Times New Roman" w:eastAsia="仿宋_GB2312" w:cs="Times New Roman"/>
                <w:sz w:val="28"/>
                <w:szCs w:val="28"/>
              </w:rPr>
              <w:t>岳阳市云溪区人民政府办公室              2024年6月14日印发</w:t>
            </w:r>
          </w:p>
        </w:tc>
      </w:tr>
    </w:tbl>
    <w:p>
      <w:pPr>
        <w:spacing w:line="20" w:lineRule="exact"/>
        <w:rPr>
          <w:rFonts w:hint="eastAsia" w:ascii="Times New Roman" w:hAnsi="Times New Roman" w:eastAsia="宋体" w:cs="Times New Roman"/>
        </w:rPr>
      </w:pPr>
    </w:p>
    <w:p>
      <w:r>
        <w:br w:type="page"/>
      </w: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岳云政函〔2024〕42号</w:t>
      </w:r>
    </w:p>
    <w:p>
      <w:pPr>
        <w:rPr>
          <w:rFonts w:hint="eastAsia" w:ascii="仿宋_GB2312" w:hAnsi="Times New Roman" w:eastAsia="仿宋_GB2312" w:cs="Times New Roman"/>
          <w:sz w:val="32"/>
          <w:szCs w:val="32"/>
        </w:rPr>
      </w:pP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w:t>
      </w: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关于松杨湖、太平河、云溪河部分河段</w:t>
      </w: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管理范围调整方案的批复</w:t>
      </w:r>
    </w:p>
    <w:p>
      <w:pPr>
        <w:rPr>
          <w:rFonts w:hint="eastAsia" w:ascii="仿宋_GB2312" w:hAnsi="Times New Roman" w:eastAsia="仿宋_GB2312" w:cs="Times New Roman"/>
          <w:sz w:val="32"/>
          <w:szCs w:val="32"/>
        </w:rPr>
      </w:pPr>
    </w:p>
    <w:p>
      <w:pP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区水利局、区自然资源局：</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关于申请审查批准我区松杨湖、太平河、云溪河河湖管理范围调整方案的请示》（岳云水〔2024〕22号）收悉。经研究，同意松杨湖、太平河、云溪河部分河段的管理范围调整方案。请你们结合实际，实事求是、科学严谨做好相关河段管理界桩调整和调界成果入库工作。</w:t>
      </w:r>
    </w:p>
    <w:p>
      <w:pPr>
        <w:ind w:firstLine="640" w:firstLineChars="200"/>
        <w:rPr>
          <w:rFonts w:hint="eastAsia" w:ascii="仿宋_GB2312" w:hAnsi="Times New Roman" w:eastAsia="仿宋_GB2312" w:cs="Times New Roman"/>
          <w:sz w:val="32"/>
          <w:szCs w:val="32"/>
        </w:rPr>
      </w:pPr>
    </w:p>
    <w:p>
      <w:pPr>
        <w:ind w:firstLine="640" w:firstLineChars="200"/>
        <w:rPr>
          <w:rFonts w:hint="eastAsia" w:ascii="仿宋_GB2312" w:hAnsi="Times New Roman" w:eastAsia="仿宋_GB2312" w:cs="Times New Roman"/>
          <w:sz w:val="32"/>
          <w:szCs w:val="32"/>
        </w:rPr>
      </w:pPr>
    </w:p>
    <w:p>
      <w:pPr>
        <w:ind w:firstLine="4704" w:firstLineChars="147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岳阳市云溪区人民政府</w:t>
      </w:r>
    </w:p>
    <w:p>
      <w:pPr>
        <w:wordWrap w:val="0"/>
        <w:ind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2024年5月7日        </w:t>
      </w:r>
    </w:p>
    <w:p>
      <w:r>
        <w:br w:type="page"/>
      </w:r>
    </w:p>
    <w:p>
      <w:pPr>
        <w:spacing w:line="600" w:lineRule="exact"/>
        <w:ind w:firstLine="640" w:firstLineChars="200"/>
        <w:jc w:val="right"/>
        <w:rPr>
          <w:rFonts w:hint="eastAsia" w:ascii="仿宋_GB2312" w:eastAsia="仿宋_GB2312"/>
          <w:sz w:val="32"/>
          <w:szCs w:val="32"/>
        </w:rPr>
      </w:pPr>
    </w:p>
    <w:p>
      <w:pPr>
        <w:spacing w:line="600" w:lineRule="exact"/>
        <w:ind w:firstLine="640" w:firstLineChars="200"/>
        <w:jc w:val="right"/>
        <w:rPr>
          <w:rFonts w:hint="eastAsia" w:ascii="仿宋_GB2312" w:eastAsia="仿宋_GB2312"/>
          <w:sz w:val="32"/>
          <w:szCs w:val="32"/>
        </w:rPr>
      </w:pPr>
    </w:p>
    <w:p>
      <w:pPr>
        <w:spacing w:line="600" w:lineRule="exact"/>
        <w:ind w:firstLine="640" w:firstLineChars="200"/>
        <w:jc w:val="right"/>
        <w:rPr>
          <w:rFonts w:hint="eastAsia" w:ascii="仿宋_GB2312" w:eastAsia="仿宋_GB2312"/>
          <w:sz w:val="32"/>
          <w:szCs w:val="32"/>
        </w:rPr>
      </w:pPr>
    </w:p>
    <w:p>
      <w:pPr>
        <w:spacing w:line="600" w:lineRule="exact"/>
        <w:ind w:firstLine="640" w:firstLineChars="200"/>
        <w:jc w:val="right"/>
        <w:rPr>
          <w:rFonts w:hint="eastAsia" w:ascii="仿宋_GB2312" w:eastAsia="仿宋_GB2312"/>
          <w:sz w:val="32"/>
          <w:szCs w:val="32"/>
        </w:rPr>
      </w:pPr>
    </w:p>
    <w:p>
      <w:pPr>
        <w:spacing w:line="600" w:lineRule="exact"/>
        <w:ind w:firstLine="640" w:firstLineChars="200"/>
        <w:jc w:val="right"/>
        <w:rPr>
          <w:rFonts w:hint="eastAsia" w:ascii="仿宋_GB2312" w:eastAsia="仿宋_GB2312"/>
          <w:sz w:val="32"/>
          <w:szCs w:val="32"/>
        </w:rPr>
      </w:pPr>
    </w:p>
    <w:p>
      <w:pPr>
        <w:ind w:firstLine="640" w:firstLineChars="200"/>
        <w:jc w:val="center"/>
        <w:rPr>
          <w:rFonts w:hint="eastAsia" w:ascii="仿宋_GB2312" w:eastAsia="仿宋_GB2312"/>
          <w:sz w:val="32"/>
          <w:szCs w:val="32"/>
        </w:rPr>
      </w:pPr>
      <w:r>
        <w:rPr>
          <w:rFonts w:hint="eastAsia" w:ascii="仿宋_GB2312" w:eastAsia="仿宋_GB2312"/>
          <w:sz w:val="32"/>
          <w:szCs w:val="32"/>
        </w:rPr>
        <w:t>岳云政办通〔2024〕2号</w:t>
      </w: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关于表彰奖励2023年度科技创新企业和优秀科技工作者的通报</w:t>
      </w:r>
    </w:p>
    <w:p>
      <w:pPr>
        <w:spacing w:line="540" w:lineRule="exact"/>
        <w:ind w:firstLine="640" w:firstLineChars="200"/>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2023年，全区广大企业和科技</w:t>
      </w:r>
      <w:r>
        <w:rPr>
          <w:rFonts w:hint="eastAsia" w:ascii="仿宋_GB2312" w:eastAsia="仿宋_GB2312"/>
          <w:spacing w:val="4"/>
          <w:sz w:val="32"/>
          <w:szCs w:val="32"/>
        </w:rPr>
        <w:t>工作者在深入推</w:t>
      </w:r>
      <w:r>
        <w:rPr>
          <w:rFonts w:hint="eastAsia" w:ascii="仿宋_GB2312" w:eastAsia="仿宋_GB2312"/>
          <w:sz w:val="32"/>
          <w:szCs w:val="32"/>
        </w:rPr>
        <w:t>进科技创新攻坚仗过程中，认真贯彻落实区委区政府决策部署，深入践行创新发展理念，为云溪高质量发展作出了突出贡献，涌现出一大批严谨笃实、砥砺创新、臻于卓越的典范。岳阳振兴中顺新材料科技股份有限公司成功入选国家级专精特新“小巨人”企业，中石化湖南石油化工有限公司环氧树脂项目成功入选湖南省“十大技术攻关项目”，湖南聚仁新材料股份公司ε-己内酯及其聚合物荣获湖南省制造业关键产品“揭榜挂帅”项目，湖南长炼新材料科技股份公司获批全省首批、岳阳唯一的湖南省科技成果转化中试基地，湖南聚仁新材料股份公司、岳阳凯门水性助剂有限公司两家高新企业分别在全国创新创业大赛中斩获一等奖、三等奖，为加快实现云溪区高水平科技自立自强注入强劲动力。</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为表彰先进、树立典型，激发科技创新强劲活力，营造讲科学、爱科学、学科学、用科学的良好氛围，根据《岳阳市云溪区实施创新驱动促进高质量发展的激励措施》（岳云政办发〔2021〕12号），经区人民政府研究决定，对湖南东为化工新材料有限公司等7家新认定的国家高新技术企业、湖南中创化工股份有限公司等19家通过复审的国家高新技术企业、中石化湖南石油化工有限公司等6家研发投入总量或增速全区领先的企业、湖南聚仁新材料股份公司等5家在全国或全市创新创业大赛中获奖的企业和被认定为市级科普基地的湖南云溪白泥湖国家湿地公园管理中心给予奖励，授予梁红文、高伟等9名科研人员“云溪区优秀科技工作者”荣誉称号。希望受表彰的集体和个人珍惜荣誉、戒骄戒躁，充分发挥好示范表率作用，积极进取、再创佳绩，为推动我区科技进步、促进高质量发展做出更大贡献。全区广大企业和科技工作者要以他们为榜样，大力弘扬创新发展、追求卓越的精神，争做科技发展的探索者、组织者、引领者，勇于推动科技创新与产业转型升级，拓展新质生产力的发展空间。</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2024年是云溪区建区40周年，全区各级各部门单位要紧紧围绕产业发展，统筹抓好项目建设、招商引资、科技创新等各方面工作，全心全意服务企业，引领全区各类企业增强信心、轻装上阵、大胆发展，为加快建设湖南万亿现代石化产业核心基地和世界领先的绿色高端化工新材料产业基地贡献力量。</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附件：1.云溪区2023年度科技创新工作奖励企业名单</w:t>
      </w:r>
    </w:p>
    <w:p>
      <w:pPr>
        <w:keepNext w:val="0"/>
        <w:keepLines w:val="0"/>
        <w:pageBreakBefore w:val="0"/>
        <w:widowControl w:val="0"/>
        <w:kinsoku/>
        <w:wordWrap/>
        <w:overflowPunct/>
        <w:topLinePunct w:val="0"/>
        <w:autoSpaceDE/>
        <w:autoSpaceDN/>
        <w:bidi w:val="0"/>
        <w:adjustRightInd/>
        <w:snapToGrid/>
        <w:spacing w:line="500" w:lineRule="exact"/>
        <w:ind w:firstLine="1600" w:firstLineChars="500"/>
        <w:textAlignment w:val="auto"/>
        <w:rPr>
          <w:rFonts w:hint="eastAsia" w:ascii="仿宋_GB2312" w:eastAsia="仿宋_GB2312"/>
          <w:sz w:val="32"/>
          <w:szCs w:val="32"/>
        </w:rPr>
      </w:pPr>
      <w:r>
        <w:rPr>
          <w:rFonts w:hint="eastAsia" w:ascii="仿宋_GB2312" w:eastAsia="仿宋_GB2312"/>
          <w:sz w:val="32"/>
          <w:szCs w:val="32"/>
        </w:rPr>
        <w:t>2.云溪区2023年度优秀科技工作者名单</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p>
    <w:p>
      <w:pPr>
        <w:spacing w:line="540" w:lineRule="exact"/>
        <w:ind w:firstLine="640" w:firstLineChars="200"/>
        <w:rPr>
          <w:rFonts w:hint="eastAsia" w:ascii="仿宋_GB2312" w:eastAsia="仿宋_GB2312"/>
          <w:sz w:val="32"/>
          <w:szCs w:val="32"/>
        </w:rPr>
      </w:pPr>
    </w:p>
    <w:p>
      <w:pPr>
        <w:spacing w:line="540" w:lineRule="exact"/>
        <w:ind w:firstLine="4160" w:firstLineChars="1300"/>
        <w:rPr>
          <w:rFonts w:hint="eastAsia" w:ascii="仿宋_GB2312" w:eastAsia="仿宋_GB2312"/>
          <w:sz w:val="32"/>
          <w:szCs w:val="32"/>
        </w:rPr>
      </w:pPr>
      <w:r>
        <w:rPr>
          <w:rFonts w:hint="eastAsia" w:ascii="仿宋_GB2312" w:eastAsia="仿宋_GB2312"/>
          <w:sz w:val="32"/>
          <w:szCs w:val="32"/>
        </w:rPr>
        <w:t>岳阳市云溪区人民政府办公室</w:t>
      </w:r>
    </w:p>
    <w:p>
      <w:pPr>
        <w:spacing w:line="540" w:lineRule="exact"/>
        <w:ind w:right="1260" w:rightChars="600" w:firstLine="640" w:firstLineChars="200"/>
        <w:jc w:val="right"/>
        <w:rPr>
          <w:rFonts w:ascii="仿宋_GB2312" w:eastAsia="仿宋_GB2312"/>
          <w:sz w:val="32"/>
          <w:szCs w:val="32"/>
        </w:rPr>
      </w:pPr>
      <w:r>
        <w:rPr>
          <w:rFonts w:hint="eastAsia" w:ascii="仿宋_GB2312" w:eastAsia="仿宋_GB2312"/>
          <w:sz w:val="32"/>
          <w:szCs w:val="32"/>
        </w:rPr>
        <w:t>2024年5月28日</w:t>
      </w:r>
    </w:p>
    <w:p>
      <w:pPr>
        <w:autoSpaceDE w:val="0"/>
        <w:spacing w:line="560" w:lineRule="exact"/>
        <w:rPr>
          <w:rFonts w:ascii="黑体" w:hAnsi="黑体" w:eastAsia="黑体"/>
          <w:sz w:val="32"/>
          <w:szCs w:val="32"/>
        </w:rPr>
      </w:pPr>
      <w:r>
        <w:rPr>
          <w:rFonts w:ascii="仿宋_GB2312" w:eastAsia="仿宋_GB2312"/>
          <w:sz w:val="32"/>
          <w:szCs w:val="32"/>
        </w:rPr>
        <w:br w:type="page"/>
      </w:r>
      <w:r>
        <w:rPr>
          <w:rFonts w:hint="eastAsia" w:ascii="黑体" w:hAnsi="黑体" w:eastAsia="黑体"/>
          <w:sz w:val="32"/>
          <w:szCs w:val="32"/>
        </w:rPr>
        <w:t>附件1</w:t>
      </w:r>
    </w:p>
    <w:p>
      <w:pPr>
        <w:autoSpaceDE w:val="0"/>
        <w:jc w:val="center"/>
        <w:rPr>
          <w:rFonts w:hint="eastAsia" w:ascii="方正小标宋简体" w:hAnsi="Calibri" w:eastAsia="方正小标宋简体"/>
          <w:sz w:val="44"/>
          <w:szCs w:val="44"/>
        </w:rPr>
      </w:pPr>
      <w:r>
        <w:rPr>
          <w:rFonts w:hint="eastAsia" w:ascii="方正小标宋简体" w:eastAsia="方正小标宋简体"/>
          <w:sz w:val="44"/>
          <w:szCs w:val="44"/>
        </w:rPr>
        <w:t>云溪区2023年度科技创新工作奖励企业名单</w:t>
      </w:r>
    </w:p>
    <w:tbl>
      <w:tblPr>
        <w:tblStyle w:val="12"/>
        <w:tblW w:w="9072" w:type="dxa"/>
        <w:jc w:val="center"/>
        <w:tblLayout w:type="fixed"/>
        <w:tblCellMar>
          <w:top w:w="0" w:type="dxa"/>
          <w:left w:w="28" w:type="dxa"/>
          <w:bottom w:w="0" w:type="dxa"/>
          <w:right w:w="28" w:type="dxa"/>
        </w:tblCellMar>
      </w:tblPr>
      <w:tblGrid>
        <w:gridCol w:w="607"/>
        <w:gridCol w:w="2388"/>
        <w:gridCol w:w="2046"/>
        <w:gridCol w:w="906"/>
        <w:gridCol w:w="1694"/>
        <w:gridCol w:w="1431"/>
      </w:tblGrid>
      <w:tr>
        <w:tblPrEx>
          <w:tblCellMar>
            <w:top w:w="0" w:type="dxa"/>
            <w:left w:w="28" w:type="dxa"/>
            <w:bottom w:w="0" w:type="dxa"/>
            <w:right w:w="28" w:type="dxa"/>
          </w:tblCellMar>
        </w:tblPrEx>
        <w:trPr>
          <w:trHeight w:val="533" w:hRule="atLeast"/>
          <w:tblHeader/>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序号</w:t>
            </w:r>
          </w:p>
        </w:tc>
        <w:tc>
          <w:tcPr>
            <w:tcW w:w="2496"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获奖单位</w:t>
            </w:r>
          </w:p>
        </w:tc>
        <w:tc>
          <w:tcPr>
            <w:tcW w:w="2138"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奖励项目名称</w:t>
            </w:r>
          </w:p>
        </w:tc>
        <w:tc>
          <w:tcPr>
            <w:tcW w:w="945"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奖励</w:t>
            </w:r>
          </w:p>
          <w:p>
            <w:pPr>
              <w:widowControl/>
              <w:jc w:val="center"/>
              <w:rPr>
                <w:rFonts w:hint="eastAsia" w:ascii="黑体" w:hAnsi="黑体" w:eastAsia="黑体" w:cs="宋体"/>
                <w:kern w:val="0"/>
                <w:sz w:val="22"/>
                <w:szCs w:val="22"/>
              </w:rPr>
            </w:pPr>
            <w:r>
              <w:rPr>
                <w:rFonts w:hint="eastAsia" w:ascii="黑体" w:hAnsi="黑体" w:eastAsia="黑体" w:cs="宋体"/>
                <w:kern w:val="0"/>
                <w:sz w:val="22"/>
                <w:szCs w:val="22"/>
              </w:rPr>
              <w:t>金额</w:t>
            </w:r>
          </w:p>
          <w:p>
            <w:pPr>
              <w:widowControl/>
              <w:jc w:val="center"/>
              <w:rPr>
                <w:rFonts w:ascii="黑体" w:hAnsi="黑体" w:eastAsia="黑体" w:cs="宋体"/>
                <w:kern w:val="0"/>
                <w:sz w:val="22"/>
                <w:szCs w:val="22"/>
              </w:rPr>
            </w:pPr>
            <w:r>
              <w:rPr>
                <w:rFonts w:hint="eastAsia" w:ascii="黑体" w:hAnsi="黑体" w:eastAsia="黑体" w:cs="宋体"/>
                <w:kern w:val="0"/>
                <w:sz w:val="22"/>
                <w:szCs w:val="22"/>
              </w:rPr>
              <w:t>(万元)</w:t>
            </w:r>
          </w:p>
        </w:tc>
        <w:tc>
          <w:tcPr>
            <w:tcW w:w="1770"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奖励依据</w:t>
            </w:r>
          </w:p>
        </w:tc>
        <w:tc>
          <w:tcPr>
            <w:tcW w:w="1494"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备注</w:t>
            </w: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湖南聚仁新材料</w:t>
            </w:r>
          </w:p>
          <w:p>
            <w:pPr>
              <w:widowControl/>
              <w:autoSpaceDE w:val="0"/>
              <w:spacing w:line="300" w:lineRule="exact"/>
              <w:jc w:val="center"/>
              <w:rPr>
                <w:rFonts w:ascii="黑体" w:hAnsi="黑体" w:eastAsia="黑体" w:cs="宋体"/>
                <w:kern w:val="0"/>
                <w:sz w:val="24"/>
              </w:rPr>
            </w:pPr>
            <w:r>
              <w:rPr>
                <w:rFonts w:hint="eastAsia" w:ascii="仿宋_GB2312" w:hAnsi="宋体" w:eastAsia="仿宋_GB2312"/>
                <w:color w:val="000000"/>
                <w:kern w:val="0"/>
              </w:rPr>
              <w:t>股份公司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全国创新创业大赛</w:t>
            </w:r>
          </w:p>
          <w:p>
            <w:pPr>
              <w:widowControl/>
              <w:autoSpaceDE w:val="0"/>
              <w:spacing w:line="300" w:lineRule="exact"/>
              <w:jc w:val="center"/>
              <w:rPr>
                <w:rFonts w:ascii="黑体" w:hAnsi="黑体" w:eastAsia="黑体" w:cs="宋体"/>
                <w:kern w:val="0"/>
                <w:sz w:val="24"/>
              </w:rPr>
            </w:pPr>
            <w:r>
              <w:rPr>
                <w:rFonts w:hint="eastAsia" w:ascii="仿宋_GB2312" w:hAnsi="仿宋" w:eastAsia="仿宋_GB2312" w:cs="宋体"/>
                <w:kern w:val="0"/>
              </w:rPr>
              <w:t>一等奖</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黑体" w:hAnsi="黑体" w:eastAsia="黑体" w:cs="宋体"/>
                <w:kern w:val="0"/>
                <w:sz w:val="24"/>
              </w:rPr>
            </w:pPr>
            <w:r>
              <w:rPr>
                <w:rFonts w:hint="eastAsia" w:ascii="仿宋_GB2312" w:hAnsi="仿宋" w:eastAsia="仿宋_GB2312" w:cs="宋体"/>
                <w:kern w:val="0"/>
                <w:sz w:val="24"/>
              </w:rPr>
              <w:t>20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黑体" w:hAnsi="黑体" w:eastAsia="黑体" w:cs="宋体"/>
                <w:kern w:val="0"/>
                <w:sz w:val="24"/>
              </w:rPr>
            </w:pPr>
            <w:r>
              <w:rPr>
                <w:rFonts w:hint="eastAsia" w:ascii="仿宋_GB2312" w:hAnsi="仿宋" w:eastAsia="仿宋_GB2312" w:cs="宋体"/>
                <w:kern w:val="0"/>
              </w:rPr>
              <w:t>获奖文件、证书</w:t>
            </w:r>
          </w:p>
        </w:tc>
        <w:tc>
          <w:tcPr>
            <w:tcW w:w="1494"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4"/>
              </w:rPr>
            </w:pP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岳阳凯门水性助剂</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全国创新创业大赛</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三等奖</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获奖文件、证书</w:t>
            </w:r>
          </w:p>
        </w:tc>
        <w:tc>
          <w:tcPr>
            <w:tcW w:w="1494"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4"/>
              </w:rPr>
            </w:pP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中石化湖南石油化工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研发投入总量奖补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直报平台数据</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总量86784万</w:t>
            </w: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4</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湖南中创化工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股份有限公司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研发投入总量奖补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直报平台数据</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总量6154万</w:t>
            </w: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湖南建长石化</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研发投入总量奖补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直报平台数据</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总量3257万</w:t>
            </w: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黑体" w:hAnsi="黑体" w:eastAsia="黑体" w:cs="宋体"/>
                <w:kern w:val="0"/>
                <w:sz w:val="24"/>
              </w:rPr>
            </w:pPr>
            <w:r>
              <w:rPr>
                <w:rFonts w:hint="eastAsia" w:ascii="黑体" w:hAnsi="黑体" w:eastAsia="黑体" w:cs="宋体"/>
                <w:kern w:val="0"/>
                <w:sz w:val="24"/>
              </w:rPr>
              <w:t>6</w:t>
            </w:r>
          </w:p>
        </w:tc>
        <w:tc>
          <w:tcPr>
            <w:tcW w:w="2496"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湖南前驱新材料</w:t>
            </w:r>
          </w:p>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市创新创业大赛现代石化小微组一等奖</w:t>
            </w:r>
          </w:p>
        </w:tc>
        <w:tc>
          <w:tcPr>
            <w:tcW w:w="945"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 w:val="24"/>
              </w:rPr>
            </w:pPr>
            <w:r>
              <w:rPr>
                <w:rFonts w:hint="eastAsia" w:ascii="仿宋_GB2312" w:hAnsi="仿宋" w:eastAsia="仿宋_GB2312" w:cs="宋体"/>
                <w:color w:val="000000"/>
                <w:kern w:val="0"/>
                <w:sz w:val="24"/>
              </w:rPr>
              <w:t>5</w:t>
            </w:r>
          </w:p>
        </w:tc>
        <w:tc>
          <w:tcPr>
            <w:tcW w:w="1770"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获奖文件、证书</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黑体" w:hAnsi="黑体" w:eastAsia="黑体" w:cs="宋体"/>
                <w:kern w:val="0"/>
                <w:sz w:val="24"/>
              </w:rPr>
            </w:pPr>
            <w:r>
              <w:rPr>
                <w:rFonts w:hint="eastAsia" w:ascii="黑体" w:hAnsi="黑体" w:eastAsia="黑体" w:cs="宋体"/>
                <w:kern w:val="0"/>
                <w:sz w:val="24"/>
              </w:rPr>
              <w:t>7</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湖南倍特尔新材料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8</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湖南金域新材料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9</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湖南苏港环保科技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湖南东为化工新材料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11</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湖南中宝石化</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12</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岳阳市湘诚碳素制品</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13</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湖南国通保安服务</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14</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Calibri" w:eastAsia="仿宋_GB2312"/>
                <w:szCs w:val="21"/>
              </w:rPr>
            </w:pPr>
            <w:r>
              <w:rPr>
                <w:rFonts w:hint="eastAsia" w:ascii="仿宋_GB2312" w:eastAsia="仿宋_GB2312"/>
              </w:rPr>
              <w:t>湖南睿熙达新材料科技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eastAsia="仿宋_GB2312"/>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研发投入增速奖补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直报平台数据</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增速507.77%</w:t>
            </w: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15</w:t>
            </w:r>
          </w:p>
        </w:tc>
        <w:tc>
          <w:tcPr>
            <w:tcW w:w="2496"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eastAsia="仿宋_GB2312"/>
              </w:rPr>
              <w:t>岳阳昌德新材料</w:t>
            </w:r>
          </w:p>
          <w:p>
            <w:pPr>
              <w:autoSpaceDE w:val="0"/>
              <w:spacing w:line="300" w:lineRule="exact"/>
              <w:jc w:val="center"/>
              <w:rPr>
                <w:rFonts w:ascii="仿宋_GB2312" w:hAnsi="Calibri" w:eastAsia="仿宋_GB2312"/>
                <w:szCs w:val="21"/>
              </w:rPr>
            </w:pPr>
            <w:r>
              <w:rPr>
                <w:rFonts w:hint="eastAsia" w:ascii="仿宋_GB2312" w:eastAsia="仿宋_GB2312"/>
              </w:rPr>
              <w:t>有限公司</w:t>
            </w:r>
          </w:p>
        </w:tc>
        <w:tc>
          <w:tcPr>
            <w:tcW w:w="2138"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hAnsi="仿宋" w:eastAsia="仿宋_GB2312" w:cs="宋体"/>
                <w:kern w:val="0"/>
              </w:rPr>
              <w:t>研发投入增速奖补</w:t>
            </w:r>
          </w:p>
        </w:tc>
        <w:tc>
          <w:tcPr>
            <w:tcW w:w="945"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 w:val="24"/>
              </w:rPr>
            </w:pPr>
            <w:r>
              <w:rPr>
                <w:rFonts w:hint="eastAsia" w:ascii="仿宋_GB2312" w:eastAsia="仿宋_GB2312"/>
                <w:sz w:val="24"/>
              </w:rPr>
              <w:t>5</w:t>
            </w:r>
          </w:p>
        </w:tc>
        <w:tc>
          <w:tcPr>
            <w:tcW w:w="1770"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autoSpaceDE w:val="0"/>
              <w:spacing w:line="300" w:lineRule="exact"/>
              <w:jc w:val="center"/>
              <w:rPr>
                <w:rFonts w:ascii="仿宋_GB2312" w:hAnsi="Calibri" w:eastAsia="仿宋_GB2312"/>
                <w:szCs w:val="21"/>
              </w:rPr>
            </w:pPr>
            <w:r>
              <w:rPr>
                <w:rFonts w:hint="eastAsia" w:ascii="仿宋_GB2312" w:hAnsi="仿宋" w:eastAsia="仿宋_GB2312" w:cs="宋体"/>
                <w:kern w:val="0"/>
              </w:rPr>
              <w:t>直报平台数据</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增速20.80%</w:t>
            </w: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16</w:t>
            </w:r>
          </w:p>
        </w:tc>
        <w:tc>
          <w:tcPr>
            <w:tcW w:w="2496"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eastAsia="仿宋_GB2312"/>
              </w:rPr>
              <w:t>湖南瑞源石化</w:t>
            </w:r>
          </w:p>
          <w:p>
            <w:pPr>
              <w:autoSpaceDE w:val="0"/>
              <w:spacing w:line="300" w:lineRule="exact"/>
              <w:jc w:val="center"/>
              <w:rPr>
                <w:rFonts w:ascii="仿宋_GB2312" w:hAnsi="Calibri" w:eastAsia="仿宋_GB2312"/>
                <w:szCs w:val="21"/>
              </w:rPr>
            </w:pPr>
            <w:r>
              <w:rPr>
                <w:rFonts w:hint="eastAsia" w:ascii="仿宋_GB2312" w:eastAsia="仿宋_GB2312"/>
              </w:rPr>
              <w:t>股份有限公司</w:t>
            </w:r>
          </w:p>
        </w:tc>
        <w:tc>
          <w:tcPr>
            <w:tcW w:w="2138"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hAnsi="仿宋" w:eastAsia="仿宋_GB2312" w:cs="宋体"/>
                <w:kern w:val="0"/>
              </w:rPr>
              <w:t>研发投入增速奖补</w:t>
            </w:r>
          </w:p>
        </w:tc>
        <w:tc>
          <w:tcPr>
            <w:tcW w:w="945"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 w:val="24"/>
              </w:rPr>
            </w:pPr>
            <w:r>
              <w:rPr>
                <w:rFonts w:hint="eastAsia" w:ascii="仿宋_GB2312" w:eastAsia="仿宋_GB2312"/>
                <w:sz w:val="24"/>
              </w:rPr>
              <w:t>5</w:t>
            </w:r>
          </w:p>
        </w:tc>
        <w:tc>
          <w:tcPr>
            <w:tcW w:w="1770"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autoSpaceDE w:val="0"/>
              <w:spacing w:line="300" w:lineRule="exact"/>
              <w:jc w:val="center"/>
              <w:rPr>
                <w:rFonts w:ascii="仿宋_GB2312" w:hAnsi="Calibri" w:eastAsia="仿宋_GB2312"/>
                <w:szCs w:val="21"/>
              </w:rPr>
            </w:pPr>
            <w:r>
              <w:rPr>
                <w:rFonts w:hint="eastAsia" w:ascii="仿宋_GB2312" w:hAnsi="仿宋" w:eastAsia="仿宋_GB2312" w:cs="宋体"/>
                <w:kern w:val="0"/>
              </w:rPr>
              <w:t>直报平台数据</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增速0.43%</w:t>
            </w: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17</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岳阳市德龙包装材料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18</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岳阳长岭炼化通达</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建筑安装工程有限公司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19</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湖南泽丰农化有限公司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20</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湖南亚王医药科技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21</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湖南瑞源石化</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股份有限公司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22</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湖南博瑞康新材料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23</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湖南建长石化</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24</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岳阳长旺化工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25</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湖南中创化工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股份有限公司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26</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岳阳市格瑞科技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27</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湖南中翔化学科技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28</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湖南康源邦尔生物技术</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29</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岳阳东方雨虹防水技术</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有限责任公司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333333"/>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30</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岳阳昌德新材料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31</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岳阳长岭设备研究所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32</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湖南艾馨园中药材股份</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33</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湖南淳湘农林科技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34</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岳阳中科华昂精细化工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科技有限公司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35</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湖南长炼新材料科技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股份公司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黑体" w:eastAsia="仿宋_GB2312" w:cs="宋体"/>
                <w:kern w:val="0"/>
                <w:sz w:val="24"/>
              </w:rPr>
            </w:pPr>
            <w:r>
              <w:rPr>
                <w:rFonts w:hint="eastAsia" w:ascii="仿宋_GB2312" w:hAnsi="黑体" w:eastAsia="仿宋_GB2312" w:cs="宋体"/>
                <w:kern w:val="0"/>
                <w:sz w:val="24"/>
              </w:rPr>
              <w:t>36</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岳阳长岭设备研究所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市创新创业大赛现代石化成长组三等奖</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2</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获奖文件、证书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黑体" w:eastAsia="仿宋_GB2312" w:cs="宋体"/>
                <w:kern w:val="0"/>
                <w:sz w:val="24"/>
              </w:rPr>
            </w:pPr>
            <w:r>
              <w:rPr>
                <w:rFonts w:hint="eastAsia" w:ascii="仿宋_GB2312" w:hAnsi="黑体" w:eastAsia="仿宋_GB2312" w:cs="宋体"/>
                <w:kern w:val="0"/>
                <w:sz w:val="24"/>
              </w:rPr>
              <w:t>37</w:t>
            </w:r>
          </w:p>
        </w:tc>
        <w:tc>
          <w:tcPr>
            <w:tcW w:w="2496"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湖南特俪洁新材料科技</w:t>
            </w:r>
          </w:p>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市创新创业大赛现代石化小微组三等奖</w:t>
            </w:r>
          </w:p>
        </w:tc>
        <w:tc>
          <w:tcPr>
            <w:tcW w:w="945"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 w:val="24"/>
              </w:rPr>
            </w:pPr>
            <w:r>
              <w:rPr>
                <w:rFonts w:hint="eastAsia" w:ascii="仿宋_GB2312" w:hAnsi="仿宋" w:eastAsia="仿宋_GB2312" w:cs="宋体"/>
                <w:color w:val="000000"/>
                <w:kern w:val="0"/>
                <w:sz w:val="24"/>
              </w:rPr>
              <w:t>2</w:t>
            </w:r>
          </w:p>
        </w:tc>
        <w:tc>
          <w:tcPr>
            <w:tcW w:w="1770"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获奖文件、证书</w:t>
            </w:r>
          </w:p>
        </w:tc>
        <w:tc>
          <w:tcPr>
            <w:tcW w:w="1494"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黑体" w:eastAsia="仿宋_GB2312" w:cs="宋体"/>
                <w:kern w:val="0"/>
                <w:sz w:val="24"/>
              </w:rPr>
            </w:pPr>
            <w:r>
              <w:rPr>
                <w:rFonts w:hint="eastAsia" w:ascii="仿宋_GB2312" w:hAnsi="黑体" w:eastAsia="仿宋_GB2312" w:cs="宋体"/>
                <w:kern w:val="0"/>
                <w:sz w:val="24"/>
              </w:rPr>
              <w:t>38</w:t>
            </w:r>
          </w:p>
        </w:tc>
        <w:tc>
          <w:tcPr>
            <w:tcW w:w="2496"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湖南云溪白泥湖国家</w:t>
            </w:r>
          </w:p>
          <w:p>
            <w:pPr>
              <w:autoSpaceDE w:val="0"/>
              <w:spacing w:line="300" w:lineRule="exact"/>
              <w:jc w:val="center"/>
              <w:rPr>
                <w:rFonts w:ascii="仿宋_GB2312" w:hAnsi="Calibri" w:eastAsia="仿宋_GB2312"/>
                <w:szCs w:val="21"/>
              </w:rPr>
            </w:pPr>
            <w:r>
              <w:rPr>
                <w:rFonts w:hint="eastAsia" w:ascii="仿宋_GB2312" w:hAnsi="仿宋" w:eastAsia="仿宋_GB2312" w:cs="宋体"/>
                <w:color w:val="000000"/>
                <w:kern w:val="0"/>
              </w:rPr>
              <w:t>湿地公园管理中心</w:t>
            </w:r>
          </w:p>
        </w:tc>
        <w:tc>
          <w:tcPr>
            <w:tcW w:w="2138"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eastAsia="仿宋_GB2312"/>
              </w:rPr>
              <w:t>市级科普基地</w:t>
            </w:r>
          </w:p>
        </w:tc>
        <w:tc>
          <w:tcPr>
            <w:tcW w:w="945"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 w:val="24"/>
              </w:rPr>
            </w:pPr>
            <w:r>
              <w:rPr>
                <w:rFonts w:hint="eastAsia" w:ascii="仿宋_GB2312" w:eastAsia="仿宋_GB2312"/>
                <w:sz w:val="24"/>
              </w:rPr>
              <w:t>2</w:t>
            </w:r>
          </w:p>
        </w:tc>
        <w:tc>
          <w:tcPr>
            <w:tcW w:w="1770"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hAnsi="仿宋" w:eastAsia="仿宋_GB2312" w:cs="宋体"/>
                <w:color w:val="000000"/>
                <w:kern w:val="0"/>
              </w:rPr>
              <w:t>认定文件</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p>
        </w:tc>
      </w:tr>
    </w:tbl>
    <w:p>
      <w:pPr>
        <w:spacing w:line="540" w:lineRule="exact"/>
        <w:rPr>
          <w:rFonts w:hint="eastAsia" w:ascii="仿宋_GB2312" w:eastAsia="仿宋_GB2312"/>
          <w:sz w:val="32"/>
          <w:szCs w:val="32"/>
        </w:rPr>
      </w:pPr>
    </w:p>
    <w:p>
      <w:pPr>
        <w:spacing w:line="540" w:lineRule="exact"/>
        <w:rPr>
          <w:rFonts w:hint="eastAsia" w:ascii="黑体" w:hAnsi="黑体" w:eastAsia="黑体"/>
          <w:sz w:val="32"/>
          <w:szCs w:val="32"/>
        </w:rPr>
      </w:pPr>
      <w:r>
        <w:rPr>
          <w:rFonts w:hint="eastAsia" w:ascii="黑体" w:hAnsi="黑体" w:eastAsia="黑体"/>
          <w:sz w:val="32"/>
          <w:szCs w:val="32"/>
        </w:rPr>
        <w:t>附件2</w:t>
      </w:r>
    </w:p>
    <w:p>
      <w:pPr>
        <w:spacing w:line="540" w:lineRule="exact"/>
        <w:ind w:firstLine="640" w:firstLineChars="200"/>
        <w:rPr>
          <w:rFonts w:ascii="仿宋_GB2312" w:eastAsia="仿宋_GB2312"/>
          <w:sz w:val="32"/>
          <w:szCs w:val="32"/>
        </w:rPr>
      </w:pPr>
    </w:p>
    <w:p>
      <w:pPr>
        <w:jc w:val="center"/>
        <w:rPr>
          <w:rFonts w:hint="eastAsia" w:ascii="方正小标宋简体" w:eastAsia="方正小标宋简体"/>
          <w:sz w:val="44"/>
          <w:szCs w:val="44"/>
        </w:rPr>
      </w:pPr>
      <w:r>
        <w:rPr>
          <w:rFonts w:hint="eastAsia" w:ascii="方正小标宋简体" w:eastAsia="方正小标宋简体"/>
          <w:sz w:val="44"/>
          <w:szCs w:val="44"/>
        </w:rPr>
        <w:t>云溪区2023年度优秀科技工作者名单</w:t>
      </w:r>
    </w:p>
    <w:p>
      <w:pPr>
        <w:spacing w:line="540" w:lineRule="exact"/>
        <w:ind w:firstLine="640" w:firstLineChars="200"/>
        <w:rPr>
          <w:rFonts w:ascii="仿宋_GB2312" w:eastAsia="仿宋_GB2312"/>
          <w:sz w:val="32"/>
          <w:szCs w:val="32"/>
        </w:rPr>
      </w:pP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1.梁红文：</w:t>
      </w:r>
      <w:r>
        <w:rPr>
          <w:rFonts w:hint="eastAsia" w:ascii="仿宋_GB2312" w:eastAsia="仿宋_GB2312"/>
          <w:sz w:val="32"/>
          <w:szCs w:val="32"/>
        </w:rPr>
        <w:t>中石化湖南石化首席专家，中国石化公司高级专家，中国石化合成橡胶产业领军人才，荣获国家科技进步二等奖。</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2.高  伟：</w:t>
      </w:r>
      <w:r>
        <w:rPr>
          <w:rFonts w:hint="eastAsia" w:ascii="仿宋_GB2312" w:eastAsia="仿宋_GB2312"/>
          <w:sz w:val="32"/>
          <w:szCs w:val="32"/>
        </w:rPr>
        <w:t>2022年市产业建设领军人才，省级“创新达人”，湖南聚仁新材料股份公司技术（研发）副总经理。</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3.汪永军：</w:t>
      </w:r>
      <w:r>
        <w:rPr>
          <w:rFonts w:hint="eastAsia" w:ascii="仿宋_GB2312" w:eastAsia="仿宋_GB2312"/>
          <w:sz w:val="32"/>
          <w:szCs w:val="32"/>
        </w:rPr>
        <w:t>2023年“湖湘青年英才”，湖南长炼新材料科技公司项目经理、高级工程师。</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4.卓耀文：</w:t>
      </w:r>
      <w:r>
        <w:rPr>
          <w:rFonts w:hint="eastAsia" w:ascii="仿宋_GB2312" w:eastAsia="仿宋_GB2312"/>
          <w:sz w:val="32"/>
          <w:szCs w:val="32"/>
        </w:rPr>
        <w:t>2023年“巴陵青年英才”，岳阳凯门水性助剂有限公司技术总监、高级工程师。</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5.戴志坚：</w:t>
      </w:r>
      <w:r>
        <w:rPr>
          <w:rFonts w:hint="eastAsia" w:ascii="仿宋_GB2312" w:eastAsia="仿宋_GB2312"/>
          <w:sz w:val="32"/>
          <w:szCs w:val="32"/>
        </w:rPr>
        <w:t>2023年“巴陵青年英才”，湖南鼎诺新材料科技有限公司总经理。</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6.黄集森：</w:t>
      </w:r>
      <w:r>
        <w:rPr>
          <w:rFonts w:hint="eastAsia" w:ascii="仿宋_GB2312" w:eastAsia="仿宋_GB2312"/>
          <w:sz w:val="32"/>
          <w:szCs w:val="32"/>
        </w:rPr>
        <w:t>2022年“小荷人才”，岳阳振兴中顺新材料科技股份有限公司安全总监、研发部副部长。</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7.刘良会：</w:t>
      </w:r>
      <w:r>
        <w:rPr>
          <w:rFonts w:hint="eastAsia" w:ascii="仿宋_GB2312" w:eastAsia="仿宋_GB2312"/>
          <w:sz w:val="32"/>
          <w:szCs w:val="32"/>
        </w:rPr>
        <w:t>2020年“湖湘青年英才”，湖南中创化工新材料科技有限公司研发负责人。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8.韦国有：</w:t>
      </w:r>
      <w:r>
        <w:rPr>
          <w:rFonts w:hint="eastAsia" w:ascii="仿宋_GB2312" w:eastAsia="仿宋_GB2312"/>
          <w:sz w:val="32"/>
          <w:szCs w:val="32"/>
        </w:rPr>
        <w:t>2022年云溪区优秀科技工作者，中石化催化剂有限公司长岭分公司催化剂制备专家。</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9.邹  隽：</w:t>
      </w:r>
      <w:r>
        <w:rPr>
          <w:rFonts w:hint="eastAsia" w:ascii="仿宋_GB2312" w:eastAsia="仿宋_GB2312"/>
          <w:sz w:val="32"/>
          <w:szCs w:val="32"/>
        </w:rPr>
        <w:t>湖南长炼新材料科技股份公司发展规划部副部长，中国科学院山西煤炭化学研究所材料学博士，湖南省第十三届政协委员，岳阳市云溪区第六届人大代表，湖南省党外知识分子联谊会会员。</w:t>
      </w: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line="240" w:lineRule="exact"/>
        <w:ind w:left="0" w:leftChars="0" w:firstLine="0" w:firstLineChars="0"/>
        <w:rPr>
          <w:rFonts w:hint="eastAsia"/>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8844" w:type="dxa"/>
            <w:noWrap w:val="0"/>
            <w:vAlign w:val="top"/>
          </w:tcPr>
          <w:p>
            <w:pPr>
              <w:pStyle w:val="17"/>
              <w:ind w:firstLine="0" w:firstLineChars="0"/>
              <w:rPr>
                <w:rFonts w:hint="eastAsia" w:ascii="仿宋_GB2312" w:eastAsia="仿宋_GB2312"/>
                <w:sz w:val="28"/>
                <w:szCs w:val="28"/>
              </w:rPr>
            </w:pPr>
            <w:r>
              <w:rPr>
                <w:rFonts w:hint="eastAsia" w:ascii="仿宋_GB2312" w:eastAsia="仿宋_GB2312"/>
                <w:sz w:val="28"/>
                <w:szCs w:val="28"/>
              </w:rPr>
              <w:t xml:space="preserve">  岳阳市云溪区人民政府办公室              2024年5月20日印发</w:t>
            </w:r>
          </w:p>
        </w:tc>
      </w:tr>
    </w:tbl>
    <w:p>
      <w:pPr>
        <w:pStyle w:val="11"/>
        <w:spacing w:after="0" w:line="20" w:lineRule="exact"/>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spacing w:before="3712" w:beforeLines="1190" w:line="240" w:lineRule="exact"/>
        <w:jc w:val="center"/>
        <w:textAlignment w:val="auto"/>
        <w:rPr>
          <w:rFonts w:hint="eastAsia" w:ascii="仿宋_GB2312" w:hAnsi="Times New Roman" w:eastAsia="仿宋_GB2312" w:cs="Times New Roman"/>
          <w:color w:val="000000"/>
          <w:sz w:val="32"/>
          <w:szCs w:val="32"/>
          <w:lang w:val="en-US" w:eastAsia="zh-CN"/>
        </w:rPr>
      </w:pPr>
    </w:p>
    <w:p>
      <w:pPr>
        <w:spacing w:before="3712" w:beforeLines="1190"/>
        <w:jc w:val="center"/>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lang w:val="en-US" w:eastAsia="zh-CN"/>
        </w:rPr>
        <w:t>岳云政办发</w:t>
      </w:r>
      <w:r>
        <w:rPr>
          <w:rFonts w:hint="eastAsia" w:ascii="仿宋_GB2312" w:hAnsi="Times New Roman" w:eastAsia="仿宋_GB2312" w:cs="Times New Roman"/>
          <w:color w:val="000000"/>
          <w:sz w:val="32"/>
          <w:szCs w:val="32"/>
        </w:rPr>
        <w:t>〔</w:t>
      </w:r>
      <w:r>
        <w:rPr>
          <w:rFonts w:hint="eastAsia" w:ascii="仿宋_GB2312" w:hAnsi="Times New Roman" w:eastAsia="仿宋_GB2312" w:cs="Times New Roman"/>
          <w:color w:val="000000"/>
          <w:sz w:val="32"/>
          <w:szCs w:val="32"/>
          <w:lang w:val="en-US" w:eastAsia="zh-CN"/>
        </w:rPr>
        <w:t>2024</w:t>
      </w:r>
      <w:r>
        <w:rPr>
          <w:rFonts w:hint="eastAsia" w:ascii="仿宋_GB2312" w:hAnsi="Times New Roman" w:eastAsia="仿宋_GB2312" w:cs="Times New Roman"/>
          <w:color w:val="000000"/>
          <w:sz w:val="32"/>
          <w:szCs w:val="32"/>
        </w:rPr>
        <w:t>〕5号</w:t>
      </w:r>
    </w:p>
    <w:p>
      <w:pPr>
        <w:spacing w:line="600" w:lineRule="exact"/>
        <w:ind w:firstLine="640" w:firstLineChars="200"/>
        <w:rPr>
          <w:rFonts w:hint="eastAsia" w:ascii="仿宋_GB2312" w:hAnsi="Times New Roman" w:eastAsia="仿宋_GB2312" w:cs="Times New Roman"/>
          <w:color w:val="000000"/>
          <w:sz w:val="32"/>
          <w:szCs w:val="32"/>
        </w:rPr>
      </w:pPr>
    </w:p>
    <w:p>
      <w:pPr>
        <w:spacing w:line="600" w:lineRule="exact"/>
        <w:ind w:firstLine="640" w:firstLineChars="200"/>
        <w:rPr>
          <w:rFonts w:hint="eastAsia" w:ascii="仿宋_GB2312" w:hAnsi="Times New Roman" w:eastAsia="仿宋_GB2312" w:cs="Times New Roman"/>
          <w:color w:val="000000"/>
          <w:sz w:val="32"/>
          <w:szCs w:val="32"/>
        </w:rPr>
      </w:pP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岳阳市云溪区人民政府办公室</w:t>
      </w: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关于印发《岳阳市云溪区实施创新驱动促进</w:t>
      </w: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高质量发展的激励措施》的通知</w:t>
      </w:r>
    </w:p>
    <w:p>
      <w:pPr>
        <w:spacing w:line="540" w:lineRule="exact"/>
        <w:ind w:firstLine="640" w:firstLineChars="200"/>
        <w:rPr>
          <w:rFonts w:hint="eastAsia" w:ascii="仿宋_GB2312" w:hAnsi="Times New Roman" w:eastAsia="仿宋_GB2312" w:cs="Times New Roman"/>
          <w:color w:val="000000"/>
          <w:sz w:val="32"/>
          <w:szCs w:val="32"/>
        </w:rPr>
      </w:pPr>
    </w:p>
    <w:p>
      <w:pPr>
        <w:spacing w:line="540" w:lineRule="exact"/>
        <w:rPr>
          <w:rFonts w:hint="eastAsia" w:ascii="仿宋_GB2312" w:hAnsi="Times New Roman" w:eastAsia="仿宋_GB2312" w:cs="Times New Roman"/>
          <w:color w:val="000000"/>
          <w:spacing w:val="4"/>
          <w:sz w:val="32"/>
          <w:szCs w:val="32"/>
        </w:rPr>
      </w:pPr>
      <w:r>
        <w:rPr>
          <w:rFonts w:hint="eastAsia" w:ascii="仿宋_GB2312" w:hAnsi="Times New Roman" w:eastAsia="仿宋_GB2312" w:cs="Times New Roman"/>
          <w:color w:val="000000"/>
          <w:spacing w:val="4"/>
          <w:sz w:val="32"/>
          <w:szCs w:val="32"/>
        </w:rPr>
        <w:t>各镇人民政府、街道办事处，绿色化工高新区管委会，区直及驻区各相关单位：</w:t>
      </w:r>
    </w:p>
    <w:p>
      <w:pPr>
        <w:spacing w:line="54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《岳阳市云溪区实施创新驱动促进高质量发展的激励措施》已经区人民政府研究同意，现予印发，请认真组织实施。原《岳阳市云溪区实施创新驱动促进高质量发展的激励措施》（岳云政办发〔2021〕12号）废止。</w:t>
      </w:r>
    </w:p>
    <w:p>
      <w:pPr>
        <w:spacing w:line="560" w:lineRule="exact"/>
        <w:ind w:firstLine="640" w:firstLineChars="200"/>
        <w:rPr>
          <w:rFonts w:hint="eastAsia" w:ascii="仿宋_GB2312" w:hAnsi="Times New Roman" w:eastAsia="仿宋_GB2312" w:cs="Times New Roman"/>
          <w:color w:val="000000"/>
          <w:sz w:val="32"/>
          <w:szCs w:val="32"/>
        </w:rPr>
      </w:pPr>
    </w:p>
    <w:p>
      <w:pPr>
        <w:spacing w:line="560" w:lineRule="exact"/>
        <w:ind w:firstLine="640" w:firstLineChars="200"/>
        <w:rPr>
          <w:rFonts w:hint="eastAsia" w:ascii="仿宋_GB2312" w:hAnsi="Times New Roman" w:eastAsia="仿宋_GB2312" w:cs="Times New Roman"/>
          <w:color w:val="000000"/>
          <w:sz w:val="32"/>
          <w:szCs w:val="32"/>
        </w:rPr>
      </w:pPr>
    </w:p>
    <w:p>
      <w:pPr>
        <w:ind w:firstLine="4160" w:firstLineChars="13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岳阳市云溪区人民政府办公室</w:t>
      </w:r>
    </w:p>
    <w:p>
      <w:pPr>
        <w:ind w:right="1260" w:rightChars="600" w:firstLine="640" w:firstLineChars="200"/>
        <w:jc w:val="right"/>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2024年5月28日</w:t>
      </w: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岳阳市云溪区实施创新驱动促进</w:t>
      </w: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高质量发展的激励措施</w:t>
      </w:r>
    </w:p>
    <w:p>
      <w:pPr>
        <w:ind w:firstLine="640" w:firstLineChars="200"/>
        <w:rPr>
          <w:rFonts w:hint="eastAsia" w:ascii="仿宋_GB2312" w:hAnsi="Times New Roman" w:eastAsia="仿宋_GB2312" w:cs="Times New Roman"/>
          <w:color w:val="000000"/>
          <w:sz w:val="32"/>
          <w:szCs w:val="32"/>
        </w:rPr>
      </w:pP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为全面贯彻党的二十大精神及中央和省委、市委、区委实施创新驱动发展战略的部署要求，深入推进省级创新型区建设，促进我区优势产业高质量发展，全力打造长江经济带绿色化工产业发展示范区、湖南省创新驱动发展样板区，根据省、市相关政策精神，结合云溪实际，特制定本激励措施。</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一、鼓励企业加大创新投入。对当年区统计平台研发经费投入达到4000万元以上（含4000万元），且实现正增长的区级联网直报企业，奖励10万元；对当年区统计平台研发经费投入增速排名前10位且总量在1500万元以上（含1500万元）的区级联网直报企业，奖励5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二、鼓励企业承办重大科研项目。对成功申报省科技厅“十大技术攻关”、“揭榜挂帅”、重大专项、“五个一百”、重点研发项目的企业，通过项目验收后分别奖励50万元、30万元、30万元、10万元、10万元；对成功申报市级“揭榜挂帅”、重大专项、“关键核心技术攻关”项目的企业，通过项目验收后分别奖励5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三、鼓励企业登记技术交易合同。对当年经省市技术合同登记部门确认技术合同项数在30-50项的企业奖励1万元，50-80项的企业奖励2万元，达到80项以上（含80项）的企业奖励5万元。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四、鼓励企业参加创新创业大赛。对当年获得国赛决赛一、二、三等奖的企业，分别奖励100万元、50万元、30万元；对当年获得省赛决赛一、二、三等奖的企业，分别奖励20万元、10万元、5万元。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五、鼓励企业培育高层次人才团队。对当年获评国家、省级科技创新人才团队荣誉的企业创新团队，分别给予30万元、10万元奖励。</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六、鼓励企业培育研发平台。鼓励企业（园区）与高等院校、科研院所联合建立研发创新平台，对新认定的国家级、省级、市级产业技术创新战略联盟、新型研发机构、院士工作站，分别按100万元、50万元、20万元的标准给予配套补助；对新认定的国家级、省级、市级重点实验室、工程技术研究中心、技术创新中心，分别按50万元、10万元、5万元的标准给予配套补助。</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七、鼓励创建公共服务平台。对当年新认定的国家级、省级、市级科技企业孵化器，分别奖励100万元、30万元、10万元；对当年新认定的国家级、省级、市级科普示范基地、星创天地，分别奖励10万元、5万元、2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八、鼓励培育高新技术企业。对当年度新认定的高新技术企业，奖励5万元；对复评认定的高新技术企业，奖励3万元；对当年完成科技型中小企业入库的企业，奖励0.1万元。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九、鼓励企业转型升级。对新认定为国家级、省级专精特新“小巨人企业”“绿色工厂”，分别奖励10万元、5万元。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十、鼓励科技特派员参与乡村振兴。对科技特派员创办、领办、派驻的农业企业，新认定为国家级、省级龙头企业，分别奖励20万元、5万元，新认定为国家级、省级合作社示范社，分别奖励5万元、2万元。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十一、区人民政府设立省级创新型区建设专项资金，每年安排科技创新奖励专项预算不少于人民币2000万元。</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十二、适用范围和奖补原则</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1.本激励措施只适用于统计范围、注册地、所在地和税收解缴关系在云溪区域内的企业。</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2.符合本措施奖励的对象，按省、市、区各级奖励政策从优、从高、同类别不重复计算的原则享受奖励。省、市要求区级财政配套的项目不予奖励。</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3.对发生生产安全事故和环保违法行为被查处的企业，实行“一票否决”。</w:t>
      </w:r>
    </w:p>
    <w:p>
      <w:pPr>
        <w:spacing w:line="58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十三、本激励措施从2024年度起执行，由岳阳市云溪区科技和工业信息化局会同相关部门负责解释。符合本措施规定条件的奖励对象，须在规定时间内向岳阳市云溪区科技和工业信息化局申报，岳阳市云溪区科技和工业信息化局会同岳阳市云溪区财政局予以核实，报岳阳市云溪区人民政府审定批准后予以奖励。</w:t>
      </w:r>
    </w:p>
    <w:p>
      <w:pPr>
        <w:spacing w:line="580" w:lineRule="exact"/>
        <w:rPr>
          <w:rFonts w:hint="eastAsia" w:ascii="仿宋_GB2312" w:hAnsi="Times New Roman" w:eastAsia="仿宋_GB2312" w:cs="Times New Roman"/>
          <w:color w:val="000000"/>
          <w:sz w:val="32"/>
          <w:szCs w:val="32"/>
        </w:rPr>
      </w:pPr>
    </w:p>
    <w:p>
      <w:pPr>
        <w:spacing w:line="580" w:lineRule="exact"/>
        <w:ind w:firstLine="640" w:firstLineChars="200"/>
        <w:rPr>
          <w:rFonts w:hint="eastAsia" w:ascii="仿宋_GB2312" w:hAnsi="Times New Roman" w:eastAsia="仿宋_GB2312" w:cs="Times New Roman"/>
          <w:color w:val="000000"/>
          <w:sz w:val="32"/>
          <w:szCs w:val="32"/>
        </w:rPr>
      </w:pPr>
    </w:p>
    <w:p>
      <w:pPr>
        <w:spacing w:line="580" w:lineRule="exact"/>
        <w:ind w:firstLine="640" w:firstLineChars="200"/>
        <w:rPr>
          <w:rFonts w:hint="eastAsia" w:ascii="仿宋_GB2312" w:hAnsi="Times New Roman" w:eastAsia="仿宋_GB2312" w:cs="Times New Roman"/>
          <w:color w:val="000000"/>
          <w:sz w:val="32"/>
          <w:szCs w:val="32"/>
        </w:rPr>
      </w:pPr>
    </w:p>
    <w:p>
      <w:pPr>
        <w:widowControl w:val="0"/>
        <w:spacing w:line="240" w:lineRule="exact"/>
        <w:ind w:firstLine="1280" w:firstLineChars="400"/>
        <w:jc w:val="both"/>
        <w:rPr>
          <w:rFonts w:hint="eastAsia" w:ascii="仿宋_GB2312" w:hAnsi="Calibri" w:eastAsia="仿宋_GB2312" w:cs="Times New Roman"/>
          <w:color w:val="000000"/>
          <w:kern w:val="2"/>
          <w:sz w:val="32"/>
          <w:szCs w:val="32"/>
          <w:lang w:val="en-US" w:eastAsia="zh-CN" w:bidi="ar-SA"/>
        </w:rPr>
      </w:pPr>
    </w:p>
    <w:p>
      <w:pPr>
        <w:widowControl w:val="0"/>
        <w:spacing w:line="240" w:lineRule="exact"/>
        <w:ind w:firstLine="1280" w:firstLineChars="400"/>
        <w:jc w:val="both"/>
        <w:rPr>
          <w:rFonts w:hint="eastAsia" w:ascii="仿宋_GB2312" w:hAnsi="Calibri" w:eastAsia="仿宋_GB2312" w:cs="Times New Roman"/>
          <w:color w:val="000000"/>
          <w:kern w:val="2"/>
          <w:sz w:val="32"/>
          <w:szCs w:val="32"/>
          <w:lang w:val="en-US" w:eastAsia="zh-CN" w:bidi="ar-SA"/>
        </w:rPr>
      </w:pPr>
    </w:p>
    <w:p>
      <w:pPr>
        <w:widowControl w:val="0"/>
        <w:spacing w:line="240" w:lineRule="exact"/>
        <w:ind w:firstLine="1280" w:firstLineChars="400"/>
        <w:jc w:val="both"/>
        <w:rPr>
          <w:rFonts w:hint="eastAsia" w:ascii="仿宋_GB2312" w:hAnsi="Calibri" w:eastAsia="仿宋_GB2312" w:cs="Times New Roman"/>
          <w:color w:val="000000"/>
          <w:kern w:val="2"/>
          <w:sz w:val="32"/>
          <w:szCs w:val="32"/>
          <w:lang w:val="en-US" w:eastAsia="zh-CN" w:bidi="ar-SA"/>
        </w:rPr>
      </w:pPr>
    </w:p>
    <w:tbl>
      <w:tblPr>
        <w:tblStyle w:val="13"/>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844"/>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8845" w:type="dxa"/>
            <w:noWrap w:val="0"/>
            <w:vAlign w:val="top"/>
          </w:tcPr>
          <w:p>
            <w:pPr>
              <w:widowControl w:val="0"/>
              <w:spacing w:line="240" w:lineRule="auto"/>
              <w:ind w:firstLine="280" w:firstLineChars="100"/>
              <w:jc w:val="both"/>
              <w:rPr>
                <w:rFonts w:hint="eastAsia" w:ascii="仿宋_GB2312" w:hAnsi="Calibri" w:eastAsia="仿宋_GB2312" w:cs="Times New Roman"/>
                <w:color w:val="000000"/>
                <w:kern w:val="2"/>
                <w:sz w:val="28"/>
                <w:szCs w:val="28"/>
                <w:lang w:val="en-US" w:eastAsia="zh-CN" w:bidi="ar-SA"/>
              </w:rPr>
            </w:pPr>
            <w:r>
              <w:rPr>
                <w:rFonts w:hint="eastAsia" w:ascii="仿宋_GB2312" w:hAnsi="Calibri" w:eastAsia="仿宋_GB2312" w:cs="Times New Roman"/>
                <w:color w:val="000000"/>
                <w:kern w:val="2"/>
                <w:sz w:val="28"/>
                <w:szCs w:val="28"/>
                <w:lang w:val="en-US" w:eastAsia="zh-CN" w:bidi="ar-SA"/>
              </w:rPr>
              <w:t>岳阳市云溪区人民政府办公室              2024年5月28日印发</w:t>
            </w:r>
          </w:p>
        </w:tc>
      </w:tr>
    </w:tbl>
    <w:p>
      <w:pPr>
        <w:spacing w:line="20" w:lineRule="exact"/>
        <w:ind w:firstLine="420" w:firstLineChars="200"/>
        <w:rPr>
          <w:rFonts w:hint="eastAsia" w:ascii="Times New Roman" w:hAnsi="Times New Roman" w:eastAsia="宋体" w:cs="Times New Roman"/>
          <w:color w:val="000000"/>
        </w:rPr>
      </w:pPr>
    </w:p>
    <w:p>
      <w:pPr>
        <w:rPr>
          <w:rFonts w:ascii="仿宋_GB2312" w:hAnsi="Times New Roman" w:eastAsia="仿宋_GB2312" w:cs="Times New Roman"/>
          <w:sz w:val="28"/>
          <w:szCs w:val="28"/>
        </w:rPr>
      </w:pPr>
    </w:p>
    <w:p>
      <w:pPr>
        <w:rPr>
          <w:rFonts w:hint="eastAsia" w:ascii="黑体" w:hAnsi="黑体" w:eastAsia="黑体"/>
          <w:sz w:val="32"/>
          <w:szCs w:val="32"/>
        </w:rPr>
      </w:pPr>
    </w:p>
    <w:p>
      <w:pPr>
        <w:rPr>
          <w:rFonts w:hint="eastAsia" w:ascii="黑体" w:hAnsi="黑体" w:eastAsia="黑体"/>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80" w:lineRule="exact"/>
        <w:jc w:val="center"/>
        <w:rPr>
          <w:rFonts w:ascii="方正小标宋简体" w:hAnsi="Times New Roman" w:eastAsia="方正小标宋简体" w:cs="Times New Roman"/>
          <w:sz w:val="44"/>
          <w:szCs w:val="44"/>
        </w:rPr>
      </w:pPr>
      <w:r>
        <w:rPr>
          <w:rFonts w:hint="eastAsia" w:ascii="仿宋_GB2312" w:hAnsi="Times New Roman" w:eastAsia="仿宋_GB2312" w:cs="Times New Roman"/>
          <w:sz w:val="32"/>
          <w:szCs w:val="32"/>
        </w:rPr>
        <w:t>岳云政办函</w:t>
      </w:r>
      <w:r>
        <w:rPr>
          <w:rFonts w:hint="eastAsia" w:ascii="仿宋_GB2312" w:hAnsi="仿宋_GB2312" w:eastAsia="仿宋_GB2312" w:cs="仿宋_GB2312"/>
          <w:sz w:val="32"/>
          <w:szCs w:val="32"/>
        </w:rPr>
        <w:t>〔2024〕6号</w:t>
      </w:r>
    </w:p>
    <w:p>
      <w:pPr>
        <w:spacing w:line="580" w:lineRule="exact"/>
        <w:jc w:val="center"/>
        <w:rPr>
          <w:rFonts w:hint="eastAsia" w:ascii="方正小标宋简体" w:hAnsi="Times New Roman" w:eastAsia="方正小标宋简体" w:cs="Times New Roman"/>
          <w:sz w:val="44"/>
          <w:szCs w:val="44"/>
        </w:rPr>
      </w:pPr>
    </w:p>
    <w:p>
      <w:pPr>
        <w:spacing w:line="64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岳阳市云溪区人民政府办公室</w:t>
      </w:r>
    </w:p>
    <w:p>
      <w:pPr>
        <w:spacing w:line="64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关于公布2024年度云溪区人民政府重大行政决策事项目录的通知</w:t>
      </w:r>
    </w:p>
    <w:p>
      <w:pPr>
        <w:ind w:firstLine="640" w:firstLineChars="200"/>
        <w:rPr>
          <w:rFonts w:hint="eastAsia" w:ascii="仿宋_GB2312" w:hAnsi="Times New Roman" w:eastAsia="仿宋_GB2312" w:cs="Times New Roman"/>
          <w:sz w:val="32"/>
          <w:szCs w:val="32"/>
        </w:rPr>
      </w:pPr>
    </w:p>
    <w:p>
      <w:pPr>
        <w:spacing w:line="620" w:lineRule="exac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各镇人民政府、街道办事处，绿色化工高新区管委会，区直及驻区各单位：</w:t>
      </w:r>
    </w:p>
    <w:p>
      <w:pPr>
        <w:spacing w:line="62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为深入推进依法行政，全面建设法治政府，严格执行《重大行政决策程序暂行条例》（国院令第713号）、《湖南省行政程序规定》（省政府令第222号）、《湖南省人民政府关于印发〈湖南省重大行政决策事项目录管理办法〉的通知》（湘政办发〔2022〕33号）等有关法规和文件精神，进一步规范我区重大行政决策程序，促进依法、科学、民主决策，提高决策质量和效率，经区人民政府研究同意，现将《2024年度云溪区人民政府重大行政决策事项目录》予以公布，并就有关事项通知如下：</w:t>
      </w:r>
    </w:p>
    <w:p>
      <w:pPr>
        <w:spacing w:line="62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一、各承办单位要根据重大行政决策程序相关要求，及时起草决策草案并征求意见，认真落实公众参与、专家论证、风险评估、合法性审查、集体讨论决定等法定程序，进一步提高科学决策、依法决策、民主决策水平。未按规定履行相关程序的，不得提请区人民政府审议决策。</w:t>
      </w:r>
    </w:p>
    <w:p>
      <w:pPr>
        <w:spacing w:line="61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二、各承办单位要加强重大行政决策的档案管理，及时将决策过程和决策实施中的文件资料收集整理归档，实现决策程序全过程记录。</w:t>
      </w:r>
    </w:p>
    <w:p>
      <w:pPr>
        <w:spacing w:line="61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三、区人民政府重大行政决策事项目录实行动态管理，因工作需要新增或调整重大行政决策事项的，相关承办单位应按照相关规定程序及时提请区人民政府进行动态调整。</w:t>
      </w:r>
    </w:p>
    <w:p>
      <w:pPr>
        <w:spacing w:line="61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四、决策实施满一年，各承办单位应当按规定对决策执行情况进行评估，评估情况书面报告区人民政府。</w:t>
      </w:r>
    </w:p>
    <w:p>
      <w:pPr>
        <w:spacing w:line="600" w:lineRule="exact"/>
        <w:ind w:firstLine="640" w:firstLineChars="200"/>
        <w:rPr>
          <w:rFonts w:hint="eastAsia" w:ascii="仿宋_GB2312" w:hAnsi="Times New Roman" w:eastAsia="仿宋_GB2312" w:cs="Times New Roman"/>
          <w:sz w:val="32"/>
          <w:szCs w:val="32"/>
        </w:rPr>
      </w:pPr>
    </w:p>
    <w:p>
      <w:pPr>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附件：2024年度云溪区人民政府重大决策事项目录清单</w:t>
      </w:r>
    </w:p>
    <w:p>
      <w:pPr>
        <w:ind w:firstLine="640" w:firstLineChars="200"/>
        <w:rPr>
          <w:rFonts w:hint="eastAsia" w:ascii="仿宋_GB2312" w:hAnsi="Times New Roman" w:eastAsia="仿宋_GB2312" w:cs="Times New Roman"/>
          <w:sz w:val="32"/>
          <w:szCs w:val="32"/>
        </w:rPr>
      </w:pPr>
    </w:p>
    <w:p>
      <w:pPr>
        <w:ind w:firstLine="640" w:firstLineChars="200"/>
        <w:rPr>
          <w:rFonts w:hint="eastAsia" w:ascii="仿宋_GB2312" w:hAnsi="Times New Roman" w:eastAsia="仿宋_GB2312" w:cs="Times New Roman"/>
          <w:sz w:val="32"/>
          <w:szCs w:val="32"/>
        </w:rPr>
      </w:pPr>
    </w:p>
    <w:p>
      <w:pPr>
        <w:ind w:firstLine="4160" w:firstLineChars="13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岳阳市云溪区人民政府办公室</w:t>
      </w:r>
    </w:p>
    <w:p>
      <w:pPr>
        <w:wordWrap w:val="0"/>
        <w:ind w:right="1260" w:rightChars="600"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2024年4月28日</w:t>
      </w:r>
    </w:p>
    <w:p>
      <w:pPr>
        <w:ind w:firstLine="640" w:firstLineChars="200"/>
        <w:rPr>
          <w:rFonts w:hint="eastAsia" w:ascii="仿宋_GB2312" w:hAnsi="Times New Roman" w:eastAsia="仿宋_GB2312" w:cs="Times New Roman"/>
          <w:sz w:val="32"/>
          <w:szCs w:val="32"/>
        </w:rPr>
      </w:pPr>
    </w:p>
    <w:p>
      <w:pPr>
        <w:ind w:firstLine="640" w:firstLineChars="200"/>
        <w:rPr>
          <w:rFonts w:hint="eastAsia" w:ascii="仿宋_GB2312" w:hAnsi="Times New Roman" w:eastAsia="仿宋_GB2312" w:cs="Times New Roman"/>
          <w:sz w:val="32"/>
          <w:szCs w:val="32"/>
        </w:rPr>
      </w:pPr>
    </w:p>
    <w:p>
      <w:pPr>
        <w:rPr>
          <w:rFonts w:ascii="仿宋_GB2312" w:eastAsia="仿宋_GB2312"/>
          <w:sz w:val="32"/>
          <w:szCs w:val="32"/>
        </w:rPr>
      </w:pPr>
      <w:r>
        <w:rPr>
          <w:rFonts w:ascii="仿宋_GB2312" w:eastAsia="仿宋_GB2312"/>
          <w:sz w:val="32"/>
          <w:szCs w:val="32"/>
        </w:rPr>
        <w:br w:type="page"/>
      </w:r>
    </w:p>
    <w:p>
      <w:pPr>
        <w:ind w:firstLine="640" w:firstLineChars="200"/>
        <w:rPr>
          <w:rFonts w:ascii="仿宋_GB2312" w:eastAsia="仿宋_GB2312"/>
          <w:sz w:val="32"/>
          <w:szCs w:val="32"/>
        </w:rPr>
        <w:sectPr>
          <w:headerReference r:id="rId4" w:type="default"/>
          <w:footerReference r:id="rId5" w:type="default"/>
          <w:footerReference r:id="rId6" w:type="even"/>
          <w:pgSz w:w="11906" w:h="16838"/>
          <w:pgMar w:top="1531" w:right="1531" w:bottom="1531" w:left="1531" w:header="851" w:footer="1247" w:gutter="0"/>
          <w:cols w:space="720" w:num="1"/>
          <w:titlePg/>
          <w:docGrid w:type="lines" w:linePitch="312" w:charSpace="0"/>
        </w:sectPr>
      </w:pPr>
    </w:p>
    <w:p>
      <w:pPr>
        <w:spacing w:line="580" w:lineRule="exact"/>
        <w:rPr>
          <w:rFonts w:hint="eastAsia" w:ascii="黑体" w:hAnsi="黑体" w:eastAsia="黑体" w:cs="Times New Roman"/>
          <w:sz w:val="32"/>
          <w:szCs w:val="32"/>
        </w:rPr>
      </w:pPr>
      <w:r>
        <w:rPr>
          <w:rFonts w:hint="eastAsia" w:ascii="黑体" w:hAnsi="黑体" w:eastAsia="黑体" w:cs="Times New Roman"/>
          <w:sz w:val="32"/>
          <w:szCs w:val="32"/>
        </w:rPr>
        <w:t>附件</w:t>
      </w:r>
    </w:p>
    <w:p>
      <w:pPr>
        <w:spacing w:line="580" w:lineRule="exact"/>
        <w:rPr>
          <w:rFonts w:hint="eastAsia" w:ascii="黑体" w:hAnsi="黑体" w:eastAsia="黑体" w:cs="Times New Roman"/>
          <w:sz w:val="32"/>
          <w:szCs w:val="32"/>
        </w:rPr>
      </w:pPr>
    </w:p>
    <w:p>
      <w:pPr>
        <w:spacing w:line="58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2024年度云溪区人民政府重大行政决策事项目录清单</w:t>
      </w:r>
    </w:p>
    <w:p>
      <w:pPr>
        <w:spacing w:line="580" w:lineRule="exact"/>
        <w:jc w:val="center"/>
        <w:rPr>
          <w:rFonts w:hint="eastAsia" w:ascii="方正小标宋简体" w:hAnsi="Times New Roman" w:eastAsia="方正小标宋简体" w:cs="Times New Roman"/>
          <w:sz w:val="44"/>
          <w:szCs w:val="44"/>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4"/>
        <w:gridCol w:w="3879"/>
        <w:gridCol w:w="1785"/>
        <w:gridCol w:w="2108"/>
        <w:gridCol w:w="3963"/>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4" w:type="pct"/>
            <w:noWrap w:val="0"/>
            <w:vAlign w:val="center"/>
          </w:tcPr>
          <w:p>
            <w:pPr>
              <w:spacing w:line="360" w:lineRule="exact"/>
              <w:jc w:val="center"/>
              <w:rPr>
                <w:rFonts w:ascii="黑体" w:hAnsi="黑体" w:eastAsia="黑体" w:cs="Times New Roman"/>
                <w:sz w:val="24"/>
              </w:rPr>
            </w:pPr>
            <w:r>
              <w:rPr>
                <w:rFonts w:hint="eastAsia" w:ascii="黑体" w:hAnsi="黑体" w:eastAsia="黑体" w:cs="Times New Roman"/>
                <w:sz w:val="24"/>
              </w:rPr>
              <w:t>序号</w:t>
            </w:r>
          </w:p>
        </w:tc>
        <w:tc>
          <w:tcPr>
            <w:tcW w:w="1384" w:type="pct"/>
            <w:noWrap w:val="0"/>
            <w:vAlign w:val="center"/>
          </w:tcPr>
          <w:p>
            <w:pPr>
              <w:spacing w:line="360" w:lineRule="exact"/>
              <w:jc w:val="center"/>
              <w:rPr>
                <w:rFonts w:hint="eastAsia" w:ascii="黑体" w:hAnsi="黑体" w:eastAsia="黑体" w:cs="Times New Roman"/>
                <w:sz w:val="24"/>
              </w:rPr>
            </w:pPr>
            <w:r>
              <w:rPr>
                <w:rFonts w:hint="eastAsia" w:ascii="黑体" w:hAnsi="黑体" w:eastAsia="黑体" w:cs="Times New Roman"/>
                <w:sz w:val="24"/>
              </w:rPr>
              <w:t>提请区人民政府</w:t>
            </w:r>
          </w:p>
          <w:p>
            <w:pPr>
              <w:spacing w:line="360" w:lineRule="exact"/>
              <w:jc w:val="center"/>
              <w:rPr>
                <w:rFonts w:ascii="黑体" w:hAnsi="黑体" w:eastAsia="黑体" w:cs="Times New Roman"/>
                <w:sz w:val="24"/>
              </w:rPr>
            </w:pPr>
            <w:r>
              <w:rPr>
                <w:rFonts w:hint="eastAsia" w:ascii="黑体" w:hAnsi="黑体" w:eastAsia="黑体" w:cs="Times New Roman"/>
                <w:sz w:val="24"/>
              </w:rPr>
              <w:t>决策的重大行政决策事项名称</w:t>
            </w:r>
          </w:p>
        </w:tc>
        <w:tc>
          <w:tcPr>
            <w:tcW w:w="637" w:type="pct"/>
            <w:noWrap w:val="0"/>
            <w:vAlign w:val="center"/>
          </w:tcPr>
          <w:p>
            <w:pPr>
              <w:spacing w:line="360" w:lineRule="exact"/>
              <w:jc w:val="center"/>
              <w:rPr>
                <w:rFonts w:ascii="黑体" w:hAnsi="黑体" w:eastAsia="黑体" w:cs="Times New Roman"/>
                <w:sz w:val="24"/>
              </w:rPr>
            </w:pPr>
            <w:r>
              <w:rPr>
                <w:rFonts w:hint="eastAsia" w:ascii="黑体" w:hAnsi="黑体" w:eastAsia="黑体" w:cs="Times New Roman"/>
                <w:sz w:val="24"/>
              </w:rPr>
              <w:t>决策承办单位</w:t>
            </w:r>
          </w:p>
        </w:tc>
        <w:tc>
          <w:tcPr>
            <w:tcW w:w="752" w:type="pct"/>
            <w:noWrap w:val="0"/>
            <w:vAlign w:val="center"/>
          </w:tcPr>
          <w:p>
            <w:pPr>
              <w:spacing w:line="360" w:lineRule="exact"/>
              <w:jc w:val="center"/>
              <w:rPr>
                <w:rFonts w:ascii="黑体" w:hAnsi="黑体" w:eastAsia="黑体" w:cs="Times New Roman"/>
                <w:sz w:val="24"/>
              </w:rPr>
            </w:pPr>
            <w:r>
              <w:rPr>
                <w:rFonts w:hint="eastAsia" w:ascii="黑体" w:hAnsi="黑体" w:eastAsia="黑体" w:cs="Times New Roman"/>
                <w:sz w:val="24"/>
              </w:rPr>
              <w:t>会同单位</w:t>
            </w:r>
          </w:p>
        </w:tc>
        <w:tc>
          <w:tcPr>
            <w:tcW w:w="1414" w:type="pct"/>
            <w:noWrap w:val="0"/>
            <w:vAlign w:val="center"/>
          </w:tcPr>
          <w:p>
            <w:pPr>
              <w:spacing w:line="360" w:lineRule="exact"/>
              <w:jc w:val="center"/>
              <w:rPr>
                <w:rFonts w:hint="eastAsia" w:ascii="黑体" w:hAnsi="黑体" w:eastAsia="黑体" w:cs="Times New Roman"/>
                <w:sz w:val="24"/>
              </w:rPr>
            </w:pPr>
            <w:r>
              <w:rPr>
                <w:rFonts w:hint="eastAsia" w:ascii="黑体" w:hAnsi="黑体" w:eastAsia="黑体" w:cs="Times New Roman"/>
                <w:sz w:val="24"/>
              </w:rPr>
              <w:t>提请区人民政府决策的</w:t>
            </w:r>
          </w:p>
          <w:p>
            <w:pPr>
              <w:spacing w:line="360" w:lineRule="exact"/>
              <w:jc w:val="center"/>
              <w:rPr>
                <w:rFonts w:ascii="黑体" w:hAnsi="黑体" w:eastAsia="黑体" w:cs="Times New Roman"/>
                <w:sz w:val="24"/>
              </w:rPr>
            </w:pPr>
            <w:r>
              <w:rPr>
                <w:rFonts w:hint="eastAsia" w:ascii="黑体" w:hAnsi="黑体" w:eastAsia="黑体" w:cs="Times New Roman"/>
                <w:sz w:val="24"/>
              </w:rPr>
              <w:t>依据、标准</w:t>
            </w:r>
          </w:p>
        </w:tc>
        <w:tc>
          <w:tcPr>
            <w:tcW w:w="569" w:type="pct"/>
            <w:noWrap w:val="0"/>
            <w:vAlign w:val="center"/>
          </w:tcPr>
          <w:p>
            <w:pPr>
              <w:spacing w:line="360" w:lineRule="exact"/>
              <w:jc w:val="center"/>
              <w:rPr>
                <w:rFonts w:ascii="黑体" w:hAnsi="黑体" w:eastAsia="黑体" w:cs="Times New Roman"/>
                <w:sz w:val="24"/>
              </w:rPr>
            </w:pPr>
            <w:r>
              <w:rPr>
                <w:rFonts w:hint="eastAsia" w:ascii="黑体" w:hAnsi="黑体" w:eastAsia="黑体" w:cs="Times New Roman"/>
                <w:sz w:val="24"/>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0" w:hRule="atLeast"/>
        </w:trPr>
        <w:tc>
          <w:tcPr>
            <w:tcW w:w="244" w:type="pct"/>
            <w:noWrap w:val="0"/>
            <w:vAlign w:val="center"/>
          </w:tcPr>
          <w:p>
            <w:pPr>
              <w:spacing w:line="580" w:lineRule="exact"/>
              <w:jc w:val="center"/>
              <w:rPr>
                <w:rFonts w:hint="eastAsia" w:ascii="仿宋_GB2312" w:hAnsi="Times New Roman" w:eastAsia="仿宋_GB2312" w:cs="Times New Roman"/>
                <w:sz w:val="24"/>
              </w:rPr>
            </w:pPr>
            <w:r>
              <w:rPr>
                <w:rFonts w:hint="eastAsia" w:ascii="仿宋_GB2312" w:hAnsi="Times New Roman" w:eastAsia="仿宋_GB2312" w:cs="Times New Roman"/>
                <w:sz w:val="24"/>
              </w:rPr>
              <w:t>1</w:t>
            </w:r>
          </w:p>
        </w:tc>
        <w:tc>
          <w:tcPr>
            <w:tcW w:w="1384"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提前收回广州华浩能源环保集团股份有限公司特许经营权并实施临时接管、收回项目划拨土地使用权</w:t>
            </w:r>
          </w:p>
        </w:tc>
        <w:tc>
          <w:tcPr>
            <w:tcW w:w="637"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区人民政府</w:t>
            </w:r>
          </w:p>
        </w:tc>
        <w:tc>
          <w:tcPr>
            <w:tcW w:w="752"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区住建局</w:t>
            </w:r>
          </w:p>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绿色化工高新区</w:t>
            </w:r>
          </w:p>
        </w:tc>
        <w:tc>
          <w:tcPr>
            <w:tcW w:w="1414"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《环境保护法》</w:t>
            </w:r>
          </w:p>
        </w:tc>
        <w:tc>
          <w:tcPr>
            <w:tcW w:w="569"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2024年7月前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6" w:hRule="atLeast"/>
        </w:trPr>
        <w:tc>
          <w:tcPr>
            <w:tcW w:w="244" w:type="pct"/>
            <w:noWrap w:val="0"/>
            <w:vAlign w:val="center"/>
          </w:tcPr>
          <w:p>
            <w:pPr>
              <w:spacing w:line="580" w:lineRule="exact"/>
              <w:jc w:val="center"/>
              <w:rPr>
                <w:rFonts w:hint="eastAsia" w:ascii="仿宋_GB2312" w:hAnsi="Times New Roman" w:eastAsia="仿宋_GB2312" w:cs="Times New Roman"/>
                <w:sz w:val="24"/>
              </w:rPr>
            </w:pPr>
            <w:r>
              <w:rPr>
                <w:rFonts w:hint="eastAsia" w:ascii="仿宋_GB2312" w:hAnsi="Times New Roman" w:eastAsia="仿宋_GB2312" w:cs="Times New Roman"/>
                <w:sz w:val="24"/>
              </w:rPr>
              <w:t>2</w:t>
            </w:r>
          </w:p>
        </w:tc>
        <w:tc>
          <w:tcPr>
            <w:tcW w:w="1384"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云溪区污水处理厂深度除磷提标</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改造项目</w:t>
            </w:r>
          </w:p>
        </w:tc>
        <w:tc>
          <w:tcPr>
            <w:tcW w:w="637"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区住建局</w:t>
            </w:r>
          </w:p>
        </w:tc>
        <w:tc>
          <w:tcPr>
            <w:tcW w:w="752"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生态环境分局</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绿色化工高新区</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云溪街道</w:t>
            </w:r>
          </w:p>
        </w:tc>
        <w:tc>
          <w:tcPr>
            <w:tcW w:w="1414" w:type="pct"/>
            <w:noWrap w:val="0"/>
            <w:vAlign w:val="center"/>
          </w:tcPr>
          <w:p>
            <w:pPr>
              <w:pStyle w:val="24"/>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湖南省住房和城乡建设厅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关于对岳阳市住建领域岁末年初重点工作联点督导发现问题的交办函</w:t>
            </w:r>
            <w:r>
              <w:rPr>
                <w:rFonts w:hint="eastAsia" w:ascii="仿宋_GB2312" w:hAnsi="仿宋_GB2312" w:eastAsia="仿宋_GB2312" w:cs="仿宋_GB2312"/>
                <w:sz w:val="24"/>
                <w:szCs w:val="24"/>
                <w:lang w:eastAsia="zh-CN"/>
              </w:rPr>
              <w:t>》</w:t>
            </w:r>
          </w:p>
          <w:p>
            <w:pPr>
              <w:pStyle w:val="24"/>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《关于采取有力措施实施精准治污的通知》（岳生环委办函〔2023〕55号）</w:t>
            </w:r>
          </w:p>
        </w:tc>
        <w:tc>
          <w:tcPr>
            <w:tcW w:w="569"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58" w:hRule="atLeast"/>
        </w:trPr>
        <w:tc>
          <w:tcPr>
            <w:tcW w:w="244" w:type="pct"/>
            <w:noWrap w:val="0"/>
            <w:vAlign w:val="center"/>
          </w:tcPr>
          <w:p>
            <w:pPr>
              <w:spacing w:line="580" w:lineRule="exact"/>
              <w:jc w:val="center"/>
              <w:rPr>
                <w:rFonts w:hint="eastAsia" w:ascii="仿宋_GB2312" w:hAnsi="Times New Roman" w:eastAsia="仿宋_GB2312" w:cs="Times New Roman"/>
                <w:sz w:val="24"/>
              </w:rPr>
            </w:pPr>
            <w:r>
              <w:rPr>
                <w:rFonts w:hint="eastAsia" w:ascii="仿宋_GB2312" w:hAnsi="Times New Roman" w:eastAsia="仿宋_GB2312" w:cs="Times New Roman"/>
                <w:sz w:val="24"/>
              </w:rPr>
              <w:t>3</w:t>
            </w:r>
          </w:p>
        </w:tc>
        <w:tc>
          <w:tcPr>
            <w:tcW w:w="1384"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云溪河下游主箱涵溢流排口整治</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工程项目</w:t>
            </w:r>
          </w:p>
        </w:tc>
        <w:tc>
          <w:tcPr>
            <w:tcW w:w="637"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区住建局</w:t>
            </w:r>
          </w:p>
        </w:tc>
        <w:tc>
          <w:tcPr>
            <w:tcW w:w="752"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生态环境分局</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区自然资源局</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云溪街道</w:t>
            </w:r>
          </w:p>
        </w:tc>
        <w:tc>
          <w:tcPr>
            <w:tcW w:w="1414" w:type="pct"/>
            <w:noWrap w:val="0"/>
            <w:vAlign w:val="center"/>
          </w:tcPr>
          <w:p>
            <w:pPr>
              <w:pStyle w:val="24"/>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湘生环委办《关于深入推进长江入河排污口排查整治工作的函》（湘生环委办函〔2022〕11号），市生环委办《关于调整长江入河排污口整治工作完成时限的通知》（岳生环委办函〔2022〕52号）</w:t>
            </w:r>
          </w:p>
        </w:tc>
        <w:tc>
          <w:tcPr>
            <w:tcW w:w="569"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2024年</w:t>
            </w:r>
          </w:p>
        </w:tc>
      </w:tr>
    </w:tbl>
    <w:p>
      <w:pPr>
        <w:rPr>
          <w:rFonts w:ascii="仿宋_GB2312" w:hAnsi="Times New Roman" w:eastAsia="仿宋_GB2312" w:cs="Times New Roman"/>
          <w:sz w:val="28"/>
          <w:szCs w:val="28"/>
        </w:rPr>
      </w:pPr>
      <w:r>
        <w:rPr>
          <w:rFonts w:ascii="仿宋_GB2312" w:hAnsi="Times New Roman" w:eastAsia="仿宋_GB2312" w:cs="Times New Roman"/>
          <w:sz w:val="28"/>
          <w:szCs w:val="28"/>
        </w:rPr>
        <w:br w:type="page"/>
      </w:r>
    </w:p>
    <w:p>
      <w:pPr>
        <w:rPr>
          <w:rFonts w:ascii="仿宋_GB2312" w:hAnsi="Times New Roman" w:eastAsia="仿宋_GB2312" w:cs="Times New Roman"/>
          <w:sz w:val="28"/>
          <w:szCs w:val="28"/>
        </w:rPr>
        <w:sectPr>
          <w:headerReference r:id="rId7" w:type="default"/>
          <w:footerReference r:id="rId8" w:type="default"/>
          <w:pgSz w:w="16838" w:h="11906" w:orient="landscape"/>
          <w:pgMar w:top="1587" w:right="1440" w:bottom="1474" w:left="1440" w:header="851" w:footer="992" w:gutter="0"/>
          <w:cols w:space="720" w:num="1"/>
          <w:docGrid w:type="lines" w:linePitch="312" w:charSpace="0"/>
        </w:sect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before="249" w:beforeLines="80" w:line="600" w:lineRule="exact"/>
        <w:jc w:val="center"/>
        <w:rPr>
          <w:rFonts w:hint="eastAsia"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岳云政办发〔</w:t>
      </w:r>
      <w:r>
        <w:rPr>
          <w:rFonts w:ascii="仿宋_GB2312" w:eastAsia="仿宋_GB2312"/>
          <w:sz w:val="32"/>
          <w:szCs w:val="32"/>
        </w:rPr>
        <w:t>202</w:t>
      </w:r>
      <w:r>
        <w:rPr>
          <w:rFonts w:hint="eastAsia" w:ascii="仿宋_GB2312" w:eastAsia="仿宋_GB2312"/>
          <w:sz w:val="32"/>
          <w:szCs w:val="32"/>
        </w:rPr>
        <w:t>4〕6号</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关于进一步加强项目建设管理的通知</w:t>
      </w:r>
    </w:p>
    <w:p>
      <w:pPr>
        <w:rPr>
          <w:rFonts w:hint="eastAsia" w:ascii="仿宋_GB2312" w:eastAsia="仿宋_GB2312"/>
          <w:spacing w:val="6"/>
          <w:sz w:val="32"/>
          <w:szCs w:val="32"/>
        </w:rPr>
      </w:pPr>
    </w:p>
    <w:p>
      <w:pPr>
        <w:rPr>
          <w:rFonts w:hint="eastAsia" w:ascii="仿宋_GB2312" w:eastAsia="仿宋_GB2312"/>
          <w:sz w:val="32"/>
          <w:szCs w:val="32"/>
        </w:rPr>
      </w:pPr>
      <w:r>
        <w:rPr>
          <w:rFonts w:hint="eastAsia" w:ascii="仿宋_GB2312" w:eastAsia="仿宋_GB2312"/>
          <w:spacing w:val="6"/>
          <w:sz w:val="32"/>
          <w:szCs w:val="32"/>
        </w:rPr>
        <w:t>各镇人民政府、街道办事处，绿色化工高新区管委会，区直及驻区</w:t>
      </w:r>
      <w:r>
        <w:rPr>
          <w:rFonts w:hint="eastAsia" w:ascii="仿宋_GB2312" w:eastAsia="仿宋_GB2312"/>
          <w:sz w:val="32"/>
          <w:szCs w:val="32"/>
        </w:rPr>
        <w:t>各单位：</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为贯彻落实中央和省、市“党政机关习惯过紧日子”和坚持厉行节约反对浪费要求，进一步加强项目建设管理，严控项目建设支出，提升项目建设质效，经区人民政府研究同意，现就加强全区项目管理有关事项通知如下：</w:t>
      </w:r>
    </w:p>
    <w:p>
      <w:pPr>
        <w:ind w:firstLine="640" w:firstLineChars="200"/>
        <w:rPr>
          <w:rFonts w:hint="eastAsia" w:ascii="仿宋_GB2312" w:eastAsia="仿宋_GB2312"/>
          <w:sz w:val="32"/>
          <w:szCs w:val="32"/>
        </w:rPr>
      </w:pPr>
      <w:r>
        <w:rPr>
          <w:rFonts w:hint="eastAsia" w:ascii="黑体" w:hAnsi="黑体" w:eastAsia="黑体"/>
          <w:sz w:val="32"/>
          <w:szCs w:val="32"/>
        </w:rPr>
        <w:t>一、严守债务风险底线。</w:t>
      </w:r>
      <w:r>
        <w:rPr>
          <w:rFonts w:hint="eastAsia" w:ascii="仿宋_GB2312" w:eastAsia="仿宋_GB2312"/>
          <w:sz w:val="32"/>
          <w:szCs w:val="32"/>
        </w:rPr>
        <w:t>严禁举债上项目搞建设，凡新上项目必须有可靠的资金来源。无资金来源或资金拼盘不足的项目一律不允许申报；资金没有到位的项目一律不允许启动；不得动用“三保”财力实施基础设施建设项目；严禁负债搞建设，有存量负债的镇（街道）、村（社区）严禁使用自筹资金新上项目。</w:t>
      </w:r>
    </w:p>
    <w:p>
      <w:pPr>
        <w:ind w:firstLine="640" w:firstLineChars="200"/>
        <w:rPr>
          <w:rFonts w:hint="eastAsia" w:ascii="仿宋_GB2312" w:eastAsia="仿宋_GB2312"/>
          <w:sz w:val="32"/>
          <w:szCs w:val="32"/>
        </w:rPr>
      </w:pPr>
      <w:r>
        <w:rPr>
          <w:rFonts w:hint="eastAsia" w:ascii="黑体" w:hAnsi="黑体" w:eastAsia="黑体"/>
          <w:sz w:val="32"/>
          <w:szCs w:val="32"/>
        </w:rPr>
        <w:t>二、加强财政项目预算管理。</w:t>
      </w:r>
      <w:r>
        <w:rPr>
          <w:rFonts w:hint="eastAsia" w:ascii="仿宋_GB2312" w:eastAsia="仿宋_GB2312"/>
          <w:sz w:val="32"/>
          <w:szCs w:val="32"/>
        </w:rPr>
        <w:t>镇（街道）、村（社区）拟新建项目经费应纳入年度收入预算，明确项目经费来源，确保预算的合理性和可行性。</w:t>
      </w:r>
    </w:p>
    <w:p>
      <w:pPr>
        <w:ind w:firstLine="640" w:firstLineChars="200"/>
        <w:rPr>
          <w:rFonts w:hint="eastAsia" w:ascii="仿宋_GB2312" w:eastAsia="仿宋_GB2312"/>
          <w:sz w:val="32"/>
          <w:szCs w:val="32"/>
        </w:rPr>
      </w:pPr>
      <w:r>
        <w:rPr>
          <w:rFonts w:hint="eastAsia" w:ascii="黑体" w:hAnsi="黑体" w:eastAsia="黑体"/>
          <w:sz w:val="32"/>
          <w:szCs w:val="32"/>
        </w:rPr>
        <w:t>三、规范项目执行计划。</w:t>
      </w:r>
      <w:r>
        <w:rPr>
          <w:rFonts w:hint="eastAsia" w:ascii="仿宋_GB2312" w:eastAsia="仿宋_GB2312"/>
          <w:sz w:val="32"/>
          <w:szCs w:val="32"/>
        </w:rPr>
        <w:t>严格执行项目计划管理，严禁上马形象工程、面子工程。镇（街道）对投资建设项目实行年度计划管理，重点对项目建设的可行性必要性、建设内容、建设规模及投资效益等方面进行提前审查，审查通过拟实施的项目列入单位下年度项目计划，其中投资额度超过60万元的项目于每年10月底前报区发改局审核汇总，并按程序报批审定。对未纳入年度执行计划的项目，原则上</w:t>
      </w:r>
      <w:r>
        <w:rPr>
          <w:rFonts w:hint="eastAsia" w:ascii="仿宋_GB2312" w:eastAsia="仿宋_GB2312"/>
          <w:spacing w:val="-6"/>
          <w:sz w:val="32"/>
          <w:szCs w:val="32"/>
        </w:rPr>
        <w:t>不办理立项、不安排建设资金，确因上级政策调整、实施时间紧迫等特殊情况，需要调整项目执行计划的，报区人民政府审定，一事一议。</w:t>
      </w:r>
      <w:r>
        <w:rPr>
          <w:rFonts w:hint="eastAsia" w:ascii="仿宋_GB2312" w:eastAsia="仿宋_GB2312"/>
          <w:sz w:val="32"/>
          <w:szCs w:val="32"/>
        </w:rPr>
        <w:t>村（社区）项目建设参照执行。</w:t>
      </w:r>
    </w:p>
    <w:p>
      <w:pPr>
        <w:ind w:firstLine="640" w:firstLineChars="200"/>
        <w:rPr>
          <w:rFonts w:hint="eastAsia" w:ascii="黑体" w:hAnsi="黑体" w:eastAsia="黑体"/>
          <w:sz w:val="32"/>
          <w:szCs w:val="32"/>
        </w:rPr>
      </w:pPr>
      <w:r>
        <w:rPr>
          <w:rFonts w:hint="eastAsia" w:ascii="黑体" w:hAnsi="黑体" w:eastAsia="黑体"/>
          <w:sz w:val="32"/>
          <w:szCs w:val="32"/>
        </w:rPr>
        <w:t>四、完善项目立项程序。</w:t>
      </w:r>
    </w:p>
    <w:p>
      <w:pPr>
        <w:ind w:firstLine="640" w:firstLineChars="200"/>
        <w:rPr>
          <w:rFonts w:hint="eastAsia" w:ascii="仿宋_GB2312" w:eastAsia="仿宋_GB2312"/>
          <w:sz w:val="32"/>
          <w:szCs w:val="32"/>
        </w:rPr>
      </w:pPr>
      <w:r>
        <w:rPr>
          <w:rFonts w:hint="eastAsia" w:ascii="仿宋_GB2312" w:hAnsi="黑体" w:eastAsia="仿宋_GB2312"/>
          <w:sz w:val="32"/>
          <w:szCs w:val="32"/>
        </w:rPr>
        <w:t>1.</w:t>
      </w:r>
      <w:r>
        <w:rPr>
          <w:rFonts w:hint="eastAsia" w:ascii="仿宋_GB2312" w:eastAsia="仿宋_GB2312"/>
          <w:sz w:val="32"/>
          <w:szCs w:val="32"/>
        </w:rPr>
        <w:t>村级项目投资额100万元（不含）以下的由镇（街道）按要求审批（详情见附件1）；投资额100万元（含）以上400万元（不含）以下的报区人民政府分管副区长签署立项意见，投资额400万元（含）以上1000万元（不含）以下的报常务副区长签署立项意见；投资额1000万元（含）以上的须经区人民政府常务会议或专题会议研究决定。</w:t>
      </w:r>
    </w:p>
    <w:p>
      <w:pPr>
        <w:spacing w:line="560" w:lineRule="exact"/>
        <w:ind w:left="319" w:leftChars="152" w:firstLine="320" w:firstLineChars="100"/>
        <w:rPr>
          <w:rFonts w:hint="eastAsia" w:ascii="仿宋_GB2312" w:eastAsia="仿宋_GB2312"/>
          <w:sz w:val="32"/>
          <w:szCs w:val="32"/>
        </w:rPr>
      </w:pPr>
      <w:r>
        <w:rPr>
          <w:rFonts w:hint="eastAsia" w:ascii="仿宋_GB2312" w:eastAsia="仿宋_GB2312"/>
          <w:sz w:val="32"/>
          <w:szCs w:val="32"/>
        </w:rPr>
        <w:t>2.镇（街道）项目参照岳云政发〔2022〕2号文件规定执行。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（一）总投资额度6</w:t>
      </w:r>
      <w:r>
        <w:rPr>
          <w:rFonts w:ascii="仿宋_GB2312" w:eastAsia="仿宋_GB2312"/>
          <w:sz w:val="32"/>
          <w:szCs w:val="32"/>
        </w:rPr>
        <w:t>0</w:t>
      </w:r>
      <w:r>
        <w:rPr>
          <w:rFonts w:hint="eastAsia" w:ascii="仿宋_GB2312" w:eastAsia="仿宋_GB2312"/>
          <w:sz w:val="32"/>
          <w:szCs w:val="32"/>
        </w:rPr>
        <w:t>万元以下的，报分管副区长审批同意后，可不办理立项审批手续，按招标限额标准以下的程序办理（见第十一条相关规定）。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（二）总投资额度60万元（含）以上至400万元以下的，报分管副区长根据区政府工作安排（一事一议意见，下同）签署立项意见。</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（三）总投资400万元（含）以上至1000万元以下的，报区政府分管副区长、常务副区长签署立项意见。</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（四）投资1000万元（含）以上至2000万元以下的，报区政府分管副区长、常务副区长、区长签署立项意见。</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（五）投资2000万元（含）以上的重大投资项目或涉及民生公益类重大投资项目，须经区人民政府常务会议或专题会议研究审议通过后，再报区政府分管副区长、常务副区长、区长签署立项意见。</w:t>
      </w:r>
    </w:p>
    <w:p>
      <w:pPr>
        <w:ind w:firstLine="640" w:firstLineChars="200"/>
        <w:rPr>
          <w:rFonts w:hint="eastAsia" w:ascii="仿宋_GB2312" w:eastAsia="仿宋_GB2312"/>
          <w:sz w:val="32"/>
          <w:szCs w:val="32"/>
        </w:rPr>
      </w:pPr>
      <w:r>
        <w:rPr>
          <w:rFonts w:hint="eastAsia" w:ascii="仿宋_GB2312" w:eastAsia="仿宋_GB2312"/>
          <w:sz w:val="32"/>
          <w:szCs w:val="32"/>
        </w:rPr>
        <w:t>3.区、镇（街道）所属国有企业经营性项目投资额60万元（含）以上至400万元（不含）以下的报区人民政府常务副区长签署立项意见；投资额400万元（含）以上的须经区人民政府常务会议或专题会议研究决定。</w:t>
      </w:r>
    </w:p>
    <w:p>
      <w:pPr>
        <w:ind w:firstLine="640" w:firstLineChars="200"/>
        <w:rPr>
          <w:rFonts w:hint="eastAsia" w:ascii="仿宋_GB2312" w:eastAsia="仿宋_GB2312"/>
          <w:sz w:val="32"/>
          <w:szCs w:val="32"/>
        </w:rPr>
      </w:pPr>
      <w:r>
        <w:rPr>
          <w:rFonts w:hint="eastAsia" w:ascii="黑体" w:hAnsi="黑体" w:eastAsia="黑体"/>
          <w:sz w:val="32"/>
          <w:szCs w:val="32"/>
        </w:rPr>
        <w:t>五、严格执行项目预算。</w:t>
      </w:r>
      <w:r>
        <w:rPr>
          <w:rFonts w:hint="eastAsia" w:ascii="仿宋_GB2312" w:eastAsia="仿宋_GB2312"/>
          <w:sz w:val="32"/>
          <w:szCs w:val="32"/>
        </w:rPr>
        <w:t>全部或部分使用财政资金或最终由财政兜底的新建工程项目，必须将财政可承受能力评估作为前置审查环节。严控调整概算，概算一经核定，原则上不得突破；严格控制工程变更，未按规定履行变更审批程序的项目，工程结算审计时不予认可；对超概算项目，由项目单位或项目实施机构和责任部门承担超概算资金筹措任务，并按照“先免职、再调查”原则严肃追究有关单位主体责任、管理责任和监督责任。区发改局要严格把好项目可行性研究和概算审查关，项目单位要严格把好项目设计关，区财政局财政投资评审中心要严格把好项目评审预算关。</w:t>
      </w:r>
    </w:p>
    <w:p>
      <w:pPr>
        <w:ind w:firstLine="640" w:firstLineChars="200"/>
        <w:rPr>
          <w:rFonts w:hint="eastAsia" w:ascii="仿宋_GB2312" w:eastAsia="仿宋_GB2312"/>
          <w:sz w:val="32"/>
          <w:szCs w:val="32"/>
        </w:rPr>
      </w:pPr>
      <w:r>
        <w:rPr>
          <w:rFonts w:hint="eastAsia" w:ascii="黑体" w:hAnsi="黑体" w:eastAsia="黑体"/>
          <w:sz w:val="32"/>
          <w:szCs w:val="32"/>
        </w:rPr>
        <w:t>六、严格项目资金管理。</w:t>
      </w:r>
      <w:r>
        <w:rPr>
          <w:rFonts w:hint="eastAsia" w:ascii="仿宋_GB2312" w:eastAsia="仿宋_GB2312"/>
          <w:sz w:val="32"/>
          <w:szCs w:val="32"/>
        </w:rPr>
        <w:t>加强项目资金管控，禁止调剂使用专项资金。建立项目动态调整和退出机制，预期当年无法实施的项目，由区财政收回资金统筹安排。全面清理在建、拟建的政府性投资项目，项目建设单位财力短缺时，已通过财政承受能力评估但尚未实施的项目应暂缓实施并调整建设计划。</w:t>
      </w:r>
    </w:p>
    <w:p>
      <w:pPr>
        <w:ind w:firstLine="640" w:firstLineChars="200"/>
        <w:rPr>
          <w:rFonts w:hint="eastAsia" w:ascii="仿宋_GB2312" w:eastAsia="仿宋_GB2312"/>
          <w:sz w:val="32"/>
          <w:szCs w:val="32"/>
        </w:rPr>
      </w:pPr>
      <w:r>
        <w:rPr>
          <w:rFonts w:hint="eastAsia" w:ascii="仿宋_GB2312" w:eastAsia="仿宋_GB2312"/>
          <w:sz w:val="32"/>
          <w:szCs w:val="32"/>
        </w:rPr>
        <w:t>本通知自发布之日起执行，其它未尽事宜按照《岳阳市云溪区村级财务管理办法》（岳云政发〔2023〕1号）和《岳阳市云溪区政府性投资项目管理办法》（岳云政发〔2022〕2号）执行。</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r>
        <w:rPr>
          <w:rFonts w:hint="eastAsia" w:ascii="仿宋_GB2312" w:eastAsia="仿宋_GB2312"/>
          <w:sz w:val="32"/>
          <w:szCs w:val="32"/>
        </w:rPr>
        <w:t>附件：1.村级工程项目申报表</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      2.云溪区政府性投资项目立项审批核准表</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4160" w:firstLineChars="1300"/>
        <w:rPr>
          <w:rFonts w:ascii="仿宋_GB2312" w:eastAsia="仿宋_GB2312"/>
          <w:sz w:val="32"/>
          <w:szCs w:val="32"/>
        </w:rPr>
      </w:pPr>
      <w:r>
        <w:rPr>
          <w:rFonts w:hint="eastAsia" w:ascii="仿宋_GB2312" w:eastAsia="仿宋_GB2312"/>
          <w:sz w:val="32"/>
          <w:szCs w:val="32"/>
        </w:rPr>
        <w:t>岳阳市云溪区人民政府办公室</w:t>
      </w:r>
    </w:p>
    <w:p>
      <w:pPr>
        <w:wordWrap w:val="0"/>
        <w:ind w:right="1260" w:rightChars="600" w:firstLine="640" w:firstLineChars="200"/>
        <w:jc w:val="right"/>
        <w:rPr>
          <w:rFonts w:hint="eastAsia" w:ascii="仿宋_GB2312" w:eastAsia="仿宋_GB2312"/>
          <w:sz w:val="32"/>
          <w:szCs w:val="32"/>
        </w:rPr>
      </w:pPr>
      <w:r>
        <w:rPr>
          <w:rFonts w:hint="eastAsia" w:ascii="仿宋_GB2312" w:eastAsia="仿宋_GB2312"/>
          <w:sz w:val="32"/>
          <w:szCs w:val="32"/>
        </w:rPr>
        <w:t>2024年6月5日</w:t>
      </w:r>
    </w:p>
    <w:p>
      <w:pPr>
        <w:ind w:firstLine="640" w:firstLineChars="200"/>
        <w:jc w:val="right"/>
        <w:rPr>
          <w:rFonts w:hint="eastAsia" w:ascii="仿宋_GB2312" w:eastAsia="仿宋_GB2312"/>
          <w:sz w:val="32"/>
          <w:szCs w:val="32"/>
        </w:rPr>
      </w:pPr>
    </w:p>
    <w:p>
      <w:pPr>
        <w:ind w:firstLine="640" w:firstLineChars="200"/>
        <w:jc w:val="right"/>
        <w:rPr>
          <w:rFonts w:hint="eastAsia" w:ascii="仿宋_GB2312" w:eastAsia="仿宋_GB2312"/>
          <w:sz w:val="32"/>
          <w:szCs w:val="32"/>
        </w:rPr>
      </w:pPr>
    </w:p>
    <w:p>
      <w:pPr>
        <w:ind w:firstLine="640" w:firstLineChars="200"/>
        <w:jc w:val="right"/>
        <w:rPr>
          <w:rFonts w:hint="eastAsia" w:ascii="仿宋_GB2312" w:eastAsia="仿宋_GB2312"/>
          <w:sz w:val="32"/>
          <w:szCs w:val="32"/>
        </w:rPr>
      </w:pPr>
    </w:p>
    <w:p>
      <w:pPr>
        <w:pStyle w:val="9"/>
        <w:widowControl/>
        <w:spacing w:before="0" w:beforeAutospacing="0" w:after="0" w:afterAutospacing="0"/>
        <w:jc w:val="both"/>
        <w:rPr>
          <w:rFonts w:ascii="黑体" w:hAnsi="黑体" w:eastAsia="黑体"/>
          <w:sz w:val="32"/>
          <w:szCs w:val="32"/>
        </w:rPr>
      </w:pPr>
      <w:r>
        <w:rPr>
          <w:rFonts w:hint="eastAsia" w:ascii="黑体" w:hAnsi="黑体" w:eastAsia="黑体" w:cs="Arial"/>
          <w:sz w:val="32"/>
          <w:szCs w:val="32"/>
          <w:shd w:val="clear" w:color="auto" w:fill="FFFFFF"/>
        </w:rPr>
        <w:t>附件1</w:t>
      </w:r>
    </w:p>
    <w:p>
      <w:pPr>
        <w:pStyle w:val="9"/>
        <w:widowControl/>
        <w:spacing w:before="0" w:beforeAutospacing="0" w:after="0" w:afterAutospacing="0"/>
        <w:jc w:val="center"/>
        <w:rPr>
          <w:rFonts w:hint="eastAsia" w:ascii="方正小标宋简体" w:eastAsia="方正小标宋简体"/>
          <w:bCs/>
          <w:sz w:val="44"/>
          <w:szCs w:val="44"/>
        </w:rPr>
      </w:pPr>
      <w:r>
        <w:rPr>
          <w:rFonts w:hint="eastAsia" w:ascii="方正小标宋简体" w:hAnsi="Arial" w:eastAsia="方正小标宋简体" w:cs="Arial"/>
          <w:bCs/>
          <w:sz w:val="44"/>
          <w:szCs w:val="44"/>
          <w:shd w:val="clear" w:color="auto" w:fill="FFFFFF"/>
        </w:rPr>
        <w:t>村级工程项目申报表</w:t>
      </w:r>
    </w:p>
    <w:p>
      <w:pPr>
        <w:pStyle w:val="9"/>
        <w:widowControl/>
        <w:spacing w:before="225" w:beforeAutospacing="0" w:after="225" w:afterAutospacing="0"/>
        <w:ind w:firstLine="180" w:firstLineChars="100"/>
        <w:jc w:val="both"/>
        <w:rPr>
          <w:rFonts w:hint="eastAsia" w:ascii="仿宋_GB2312" w:eastAsia="仿宋_GB2312"/>
        </w:rPr>
      </w:pPr>
      <w:r>
        <w:rPr>
          <w:rFonts w:hint="eastAsia" w:ascii="仿宋_GB2312" w:hAnsi="Arial" w:eastAsia="仿宋_GB2312" w:cs="Arial"/>
          <w:shd w:val="clear" w:color="auto" w:fill="FFFFFF"/>
        </w:rPr>
        <w:t>填报单位（盖章）                              申报日期：  年   月  日</w:t>
      </w:r>
    </w:p>
    <w:tbl>
      <w:tblPr>
        <w:tblStyle w:val="12"/>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0" w:type="dxa"/>
          <w:left w:w="30" w:type="dxa"/>
          <w:bottom w:w="30" w:type="dxa"/>
          <w:right w:w="30" w:type="dxa"/>
        </w:tblCellMar>
      </w:tblPr>
      <w:tblGrid>
        <w:gridCol w:w="2085"/>
        <w:gridCol w:w="4117"/>
        <w:gridCol w:w="1037"/>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90"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项目名称</w:t>
            </w:r>
          </w:p>
        </w:tc>
        <w:tc>
          <w:tcPr>
            <w:tcW w:w="6760" w:type="dxa"/>
            <w:gridSpan w:val="3"/>
            <w:noWrap w:val="0"/>
            <w:vAlign w:val="center"/>
          </w:tcPr>
          <w:p>
            <w:pPr>
              <w:pStyle w:val="9"/>
              <w:widowControl/>
              <w:spacing w:before="225" w:beforeAutospacing="0" w:after="225" w:afterAutospacing="0"/>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项目概况</w:t>
            </w:r>
          </w:p>
        </w:tc>
        <w:tc>
          <w:tcPr>
            <w:tcW w:w="6760" w:type="dxa"/>
            <w:gridSpan w:val="3"/>
            <w:noWrap w:val="0"/>
            <w:vAlign w:val="center"/>
          </w:tcPr>
          <w:p>
            <w:pPr>
              <w:pStyle w:val="9"/>
              <w:widowControl/>
              <w:spacing w:before="225" w:beforeAutospacing="0" w:after="225" w:afterAutospacing="0"/>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20"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招标方式</w:t>
            </w:r>
          </w:p>
        </w:tc>
        <w:tc>
          <w:tcPr>
            <w:tcW w:w="4117" w:type="dxa"/>
            <w:noWrap w:val="0"/>
            <w:vAlign w:val="center"/>
          </w:tcPr>
          <w:p>
            <w:pPr>
              <w:pStyle w:val="9"/>
              <w:widowControl/>
              <w:spacing w:before="0" w:beforeAutospacing="0" w:after="0" w:afterAutospacing="0"/>
              <w:jc w:val="both"/>
              <w:rPr>
                <w:rFonts w:ascii="仿宋_GB2312" w:eastAsia="仿宋_GB2312"/>
              </w:rPr>
            </w:pPr>
            <w:r>
              <w:rPr>
                <w:rFonts w:hint="eastAsia" w:ascii="仿宋_GB2312" w:hAnsi="宋体" w:eastAsia="仿宋_GB2312"/>
              </w:rPr>
              <w:t xml:space="preserve">村集体自建  </w:t>
            </w:r>
            <w:r>
              <w:rPr>
                <w:rFonts w:hint="eastAsia" w:ascii="仿宋_GB2312" w:eastAsia="仿宋_GB2312" w:cs="Calibri"/>
              </w:rPr>
              <w:t xml:space="preserve">□    </w:t>
            </w:r>
            <w:r>
              <w:rPr>
                <w:rFonts w:hint="eastAsia" w:ascii="仿宋_GB2312" w:hAnsi="宋体" w:eastAsia="仿宋_GB2312"/>
              </w:rPr>
              <w:t>简易公开招标</w:t>
            </w:r>
            <w:r>
              <w:rPr>
                <w:rFonts w:hint="eastAsia" w:ascii="仿宋_GB2312" w:eastAsia="仿宋_GB2312" w:cs="Calibri"/>
              </w:rPr>
              <w:t>□</w:t>
            </w:r>
          </w:p>
          <w:p>
            <w:pPr>
              <w:pStyle w:val="9"/>
              <w:widowControl/>
              <w:spacing w:before="0" w:beforeAutospacing="0" w:after="0" w:afterAutospacing="0"/>
              <w:jc w:val="both"/>
              <w:rPr>
                <w:rFonts w:ascii="仿宋_GB2312" w:eastAsia="仿宋_GB2312"/>
              </w:rPr>
            </w:pPr>
            <w:r>
              <w:rPr>
                <w:rFonts w:hint="eastAsia" w:ascii="仿宋_GB2312" w:hAnsi="宋体" w:eastAsia="仿宋_GB2312"/>
              </w:rPr>
              <w:t>简易邀请招标</w:t>
            </w:r>
            <w:r>
              <w:rPr>
                <w:rFonts w:hint="eastAsia" w:ascii="仿宋_GB2312" w:eastAsia="仿宋_GB2312" w:cs="Calibri"/>
              </w:rPr>
              <w:t xml:space="preserve">□    </w:t>
            </w:r>
            <w:r>
              <w:rPr>
                <w:rFonts w:hint="eastAsia" w:ascii="仿宋_GB2312" w:hAnsi="宋体" w:eastAsia="仿宋_GB2312"/>
              </w:rPr>
              <w:t xml:space="preserve">公开招投标  </w:t>
            </w:r>
            <w:r>
              <w:rPr>
                <w:rFonts w:hint="eastAsia" w:ascii="仿宋_GB2312" w:eastAsia="仿宋_GB2312" w:cs="Calibri"/>
              </w:rPr>
              <w:t>□</w:t>
            </w:r>
          </w:p>
        </w:tc>
        <w:tc>
          <w:tcPr>
            <w:tcW w:w="1037" w:type="dxa"/>
            <w:noWrap w:val="0"/>
            <w:vAlign w:val="center"/>
          </w:tcPr>
          <w:p>
            <w:pPr>
              <w:pStyle w:val="9"/>
              <w:widowControl/>
              <w:spacing w:before="225" w:beforeAutospacing="0" w:after="225" w:afterAutospacing="0"/>
              <w:jc w:val="both"/>
              <w:rPr>
                <w:rFonts w:ascii="仿宋_GB2312" w:eastAsia="仿宋_GB2312"/>
              </w:rPr>
            </w:pPr>
            <w:r>
              <w:rPr>
                <w:rFonts w:hint="eastAsia" w:ascii="仿宋_GB2312" w:hAnsi="宋体" w:eastAsia="仿宋_GB2312"/>
              </w:rPr>
              <w:t>实施地点</w:t>
            </w:r>
          </w:p>
        </w:tc>
        <w:tc>
          <w:tcPr>
            <w:tcW w:w="1606" w:type="dxa"/>
            <w:noWrap w:val="0"/>
            <w:vAlign w:val="center"/>
          </w:tcPr>
          <w:p>
            <w:pPr>
              <w:pStyle w:val="9"/>
              <w:widowControl/>
              <w:spacing w:before="225" w:beforeAutospacing="0" w:after="225" w:afterAutospacing="0"/>
              <w:jc w:val="both"/>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20"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项目预算</w:t>
            </w:r>
          </w:p>
        </w:tc>
        <w:tc>
          <w:tcPr>
            <w:tcW w:w="4117" w:type="dxa"/>
            <w:noWrap w:val="0"/>
            <w:vAlign w:val="center"/>
          </w:tcPr>
          <w:p>
            <w:pPr>
              <w:pStyle w:val="9"/>
              <w:widowControl/>
              <w:spacing w:before="0" w:beforeAutospacing="0" w:after="0" w:afterAutospacing="0"/>
              <w:ind w:firstLine="630" w:firstLineChars="350"/>
              <w:jc w:val="both"/>
              <w:rPr>
                <w:rFonts w:hint="eastAsia" w:ascii="仿宋_GB2312" w:eastAsia="仿宋_GB2312" w:cs="Calibri"/>
              </w:rPr>
            </w:pPr>
            <w:r>
              <w:rPr>
                <w:rFonts w:hint="eastAsia" w:ascii="仿宋_GB2312" w:hAnsi="宋体" w:eastAsia="仿宋_GB2312"/>
              </w:rPr>
              <w:t>万元，其中财政资金</w:t>
            </w:r>
            <w:r>
              <w:rPr>
                <w:rFonts w:hint="eastAsia" w:ascii="仿宋_GB2312" w:eastAsia="仿宋_GB2312" w:cs="Calibri"/>
              </w:rPr>
              <w:t xml:space="preserve">       </w:t>
            </w:r>
            <w:r>
              <w:rPr>
                <w:rFonts w:hint="eastAsia" w:ascii="仿宋_GB2312" w:hAnsi="宋体" w:eastAsia="仿宋_GB2312"/>
              </w:rPr>
              <w:t>万元、自筹资金</w:t>
            </w:r>
            <w:r>
              <w:rPr>
                <w:rFonts w:hint="eastAsia" w:ascii="仿宋_GB2312" w:eastAsia="仿宋_GB2312" w:cs="Calibri"/>
              </w:rPr>
              <w:t xml:space="preserve">            </w:t>
            </w:r>
            <w:r>
              <w:rPr>
                <w:rFonts w:hint="eastAsia" w:ascii="仿宋_GB2312" w:hAnsi="宋体" w:eastAsia="仿宋_GB2312"/>
              </w:rPr>
              <w:t>万元，捐赠</w:t>
            </w:r>
            <w:r>
              <w:rPr>
                <w:rFonts w:hint="eastAsia" w:ascii="仿宋_GB2312" w:eastAsia="仿宋_GB2312" w:cs="Calibri"/>
              </w:rPr>
              <w:t xml:space="preserve">         </w:t>
            </w:r>
          </w:p>
          <w:p>
            <w:pPr>
              <w:pStyle w:val="9"/>
              <w:widowControl/>
              <w:spacing w:before="0" w:beforeAutospacing="0" w:after="0" w:afterAutospacing="0"/>
              <w:jc w:val="both"/>
              <w:rPr>
                <w:rFonts w:ascii="仿宋_GB2312" w:eastAsia="仿宋_GB2312"/>
              </w:rPr>
            </w:pPr>
            <w:r>
              <w:rPr>
                <w:rFonts w:hint="eastAsia" w:ascii="仿宋_GB2312" w:eastAsia="仿宋_GB2312" w:cs="Calibri"/>
              </w:rPr>
              <w:t xml:space="preserve">       </w:t>
            </w:r>
            <w:r>
              <w:rPr>
                <w:rFonts w:hint="eastAsia" w:ascii="仿宋_GB2312" w:hAnsi="宋体" w:eastAsia="仿宋_GB2312"/>
              </w:rPr>
              <w:t>万元。</w:t>
            </w:r>
          </w:p>
        </w:tc>
        <w:tc>
          <w:tcPr>
            <w:tcW w:w="1037" w:type="dxa"/>
            <w:noWrap w:val="0"/>
            <w:vAlign w:val="center"/>
          </w:tcPr>
          <w:p>
            <w:pPr>
              <w:pStyle w:val="9"/>
              <w:widowControl/>
              <w:spacing w:before="225" w:beforeAutospacing="0" w:after="225" w:afterAutospacing="0"/>
              <w:jc w:val="both"/>
              <w:rPr>
                <w:rFonts w:ascii="仿宋_GB2312" w:eastAsia="仿宋_GB2312"/>
              </w:rPr>
            </w:pPr>
            <w:r>
              <w:rPr>
                <w:rFonts w:hint="eastAsia" w:ascii="仿宋_GB2312" w:hAnsi="宋体" w:eastAsia="仿宋_GB2312"/>
              </w:rPr>
              <w:t>批复文号</w:t>
            </w:r>
          </w:p>
        </w:tc>
        <w:tc>
          <w:tcPr>
            <w:tcW w:w="1606" w:type="dxa"/>
            <w:noWrap w:val="0"/>
            <w:vAlign w:val="center"/>
          </w:tcPr>
          <w:p>
            <w:pPr>
              <w:pStyle w:val="9"/>
              <w:widowControl/>
              <w:spacing w:before="225" w:beforeAutospacing="0" w:after="225" w:afterAutospacing="0"/>
              <w:jc w:val="both"/>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35"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项目实施监督小组成员</w:t>
            </w:r>
          </w:p>
        </w:tc>
        <w:tc>
          <w:tcPr>
            <w:tcW w:w="6760" w:type="dxa"/>
            <w:gridSpan w:val="3"/>
            <w:noWrap w:val="0"/>
            <w:vAlign w:val="top"/>
          </w:tcPr>
          <w:p>
            <w:pPr>
              <w:pStyle w:val="9"/>
              <w:widowControl/>
              <w:spacing w:before="0" w:beforeAutospacing="0" w:after="0" w:afterAutospacing="0"/>
              <w:jc w:val="both"/>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35"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村级组织</w:t>
            </w:r>
          </w:p>
          <w:p>
            <w:pPr>
              <w:pStyle w:val="9"/>
              <w:widowControl/>
              <w:spacing w:before="0" w:beforeAutospacing="0" w:after="0" w:afterAutospacing="0"/>
              <w:jc w:val="center"/>
              <w:rPr>
                <w:rFonts w:ascii="仿宋_GB2312" w:eastAsia="仿宋_GB2312"/>
              </w:rPr>
            </w:pPr>
            <w:r>
              <w:rPr>
                <w:rFonts w:hint="eastAsia" w:ascii="仿宋_GB2312" w:hAnsi="宋体" w:eastAsia="仿宋_GB2312"/>
              </w:rPr>
              <w:t>意见</w:t>
            </w:r>
          </w:p>
        </w:tc>
        <w:tc>
          <w:tcPr>
            <w:tcW w:w="6760" w:type="dxa"/>
            <w:gridSpan w:val="3"/>
            <w:noWrap w:val="0"/>
            <w:vAlign w:val="top"/>
          </w:tcPr>
          <w:p>
            <w:pPr>
              <w:pStyle w:val="9"/>
              <w:widowControl/>
              <w:spacing w:before="0" w:beforeAutospacing="0" w:after="0" w:afterAutospacing="0"/>
              <w:jc w:val="both"/>
              <w:rPr>
                <w:rFonts w:ascii="仿宋_GB2312" w:hAnsi="宋体" w:eastAsia="仿宋_GB2312"/>
              </w:rPr>
            </w:pPr>
          </w:p>
          <w:p>
            <w:pPr>
              <w:pStyle w:val="9"/>
              <w:widowControl/>
              <w:spacing w:before="0" w:beforeAutospacing="0" w:after="0" w:afterAutospacing="0"/>
              <w:jc w:val="right"/>
              <w:rPr>
                <w:rFonts w:hint="eastAsia" w:ascii="仿宋_GB2312" w:hAnsi="宋体" w:eastAsia="仿宋_GB2312"/>
              </w:rPr>
            </w:pPr>
          </w:p>
          <w:p>
            <w:pPr>
              <w:pStyle w:val="9"/>
              <w:widowControl/>
              <w:spacing w:before="0" w:beforeAutospacing="0" w:after="0" w:afterAutospacing="0"/>
              <w:jc w:val="right"/>
              <w:rPr>
                <w:rFonts w:ascii="仿宋_GB2312" w:eastAsia="仿宋_GB2312"/>
              </w:rPr>
            </w:pPr>
            <w:r>
              <w:rPr>
                <w:rFonts w:hint="eastAsia" w:ascii="仿宋_GB2312" w:hAnsi="宋体" w:eastAsia="仿宋_GB2312"/>
              </w:rPr>
              <w:t>签字（盖章）：</w:t>
            </w:r>
            <w:r>
              <w:rPr>
                <w:rFonts w:hint="eastAsia" w:ascii="仿宋_GB2312" w:eastAsia="仿宋_GB2312" w:cs="Calibri"/>
              </w:rPr>
              <w:t xml:space="preserve">    </w:t>
            </w:r>
            <w:r>
              <w:rPr>
                <w:rFonts w:hint="eastAsia" w:ascii="仿宋_GB2312" w:hAnsi="宋体" w:eastAsia="仿宋_GB2312"/>
              </w:rPr>
              <w:t>年</w:t>
            </w:r>
            <w:r>
              <w:rPr>
                <w:rFonts w:hint="eastAsia" w:ascii="仿宋_GB2312" w:eastAsia="仿宋_GB2312" w:cs="Calibri"/>
              </w:rPr>
              <w:t xml:space="preserve">   </w:t>
            </w:r>
            <w:r>
              <w:rPr>
                <w:rFonts w:hint="eastAsia" w:ascii="仿宋_GB2312" w:hAnsi="宋体" w:eastAsia="仿宋_GB2312"/>
              </w:rPr>
              <w:t>月</w:t>
            </w:r>
            <w:r>
              <w:rPr>
                <w:rFonts w:hint="eastAsia" w:ascii="仿宋_GB2312" w:eastAsia="仿宋_GB2312" w:cs="Calibri"/>
              </w:rPr>
              <w:t xml:space="preserve">   </w:t>
            </w:r>
            <w:r>
              <w:rPr>
                <w:rFonts w:hint="eastAsia" w:ascii="仿宋_GB2312" w:hAnsi="宋体" w:eastAsia="仿宋_GB231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415"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镇（街道）行业主管部门意见</w:t>
            </w:r>
          </w:p>
        </w:tc>
        <w:tc>
          <w:tcPr>
            <w:tcW w:w="6760" w:type="dxa"/>
            <w:gridSpan w:val="3"/>
            <w:noWrap w:val="0"/>
            <w:vAlign w:val="top"/>
          </w:tcPr>
          <w:p>
            <w:pPr>
              <w:pStyle w:val="9"/>
              <w:widowControl/>
              <w:spacing w:before="0" w:beforeAutospacing="0" w:after="0" w:afterAutospacing="0"/>
              <w:jc w:val="both"/>
              <w:rPr>
                <w:rFonts w:hint="eastAsia" w:ascii="仿宋_GB2312" w:hAnsi="宋体" w:eastAsia="仿宋_GB2312"/>
                <w:bCs/>
              </w:rPr>
            </w:pPr>
            <w:r>
              <w:rPr>
                <w:rFonts w:hint="eastAsia" w:ascii="仿宋_GB2312" w:hAnsi="宋体" w:eastAsia="仿宋_GB2312"/>
                <w:bCs/>
              </w:rPr>
              <w:t>（注：由项目行业主管站所、财政所、自然资源所等负责人签意见，可分开设置意见栏）</w:t>
            </w:r>
          </w:p>
          <w:p>
            <w:pPr>
              <w:pStyle w:val="9"/>
              <w:widowControl/>
              <w:spacing w:before="0" w:beforeAutospacing="0" w:after="0" w:afterAutospacing="0"/>
              <w:jc w:val="both"/>
              <w:rPr>
                <w:rFonts w:hint="eastAsia" w:ascii="仿宋_GB2312" w:hAnsi="宋体" w:eastAsia="仿宋_GB2312"/>
                <w:b/>
                <w:bCs/>
              </w:rPr>
            </w:pPr>
          </w:p>
          <w:p>
            <w:pPr>
              <w:pStyle w:val="9"/>
              <w:widowControl/>
              <w:spacing w:before="0" w:beforeAutospacing="0" w:after="0" w:afterAutospacing="0"/>
              <w:jc w:val="both"/>
              <w:rPr>
                <w:rFonts w:hint="eastAsia" w:ascii="仿宋_GB2312" w:hAnsi="宋体" w:eastAsia="仿宋_GB2312"/>
                <w:b/>
                <w:bCs/>
              </w:rPr>
            </w:pPr>
          </w:p>
          <w:p>
            <w:pPr>
              <w:pStyle w:val="9"/>
              <w:widowControl/>
              <w:spacing w:before="0" w:beforeAutospacing="0" w:after="0" w:afterAutospacing="0"/>
              <w:jc w:val="right"/>
              <w:rPr>
                <w:rFonts w:ascii="仿宋_GB2312" w:eastAsia="仿宋_GB2312"/>
              </w:rPr>
            </w:pPr>
            <w:r>
              <w:rPr>
                <w:rFonts w:hint="eastAsia" w:ascii="仿宋_GB2312" w:hAnsi="宋体" w:eastAsia="仿宋_GB2312"/>
              </w:rPr>
              <w:t>签字（盖章）：</w:t>
            </w:r>
            <w:r>
              <w:rPr>
                <w:rFonts w:hint="eastAsia" w:ascii="仿宋_GB2312" w:eastAsia="仿宋_GB2312" w:cs="Calibri"/>
              </w:rPr>
              <w:t xml:space="preserve">    </w:t>
            </w:r>
            <w:r>
              <w:rPr>
                <w:rFonts w:hint="eastAsia" w:ascii="仿宋_GB2312" w:hAnsi="宋体" w:eastAsia="仿宋_GB2312"/>
              </w:rPr>
              <w:t>年</w:t>
            </w:r>
            <w:r>
              <w:rPr>
                <w:rFonts w:hint="eastAsia" w:ascii="仿宋_GB2312" w:eastAsia="仿宋_GB2312" w:cs="Calibri"/>
              </w:rPr>
              <w:t xml:space="preserve">   </w:t>
            </w:r>
            <w:r>
              <w:rPr>
                <w:rFonts w:hint="eastAsia" w:ascii="仿宋_GB2312" w:hAnsi="宋体" w:eastAsia="仿宋_GB2312"/>
              </w:rPr>
              <w:t>月</w:t>
            </w:r>
            <w:r>
              <w:rPr>
                <w:rFonts w:hint="eastAsia" w:ascii="仿宋_GB2312" w:eastAsia="仿宋_GB2312" w:cs="Calibri"/>
              </w:rPr>
              <w:t xml:space="preserve">   </w:t>
            </w:r>
            <w:r>
              <w:rPr>
                <w:rFonts w:hint="eastAsia" w:ascii="仿宋_GB2312" w:hAnsi="宋体" w:eastAsia="仿宋_GB231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35" w:hRule="atLeast"/>
          <w:jc w:val="center"/>
        </w:trPr>
        <w:tc>
          <w:tcPr>
            <w:tcW w:w="2085" w:type="dxa"/>
            <w:noWrap w:val="0"/>
            <w:vAlign w:val="center"/>
          </w:tcPr>
          <w:p>
            <w:pPr>
              <w:pStyle w:val="9"/>
              <w:widowControl/>
              <w:spacing w:before="0" w:beforeAutospacing="0" w:after="0" w:afterAutospacing="0"/>
              <w:jc w:val="center"/>
              <w:rPr>
                <w:rFonts w:hint="eastAsia" w:ascii="仿宋_GB2312" w:hAnsi="宋体" w:eastAsia="仿宋_GB2312"/>
              </w:rPr>
            </w:pPr>
            <w:r>
              <w:rPr>
                <w:rFonts w:hint="eastAsia" w:ascii="仿宋_GB2312" w:hAnsi="宋体" w:eastAsia="仿宋_GB2312"/>
              </w:rPr>
              <w:t>镇（街道）行业</w:t>
            </w:r>
          </w:p>
          <w:p>
            <w:pPr>
              <w:pStyle w:val="9"/>
              <w:widowControl/>
              <w:spacing w:before="0" w:beforeAutospacing="0" w:after="0" w:afterAutospacing="0"/>
              <w:jc w:val="center"/>
              <w:rPr>
                <w:rFonts w:ascii="仿宋_GB2312" w:eastAsia="仿宋_GB2312"/>
              </w:rPr>
            </w:pPr>
            <w:r>
              <w:rPr>
                <w:rFonts w:hint="eastAsia" w:ascii="仿宋_GB2312" w:hAnsi="宋体" w:eastAsia="仿宋_GB2312"/>
              </w:rPr>
              <w:t>分管领导意见</w:t>
            </w:r>
          </w:p>
        </w:tc>
        <w:tc>
          <w:tcPr>
            <w:tcW w:w="6760" w:type="dxa"/>
            <w:gridSpan w:val="3"/>
            <w:noWrap w:val="0"/>
            <w:vAlign w:val="top"/>
          </w:tcPr>
          <w:p>
            <w:pPr>
              <w:pStyle w:val="9"/>
              <w:widowControl/>
              <w:spacing w:before="0" w:beforeAutospacing="0" w:after="0" w:afterAutospacing="0"/>
              <w:jc w:val="both"/>
              <w:rPr>
                <w:rFonts w:ascii="仿宋_GB2312" w:hAnsi="宋体" w:eastAsia="仿宋_GB2312"/>
              </w:rPr>
            </w:pPr>
          </w:p>
          <w:p>
            <w:pPr>
              <w:pStyle w:val="9"/>
              <w:widowControl/>
              <w:spacing w:before="0" w:beforeAutospacing="0" w:after="0" w:afterAutospacing="0"/>
              <w:jc w:val="right"/>
              <w:rPr>
                <w:rFonts w:hint="eastAsia" w:ascii="仿宋_GB2312" w:hAnsi="宋体" w:eastAsia="仿宋_GB2312"/>
              </w:rPr>
            </w:pPr>
          </w:p>
          <w:p>
            <w:pPr>
              <w:pStyle w:val="9"/>
              <w:widowControl/>
              <w:spacing w:before="0" w:beforeAutospacing="0" w:after="0" w:afterAutospacing="0"/>
              <w:jc w:val="right"/>
              <w:rPr>
                <w:rFonts w:ascii="仿宋_GB2312" w:eastAsia="仿宋_GB2312"/>
              </w:rPr>
            </w:pPr>
            <w:r>
              <w:rPr>
                <w:rFonts w:hint="eastAsia" w:ascii="仿宋_GB2312" w:hAnsi="宋体" w:eastAsia="仿宋_GB2312"/>
              </w:rPr>
              <w:t>签字：</w:t>
            </w:r>
            <w:r>
              <w:rPr>
                <w:rFonts w:hint="eastAsia" w:ascii="仿宋_GB2312" w:eastAsia="仿宋_GB2312" w:cs="Calibri"/>
              </w:rPr>
              <w:t xml:space="preserve">    </w:t>
            </w:r>
            <w:r>
              <w:rPr>
                <w:rFonts w:hint="eastAsia" w:ascii="仿宋_GB2312" w:hAnsi="宋体" w:eastAsia="仿宋_GB2312"/>
              </w:rPr>
              <w:t>年</w:t>
            </w:r>
            <w:r>
              <w:rPr>
                <w:rFonts w:hint="eastAsia" w:ascii="仿宋_GB2312" w:eastAsia="仿宋_GB2312" w:cs="Calibri"/>
              </w:rPr>
              <w:t xml:space="preserve">   </w:t>
            </w:r>
            <w:r>
              <w:rPr>
                <w:rFonts w:hint="eastAsia" w:ascii="仿宋_GB2312" w:hAnsi="宋体" w:eastAsia="仿宋_GB2312"/>
              </w:rPr>
              <w:t>月</w:t>
            </w:r>
            <w:r>
              <w:rPr>
                <w:rFonts w:hint="eastAsia" w:ascii="仿宋_GB2312" w:eastAsia="仿宋_GB2312" w:cs="Calibri"/>
              </w:rPr>
              <w:t xml:space="preserve">   </w:t>
            </w:r>
            <w:r>
              <w:rPr>
                <w:rFonts w:hint="eastAsia" w:ascii="仿宋_GB2312" w:hAnsi="宋体" w:eastAsia="仿宋_GB231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35" w:hRule="atLeast"/>
          <w:jc w:val="center"/>
        </w:trPr>
        <w:tc>
          <w:tcPr>
            <w:tcW w:w="2085" w:type="dxa"/>
            <w:noWrap w:val="0"/>
            <w:vAlign w:val="center"/>
          </w:tcPr>
          <w:p>
            <w:pPr>
              <w:pStyle w:val="9"/>
              <w:widowControl/>
              <w:spacing w:before="0" w:beforeAutospacing="0" w:after="0" w:afterAutospacing="0"/>
              <w:jc w:val="center"/>
              <w:rPr>
                <w:rFonts w:hint="eastAsia" w:ascii="仿宋_GB2312" w:hAnsi="宋体" w:eastAsia="仿宋_GB2312"/>
              </w:rPr>
            </w:pPr>
            <w:r>
              <w:rPr>
                <w:rFonts w:hint="eastAsia" w:ascii="仿宋_GB2312" w:hAnsi="宋体" w:eastAsia="仿宋_GB2312"/>
              </w:rPr>
              <w:t>镇长（街道办</w:t>
            </w:r>
          </w:p>
          <w:p>
            <w:pPr>
              <w:pStyle w:val="9"/>
              <w:widowControl/>
              <w:spacing w:before="0" w:beforeAutospacing="0" w:after="0" w:afterAutospacing="0"/>
              <w:jc w:val="center"/>
              <w:rPr>
                <w:rFonts w:ascii="仿宋_GB2312" w:eastAsia="仿宋_GB2312"/>
              </w:rPr>
            </w:pPr>
            <w:r>
              <w:rPr>
                <w:rFonts w:hint="eastAsia" w:ascii="仿宋_GB2312" w:hAnsi="宋体" w:eastAsia="仿宋_GB2312"/>
              </w:rPr>
              <w:t>主任）意见</w:t>
            </w:r>
          </w:p>
        </w:tc>
        <w:tc>
          <w:tcPr>
            <w:tcW w:w="6760" w:type="dxa"/>
            <w:gridSpan w:val="3"/>
            <w:noWrap w:val="0"/>
            <w:vAlign w:val="top"/>
          </w:tcPr>
          <w:p>
            <w:pPr>
              <w:pStyle w:val="9"/>
              <w:widowControl/>
              <w:spacing w:before="0" w:beforeAutospacing="0" w:after="0" w:afterAutospacing="0"/>
              <w:jc w:val="both"/>
              <w:rPr>
                <w:rFonts w:ascii="仿宋_GB2312" w:hAnsi="宋体" w:eastAsia="仿宋_GB2312"/>
              </w:rPr>
            </w:pPr>
          </w:p>
          <w:p>
            <w:pPr>
              <w:pStyle w:val="9"/>
              <w:widowControl/>
              <w:spacing w:before="0" w:beforeAutospacing="0" w:after="0" w:afterAutospacing="0"/>
              <w:jc w:val="both"/>
              <w:rPr>
                <w:rFonts w:hint="eastAsia" w:ascii="仿宋_GB2312" w:hAnsi="宋体" w:eastAsia="仿宋_GB2312"/>
              </w:rPr>
            </w:pPr>
          </w:p>
          <w:p>
            <w:pPr>
              <w:pStyle w:val="9"/>
              <w:widowControl/>
              <w:spacing w:before="0" w:beforeAutospacing="0" w:after="0" w:afterAutospacing="0"/>
              <w:jc w:val="right"/>
              <w:rPr>
                <w:rFonts w:ascii="仿宋_GB2312" w:eastAsia="仿宋_GB2312"/>
              </w:rPr>
            </w:pPr>
            <w:r>
              <w:rPr>
                <w:rFonts w:hint="eastAsia" w:ascii="仿宋_GB2312" w:hAnsi="宋体" w:eastAsia="仿宋_GB2312"/>
              </w:rPr>
              <w:t>签字：</w:t>
            </w:r>
            <w:r>
              <w:rPr>
                <w:rFonts w:hint="eastAsia" w:ascii="仿宋_GB2312" w:eastAsia="仿宋_GB2312" w:cs="Calibri"/>
              </w:rPr>
              <w:t xml:space="preserve">    </w:t>
            </w:r>
            <w:r>
              <w:rPr>
                <w:rFonts w:hint="eastAsia" w:ascii="仿宋_GB2312" w:hAnsi="宋体" w:eastAsia="仿宋_GB2312"/>
              </w:rPr>
              <w:t>年</w:t>
            </w:r>
            <w:r>
              <w:rPr>
                <w:rFonts w:hint="eastAsia" w:ascii="仿宋_GB2312" w:eastAsia="仿宋_GB2312" w:cs="Calibri"/>
              </w:rPr>
              <w:t xml:space="preserve">   </w:t>
            </w:r>
            <w:r>
              <w:rPr>
                <w:rFonts w:hint="eastAsia" w:ascii="仿宋_GB2312" w:hAnsi="宋体" w:eastAsia="仿宋_GB2312"/>
              </w:rPr>
              <w:t>月</w:t>
            </w:r>
            <w:r>
              <w:rPr>
                <w:rFonts w:hint="eastAsia" w:ascii="仿宋_GB2312" w:eastAsia="仿宋_GB2312" w:cs="Calibri"/>
              </w:rPr>
              <w:t xml:space="preserve">   </w:t>
            </w:r>
            <w:r>
              <w:rPr>
                <w:rFonts w:hint="eastAsia" w:ascii="仿宋_GB2312" w:hAnsi="宋体" w:eastAsia="仿宋_GB2312"/>
              </w:rPr>
              <w:t>日</w:t>
            </w:r>
          </w:p>
        </w:tc>
      </w:tr>
    </w:tbl>
    <w:p>
      <w:pPr>
        <w:pStyle w:val="9"/>
        <w:widowControl/>
        <w:spacing w:before="93" w:beforeLines="30" w:beforeAutospacing="0" w:after="0" w:afterAutospacing="0"/>
        <w:ind w:firstLine="420"/>
        <w:jc w:val="both"/>
        <w:rPr>
          <w:rFonts w:hint="eastAsia" w:ascii="仿宋_GB2312" w:eastAsia="仿宋_GB2312"/>
        </w:rPr>
      </w:pPr>
      <w:r>
        <w:rPr>
          <w:rFonts w:hint="eastAsia" w:ascii="仿宋_GB2312" w:hAnsi="黑体" w:eastAsia="仿宋_GB2312"/>
          <w:b/>
          <w:bCs/>
          <w:shd w:val="clear" w:color="auto" w:fill="FFFFFF"/>
        </w:rPr>
        <w:t>注：</w:t>
      </w:r>
      <w:r>
        <w:rPr>
          <w:rFonts w:hint="eastAsia" w:ascii="仿宋_GB2312" w:eastAsia="仿宋_GB2312"/>
          <w:shd w:val="clear" w:color="auto" w:fill="FFFFFF"/>
        </w:rPr>
        <w:t>此表由项目申报村（社区）填报。</w:t>
      </w:r>
      <w:r>
        <w:rPr>
          <w:rFonts w:hint="eastAsia" w:ascii="仿宋_GB2312" w:hAnsi="宋体" w:eastAsia="仿宋_GB2312"/>
          <w:shd w:val="clear" w:color="auto" w:fill="FFFFFF"/>
        </w:rPr>
        <w:t>投资总额10万元（含）以下的项目由</w:t>
      </w:r>
      <w:r>
        <w:rPr>
          <w:rFonts w:hint="eastAsia" w:ascii="仿宋_GB2312" w:hAnsi="宋体" w:eastAsia="仿宋_GB2312"/>
        </w:rPr>
        <w:t>镇（街道）行业分管领导签署意见</w:t>
      </w:r>
      <w:r>
        <w:rPr>
          <w:rFonts w:hint="eastAsia" w:ascii="仿宋_GB2312" w:eastAsia="仿宋_GB2312"/>
          <w:shd w:val="clear" w:color="auto" w:fill="FFFFFF"/>
        </w:rPr>
        <w:t>，</w:t>
      </w:r>
      <w:r>
        <w:rPr>
          <w:rFonts w:hint="eastAsia" w:ascii="仿宋_GB2312" w:hAnsi="宋体" w:eastAsia="仿宋_GB2312"/>
          <w:shd w:val="clear" w:color="auto" w:fill="FFFFFF"/>
        </w:rPr>
        <w:t>投资总额10万元以上至100万元（不含）以下的项目由</w:t>
      </w:r>
      <w:r>
        <w:rPr>
          <w:rFonts w:hint="eastAsia" w:ascii="仿宋_GB2312" w:hAnsi="宋体" w:eastAsia="仿宋_GB2312"/>
        </w:rPr>
        <w:t>镇长（街道办主任）签署意见</w:t>
      </w:r>
      <w:r>
        <w:rPr>
          <w:rFonts w:hint="eastAsia" w:ascii="仿宋_GB2312" w:eastAsia="仿宋_GB2312"/>
          <w:shd w:val="clear" w:color="auto" w:fill="FFFFFF"/>
        </w:rPr>
        <w:t>。</w:t>
      </w:r>
    </w:p>
    <w:p>
      <w:pPr>
        <w:rPr>
          <w:rFonts w:hint="eastAsia" w:ascii="黑体" w:hAnsi="黑体" w:eastAsia="黑体"/>
          <w:sz w:val="32"/>
          <w:szCs w:val="32"/>
        </w:rPr>
      </w:pPr>
      <w:r>
        <w:br w:type="page"/>
      </w:r>
      <w:r>
        <w:rPr>
          <w:rFonts w:hint="eastAsia" w:ascii="黑体" w:hAnsi="黑体" w:eastAsia="黑体"/>
          <w:sz w:val="32"/>
          <w:szCs w:val="32"/>
        </w:rPr>
        <w:t>附件2</w:t>
      </w:r>
    </w:p>
    <w:p>
      <w:pPr>
        <w:spacing w:before="62" w:beforeLines="20" w:after="156" w:afterLines="50"/>
        <w:jc w:val="center"/>
        <w:rPr>
          <w:rFonts w:hint="eastAsia" w:ascii="方正小标宋简体" w:hAnsi="Calibri" w:eastAsia="方正小标宋简体"/>
          <w:sz w:val="44"/>
          <w:szCs w:val="44"/>
        </w:rPr>
      </w:pPr>
      <w:r>
        <w:rPr>
          <w:rFonts w:hint="eastAsia" w:ascii="方正小标宋简体" w:eastAsia="方正小标宋简体"/>
          <w:sz w:val="44"/>
          <w:szCs w:val="44"/>
        </w:rPr>
        <w:t>云溪区政府性投资项目立项审批核准表</w:t>
      </w:r>
    </w:p>
    <w:p>
      <w:pPr>
        <w:spacing w:after="156" w:afterLines="50"/>
        <w:ind w:firstLine="240" w:firstLineChars="100"/>
        <w:rPr>
          <w:rFonts w:hint="eastAsia" w:ascii="仿宋_GB2312" w:eastAsia="仿宋_GB2312"/>
          <w:sz w:val="24"/>
        </w:rPr>
      </w:pPr>
      <w:r>
        <w:rPr>
          <w:rFonts w:hint="eastAsia" w:ascii="仿宋_GB2312" w:eastAsia="仿宋_GB2312"/>
          <w:sz w:val="24"/>
        </w:rPr>
        <w:t>项目申报单名称（盖章）                     申报日期：     年   月   日</w:t>
      </w:r>
    </w:p>
    <w:tbl>
      <w:tblPr>
        <w:tblStyle w:val="12"/>
        <w:tblW w:w="8902" w:type="dxa"/>
        <w:jc w:val="center"/>
        <w:tblLayout w:type="fixed"/>
        <w:tblCellMar>
          <w:top w:w="0" w:type="dxa"/>
          <w:left w:w="28" w:type="dxa"/>
          <w:bottom w:w="0" w:type="dxa"/>
          <w:right w:w="28" w:type="dxa"/>
        </w:tblCellMar>
      </w:tblPr>
      <w:tblGrid>
        <w:gridCol w:w="504"/>
        <w:gridCol w:w="1560"/>
        <w:gridCol w:w="1238"/>
        <w:gridCol w:w="1451"/>
        <w:gridCol w:w="829"/>
        <w:gridCol w:w="519"/>
        <w:gridCol w:w="36"/>
        <w:gridCol w:w="986"/>
        <w:gridCol w:w="396"/>
        <w:gridCol w:w="1383"/>
      </w:tblGrid>
      <w:tr>
        <w:tblPrEx>
          <w:tblCellMar>
            <w:top w:w="0" w:type="dxa"/>
            <w:left w:w="28" w:type="dxa"/>
            <w:bottom w:w="0" w:type="dxa"/>
            <w:right w:w="28" w:type="dxa"/>
          </w:tblCellMar>
        </w:tblPrEx>
        <w:trPr>
          <w:trHeight w:val="522" w:hRule="atLeast"/>
          <w:jc w:val="center"/>
        </w:trPr>
        <w:tc>
          <w:tcPr>
            <w:tcW w:w="50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项</w:t>
            </w:r>
          </w:p>
          <w:p>
            <w:pPr>
              <w:widowControl/>
              <w:spacing w:line="26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目</w:t>
            </w:r>
          </w:p>
          <w:p>
            <w:pPr>
              <w:widowControl/>
              <w:spacing w:line="26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基</w:t>
            </w:r>
          </w:p>
          <w:p>
            <w:pPr>
              <w:widowControl/>
              <w:spacing w:line="26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本</w:t>
            </w:r>
          </w:p>
          <w:p>
            <w:pPr>
              <w:widowControl/>
              <w:spacing w:line="26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情</w:t>
            </w:r>
          </w:p>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况</w:t>
            </w:r>
          </w:p>
        </w:tc>
        <w:tc>
          <w:tcPr>
            <w:tcW w:w="1560" w:type="dxa"/>
            <w:tcBorders>
              <w:top w:val="single" w:color="auto" w:sz="4" w:space="0"/>
              <w:left w:val="nil"/>
              <w:bottom w:val="single" w:color="auto" w:sz="4" w:space="0"/>
              <w:right w:val="single" w:color="auto" w:sz="4" w:space="0"/>
            </w:tcBorders>
            <w:noWrap w:val="0"/>
            <w:vAlign w:val="center"/>
          </w:tcPr>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项 目 名 称</w:t>
            </w:r>
          </w:p>
        </w:tc>
        <w:tc>
          <w:tcPr>
            <w:tcW w:w="6838" w:type="dxa"/>
            <w:gridSpan w:val="8"/>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ascii="仿宋_GB2312" w:hAnsi="宋体" w:eastAsia="仿宋_GB2312" w:cs="宋体"/>
                <w:kern w:val="0"/>
                <w:sz w:val="24"/>
              </w:rPr>
            </w:pPr>
          </w:p>
        </w:tc>
      </w:tr>
      <w:tr>
        <w:tblPrEx>
          <w:tblCellMar>
            <w:top w:w="0" w:type="dxa"/>
            <w:left w:w="28" w:type="dxa"/>
            <w:bottom w:w="0" w:type="dxa"/>
            <w:right w:w="28" w:type="dxa"/>
          </w:tblCellMar>
        </w:tblPrEx>
        <w:trPr>
          <w:trHeight w:val="52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560" w:type="dxa"/>
            <w:tcBorders>
              <w:top w:val="single" w:color="auto" w:sz="4" w:space="0"/>
              <w:left w:val="nil"/>
              <w:bottom w:val="single" w:color="auto" w:sz="4" w:space="0"/>
              <w:right w:val="single" w:color="auto" w:sz="4" w:space="0"/>
            </w:tcBorders>
            <w:noWrap/>
            <w:vAlign w:val="center"/>
          </w:tcPr>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项目建设地址</w:t>
            </w:r>
          </w:p>
        </w:tc>
        <w:tc>
          <w:tcPr>
            <w:tcW w:w="3518" w:type="dxa"/>
            <w:gridSpan w:val="3"/>
            <w:tcBorders>
              <w:top w:val="single" w:color="auto" w:sz="4" w:space="0"/>
              <w:left w:val="nil"/>
              <w:bottom w:val="single" w:color="auto" w:sz="4" w:space="0"/>
              <w:right w:val="nil"/>
            </w:tcBorders>
            <w:noWrap/>
            <w:vAlign w:val="center"/>
          </w:tcPr>
          <w:p>
            <w:pPr>
              <w:widowControl/>
              <w:spacing w:line="260" w:lineRule="exact"/>
              <w:jc w:val="center"/>
              <w:rPr>
                <w:rFonts w:ascii="仿宋_GB2312" w:hAnsi="宋体" w:eastAsia="仿宋_GB2312" w:cs="宋体"/>
                <w:kern w:val="0"/>
                <w:sz w:val="24"/>
              </w:rPr>
            </w:pPr>
          </w:p>
        </w:tc>
        <w:tc>
          <w:tcPr>
            <w:tcW w:w="1541"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建设用地情况</w:t>
            </w:r>
          </w:p>
        </w:tc>
        <w:tc>
          <w:tcPr>
            <w:tcW w:w="1779" w:type="dxa"/>
            <w:gridSpan w:val="2"/>
            <w:tcBorders>
              <w:top w:val="single" w:color="auto" w:sz="4" w:space="0"/>
              <w:left w:val="nil"/>
              <w:bottom w:val="single" w:color="auto" w:sz="4" w:space="0"/>
              <w:right w:val="single" w:color="auto" w:sz="4" w:space="0"/>
            </w:tcBorders>
            <w:noWrap/>
            <w:vAlign w:val="center"/>
          </w:tcPr>
          <w:p>
            <w:pPr>
              <w:widowControl/>
              <w:spacing w:line="260" w:lineRule="exact"/>
              <w:jc w:val="center"/>
              <w:rPr>
                <w:rFonts w:ascii="仿宋_GB2312" w:hAnsi="宋体" w:eastAsia="仿宋_GB2312" w:cs="宋体"/>
                <w:kern w:val="0"/>
                <w:sz w:val="24"/>
              </w:rPr>
            </w:pPr>
          </w:p>
        </w:tc>
      </w:tr>
      <w:tr>
        <w:tblPrEx>
          <w:tblCellMar>
            <w:top w:w="0" w:type="dxa"/>
            <w:left w:w="28" w:type="dxa"/>
            <w:bottom w:w="0" w:type="dxa"/>
            <w:right w:w="28" w:type="dxa"/>
          </w:tblCellMar>
        </w:tblPrEx>
        <w:trPr>
          <w:trHeight w:val="1103"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560" w:type="dxa"/>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项目主要</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建设内容</w:t>
            </w:r>
          </w:p>
        </w:tc>
        <w:tc>
          <w:tcPr>
            <w:tcW w:w="6838" w:type="dxa"/>
            <w:gridSpan w:val="8"/>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r>
      <w:tr>
        <w:tblPrEx>
          <w:tblCellMar>
            <w:top w:w="0" w:type="dxa"/>
            <w:left w:w="28" w:type="dxa"/>
            <w:bottom w:w="0" w:type="dxa"/>
            <w:right w:w="28" w:type="dxa"/>
          </w:tblCellMar>
        </w:tblPrEx>
        <w:trPr>
          <w:trHeight w:val="33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560" w:type="dxa"/>
            <w:vMerge w:val="restar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总投资额</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2689" w:type="dxa"/>
            <w:gridSpan w:val="2"/>
            <w:vMerge w:val="restart"/>
            <w:tcBorders>
              <w:top w:val="single" w:color="auto" w:sz="4" w:space="0"/>
              <w:left w:val="nil"/>
              <w:bottom w:val="single" w:color="auto" w:sz="4" w:space="0"/>
              <w:right w:val="nil"/>
            </w:tcBorders>
            <w:noWrap/>
            <w:vAlign w:val="center"/>
          </w:tcPr>
          <w:p>
            <w:pPr>
              <w:widowControl/>
              <w:jc w:val="center"/>
              <w:rPr>
                <w:rFonts w:ascii="仿宋_GB2312" w:hAnsi="宋体" w:eastAsia="仿宋_GB2312" w:cs="宋体"/>
                <w:kern w:val="0"/>
                <w:sz w:val="24"/>
              </w:rPr>
            </w:pPr>
          </w:p>
        </w:tc>
        <w:tc>
          <w:tcPr>
            <w:tcW w:w="4149"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资金来源（万元）</w:t>
            </w:r>
          </w:p>
        </w:tc>
      </w:tr>
      <w:tr>
        <w:tblPrEx>
          <w:tblCellMar>
            <w:top w:w="0" w:type="dxa"/>
            <w:left w:w="28" w:type="dxa"/>
            <w:bottom w:w="0" w:type="dxa"/>
            <w:right w:w="28" w:type="dxa"/>
          </w:tblCellMar>
        </w:tblPrEx>
        <w:trPr>
          <w:trHeight w:val="387"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0" w:type="auto"/>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384"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上级专项</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政府配套</w:t>
            </w:r>
          </w:p>
        </w:tc>
        <w:tc>
          <w:tcPr>
            <w:tcW w:w="13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单位自筹</w:t>
            </w:r>
          </w:p>
        </w:tc>
      </w:tr>
      <w:tr>
        <w:tblPrEx>
          <w:tblCellMar>
            <w:top w:w="0" w:type="dxa"/>
            <w:left w:w="28" w:type="dxa"/>
            <w:bottom w:w="0" w:type="dxa"/>
            <w:right w:w="28" w:type="dxa"/>
          </w:tblCellMar>
        </w:tblPrEx>
        <w:trPr>
          <w:trHeight w:val="40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0" w:type="auto"/>
            <w:gridSpan w:val="2"/>
            <w:vMerge w:val="continue"/>
            <w:tcBorders>
              <w:top w:val="single" w:color="auto" w:sz="4" w:space="0"/>
              <w:left w:val="nil"/>
              <w:bottom w:val="single" w:color="auto" w:sz="4" w:space="0"/>
              <w:right w:val="nil"/>
            </w:tcBorders>
            <w:noWrap w:val="0"/>
            <w:vAlign w:val="center"/>
          </w:tcPr>
          <w:p>
            <w:pPr>
              <w:widowControl/>
              <w:jc w:val="left"/>
              <w:rPr>
                <w:rFonts w:ascii="仿宋_GB2312" w:hAnsi="宋体" w:eastAsia="仿宋_GB2312" w:cs="宋体"/>
                <w:kern w:val="0"/>
                <w:sz w:val="24"/>
              </w:rPr>
            </w:pPr>
          </w:p>
        </w:tc>
        <w:tc>
          <w:tcPr>
            <w:tcW w:w="1384"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c>
          <w:tcPr>
            <w:tcW w:w="1382" w:type="dxa"/>
            <w:gridSpan w:val="2"/>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c>
          <w:tcPr>
            <w:tcW w:w="1383" w:type="dxa"/>
            <w:tcBorders>
              <w:top w:val="single" w:color="auto" w:sz="4" w:space="0"/>
              <w:left w:val="nil"/>
              <w:bottom w:val="single" w:color="auto" w:sz="4" w:space="0"/>
              <w:right w:val="single" w:color="auto" w:sz="4" w:space="0"/>
            </w:tcBorders>
            <w:noWrap/>
            <w:vAlign w:val="center"/>
          </w:tcPr>
          <w:p>
            <w:pPr>
              <w:widowControl/>
              <w:jc w:val="left"/>
              <w:rPr>
                <w:rFonts w:ascii="仿宋_GB2312" w:hAnsi="宋体" w:eastAsia="仿宋_GB2312" w:cs="宋体"/>
                <w:kern w:val="0"/>
                <w:sz w:val="24"/>
              </w:rPr>
            </w:pPr>
          </w:p>
        </w:tc>
      </w:tr>
      <w:tr>
        <w:tblPrEx>
          <w:tblCellMar>
            <w:top w:w="0" w:type="dxa"/>
            <w:left w:w="28" w:type="dxa"/>
            <w:bottom w:w="0" w:type="dxa"/>
            <w:right w:w="28" w:type="dxa"/>
          </w:tblCellMar>
        </w:tblPrEx>
        <w:trPr>
          <w:trHeight w:val="1038"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560" w:type="dxa"/>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项目建设</w:t>
            </w:r>
          </w:p>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必要性及</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效益分析</w:t>
            </w:r>
          </w:p>
        </w:tc>
        <w:tc>
          <w:tcPr>
            <w:tcW w:w="6838" w:type="dxa"/>
            <w:gridSpan w:val="8"/>
            <w:tcBorders>
              <w:top w:val="single" w:color="auto" w:sz="4" w:space="0"/>
              <w:left w:val="nil"/>
              <w:bottom w:val="single" w:color="auto" w:sz="4" w:space="0"/>
              <w:right w:val="single" w:color="000000" w:sz="4" w:space="0"/>
            </w:tcBorders>
            <w:noWrap/>
            <w:vAlign w:val="center"/>
          </w:tcPr>
          <w:p>
            <w:pPr>
              <w:widowControl/>
              <w:rPr>
                <w:rFonts w:ascii="仿宋_GB2312" w:hAnsi="宋体" w:eastAsia="仿宋_GB2312" w:cs="宋体"/>
                <w:kern w:val="0"/>
                <w:sz w:val="24"/>
              </w:rPr>
            </w:pPr>
          </w:p>
          <w:p>
            <w:pPr>
              <w:widowControl/>
              <w:rPr>
                <w:rFonts w:hint="eastAsia" w:ascii="仿宋_GB2312" w:hAnsi="宋体" w:eastAsia="仿宋_GB2312" w:cs="宋体"/>
                <w:kern w:val="0"/>
                <w:sz w:val="24"/>
              </w:rPr>
            </w:pPr>
          </w:p>
          <w:p>
            <w:pPr>
              <w:widowControl/>
              <w:rPr>
                <w:rFonts w:hint="eastAsia" w:ascii="仿宋_GB2312" w:hAnsi="宋体" w:eastAsia="仿宋_GB2312" w:cs="宋体"/>
                <w:kern w:val="0"/>
                <w:sz w:val="24"/>
              </w:rPr>
            </w:pPr>
          </w:p>
          <w:p>
            <w:pPr>
              <w:widowControl/>
              <w:rPr>
                <w:rFonts w:hint="eastAsia" w:ascii="仿宋_GB2312" w:hAnsi="宋体" w:eastAsia="仿宋_GB2312" w:cs="宋体"/>
                <w:kern w:val="0"/>
                <w:sz w:val="24"/>
              </w:rPr>
            </w:pPr>
          </w:p>
          <w:p>
            <w:pPr>
              <w:widowControl/>
              <w:rPr>
                <w:rFonts w:hint="eastAsia" w:ascii="仿宋_GB2312" w:hAnsi="宋体" w:eastAsia="仿宋_GB2312" w:cs="宋体"/>
                <w:kern w:val="0"/>
                <w:sz w:val="24"/>
              </w:rPr>
            </w:pPr>
          </w:p>
        </w:tc>
      </w:tr>
      <w:tr>
        <w:tblPrEx>
          <w:tblCellMar>
            <w:top w:w="0" w:type="dxa"/>
            <w:left w:w="28" w:type="dxa"/>
            <w:bottom w:w="0" w:type="dxa"/>
            <w:right w:w="28" w:type="dxa"/>
          </w:tblCellMar>
        </w:tblPrEx>
        <w:trPr>
          <w:trHeight w:val="736" w:hRule="atLeast"/>
          <w:jc w:val="center"/>
        </w:trPr>
        <w:tc>
          <w:tcPr>
            <w:tcW w:w="8902" w:type="dxa"/>
            <w:gridSpan w:val="10"/>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ind w:firstLine="360" w:firstLineChars="150"/>
              <w:jc w:val="left"/>
              <w:rPr>
                <w:rFonts w:ascii="仿宋_GB2312" w:hAnsi="宋体" w:eastAsia="仿宋_GB2312" w:cs="宋体"/>
                <w:kern w:val="0"/>
                <w:sz w:val="24"/>
              </w:rPr>
            </w:pPr>
            <w:r>
              <w:rPr>
                <w:rFonts w:hint="eastAsia" w:ascii="仿宋_GB2312" w:hAnsi="宋体" w:eastAsia="仿宋_GB2312" w:cs="宋体"/>
                <w:kern w:val="0"/>
                <w:sz w:val="24"/>
              </w:rPr>
              <w:t>申  报  意  见</w:t>
            </w:r>
          </w:p>
          <w:p>
            <w:pPr>
              <w:widowControl/>
              <w:spacing w:line="260" w:lineRule="exact"/>
              <w:jc w:val="left"/>
              <w:rPr>
                <w:rFonts w:ascii="仿宋_GB2312" w:hAnsi="宋体" w:eastAsia="仿宋_GB2312" w:cs="宋体"/>
                <w:kern w:val="0"/>
                <w:sz w:val="24"/>
              </w:rPr>
            </w:pPr>
            <w:r>
              <w:rPr>
                <w:rFonts w:hint="eastAsia" w:ascii="仿宋_GB2312" w:hAnsi="宋体" w:eastAsia="仿宋_GB2312" w:cs="宋体"/>
                <w:kern w:val="0"/>
                <w:sz w:val="24"/>
              </w:rPr>
              <w:t>（项目单位主要负责人）</w:t>
            </w:r>
          </w:p>
        </w:tc>
      </w:tr>
      <w:tr>
        <w:tblPrEx>
          <w:tblCellMar>
            <w:top w:w="0" w:type="dxa"/>
            <w:left w:w="28" w:type="dxa"/>
            <w:bottom w:w="0" w:type="dxa"/>
            <w:right w:w="28" w:type="dxa"/>
          </w:tblCellMar>
        </w:tblPrEx>
        <w:trPr>
          <w:trHeight w:val="550" w:hRule="atLeast"/>
          <w:jc w:val="center"/>
        </w:trPr>
        <w:tc>
          <w:tcPr>
            <w:tcW w:w="50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审</w:t>
            </w:r>
          </w:p>
          <w:p>
            <w:pPr>
              <w:widowControl/>
              <w:jc w:val="center"/>
              <w:rPr>
                <w:rFonts w:hint="eastAsia" w:ascii="仿宋_GB2312" w:hAnsi="宋体" w:eastAsia="仿宋_GB2312" w:cs="宋体"/>
                <w:kern w:val="0"/>
                <w:sz w:val="24"/>
              </w:rPr>
            </w:pPr>
          </w:p>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批</w:t>
            </w:r>
          </w:p>
          <w:p>
            <w:pPr>
              <w:widowControl/>
              <w:jc w:val="center"/>
              <w:rPr>
                <w:rFonts w:hint="eastAsia" w:ascii="仿宋_GB2312" w:hAnsi="宋体" w:eastAsia="仿宋_GB2312" w:cs="宋体"/>
                <w:kern w:val="0"/>
                <w:sz w:val="24"/>
              </w:rPr>
            </w:pPr>
          </w:p>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意</w:t>
            </w:r>
          </w:p>
          <w:p>
            <w:pPr>
              <w:widowControl/>
              <w:jc w:val="center"/>
              <w:rPr>
                <w:rFonts w:hint="eastAsia" w:ascii="仿宋_GB2312" w:hAnsi="宋体" w:eastAsia="仿宋_GB2312" w:cs="宋体"/>
                <w:kern w:val="0"/>
                <w:sz w:val="24"/>
              </w:rPr>
            </w:pP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见</w:t>
            </w:r>
          </w:p>
        </w:tc>
        <w:tc>
          <w:tcPr>
            <w:tcW w:w="2798" w:type="dxa"/>
            <w:gridSpan w:val="2"/>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财政局初审</w:t>
            </w:r>
          </w:p>
        </w:tc>
        <w:tc>
          <w:tcPr>
            <w:tcW w:w="2799" w:type="dxa"/>
            <w:gridSpan w:val="3"/>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自然资源局初审</w:t>
            </w:r>
          </w:p>
        </w:tc>
        <w:tc>
          <w:tcPr>
            <w:tcW w:w="2801" w:type="dxa"/>
            <w:gridSpan w:val="4"/>
            <w:tcBorders>
              <w:top w:val="single" w:color="auto" w:sz="4" w:space="0"/>
              <w:left w:val="nil"/>
              <w:bottom w:val="single" w:color="auto" w:sz="4" w:space="0"/>
              <w:right w:val="single" w:color="000000"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发改局初审</w:t>
            </w:r>
          </w:p>
        </w:tc>
      </w:tr>
      <w:tr>
        <w:tblPrEx>
          <w:tblCellMar>
            <w:top w:w="0" w:type="dxa"/>
            <w:left w:w="28" w:type="dxa"/>
            <w:bottom w:w="0" w:type="dxa"/>
            <w:right w:w="28" w:type="dxa"/>
          </w:tblCellMar>
        </w:tblPrEx>
        <w:trPr>
          <w:trHeight w:val="104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2798" w:type="dxa"/>
            <w:gridSpan w:val="2"/>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c>
          <w:tcPr>
            <w:tcW w:w="2799" w:type="dxa"/>
            <w:gridSpan w:val="3"/>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c>
          <w:tcPr>
            <w:tcW w:w="2801" w:type="dxa"/>
            <w:gridSpan w:val="4"/>
            <w:tcBorders>
              <w:top w:val="single" w:color="auto" w:sz="4" w:space="0"/>
              <w:left w:val="nil"/>
              <w:bottom w:val="single" w:color="auto" w:sz="4" w:space="0"/>
              <w:right w:val="single" w:color="000000" w:sz="4" w:space="0"/>
            </w:tcBorders>
            <w:noWrap/>
            <w:vAlign w:val="center"/>
          </w:tcPr>
          <w:p>
            <w:pPr>
              <w:widowControl/>
              <w:jc w:val="center"/>
              <w:rPr>
                <w:rFonts w:ascii="仿宋_GB2312" w:hAnsi="宋体" w:eastAsia="仿宋_GB2312" w:cs="宋体"/>
                <w:kern w:val="0"/>
                <w:sz w:val="24"/>
              </w:rPr>
            </w:pPr>
          </w:p>
        </w:tc>
      </w:tr>
      <w:tr>
        <w:tblPrEx>
          <w:tblCellMar>
            <w:top w:w="0" w:type="dxa"/>
            <w:left w:w="28" w:type="dxa"/>
            <w:bottom w:w="0" w:type="dxa"/>
            <w:right w:w="28" w:type="dxa"/>
          </w:tblCellMar>
        </w:tblPrEx>
        <w:trPr>
          <w:trHeight w:val="11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8398" w:type="dxa"/>
            <w:gridSpan w:val="9"/>
            <w:tcBorders>
              <w:top w:val="single" w:color="auto" w:sz="4" w:space="0"/>
              <w:left w:val="nil"/>
              <w:bottom w:val="single" w:color="auto" w:sz="4" w:space="0"/>
              <w:right w:val="single" w:color="000000" w:sz="4" w:space="0"/>
            </w:tcBorders>
            <w:noWrap/>
            <w:vAlign w:val="top"/>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分管副区长：</w:t>
            </w:r>
          </w:p>
        </w:tc>
      </w:tr>
      <w:tr>
        <w:tblPrEx>
          <w:tblCellMar>
            <w:top w:w="0" w:type="dxa"/>
            <w:left w:w="28" w:type="dxa"/>
            <w:bottom w:w="0" w:type="dxa"/>
            <w:right w:w="28" w:type="dxa"/>
          </w:tblCellMar>
        </w:tblPrEx>
        <w:trPr>
          <w:trHeight w:val="1058"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8398" w:type="dxa"/>
            <w:gridSpan w:val="9"/>
            <w:tcBorders>
              <w:top w:val="single" w:color="auto" w:sz="4" w:space="0"/>
              <w:left w:val="nil"/>
              <w:bottom w:val="single" w:color="auto" w:sz="4" w:space="0"/>
              <w:right w:val="single" w:color="000000" w:sz="4" w:space="0"/>
            </w:tcBorders>
            <w:noWrap/>
            <w:vAlign w:val="top"/>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常务副区长：</w:t>
            </w:r>
          </w:p>
        </w:tc>
      </w:tr>
    </w:tbl>
    <w:p>
      <w:pPr>
        <w:spacing w:line="300" w:lineRule="exact"/>
        <w:ind w:firstLine="420" w:firstLineChars="200"/>
        <w:rPr>
          <w:rFonts w:hint="eastAsia" w:ascii="仿宋_GB2312" w:eastAsia="仿宋_GB2312"/>
          <w:sz w:val="32"/>
          <w:szCs w:val="32"/>
        </w:rPr>
      </w:pPr>
      <w:r>
        <w:rPr>
          <w:rFonts w:hint="eastAsia" w:ascii="黑体" w:hAnsi="黑体" w:eastAsia="黑体"/>
        </w:rPr>
        <w:t>注：</w:t>
      </w:r>
      <w:r>
        <w:rPr>
          <w:rFonts w:hint="eastAsia" w:ascii="仿宋_GB2312" w:hAnsi="黑体" w:eastAsia="仿宋_GB2312"/>
        </w:rPr>
        <w:t>1.</w:t>
      </w:r>
      <w:r>
        <w:rPr>
          <w:rFonts w:hint="eastAsia" w:ascii="仿宋_GB2312" w:eastAsia="仿宋_GB2312"/>
        </w:rPr>
        <w:t>投资额100万元（含）以上至400万元（不含）以下的由分管副区长签署立项意见；投资额400万元（含）以上至1000万元（不含）以下的由常务副区长签署立项意见；投资额1000万元（含）以上的，须经区人民政府常务会议或专题会议研究审议。所属国有企业经营性项目投资额60万元（含）以上至400万元（不含）以下的，报常务副区长签署立项意见，投资额400万元（含）以上的，须经区人民政府常务会议或专题会议研究审议。</w:t>
      </w:r>
      <w:r>
        <w:rPr>
          <w:rFonts w:hint="eastAsia" w:ascii="仿宋_GB2312" w:eastAsia="仿宋_GB2312"/>
          <w:bCs/>
        </w:rPr>
        <w:t>2.</w:t>
      </w:r>
      <w:r>
        <w:rPr>
          <w:rFonts w:hint="eastAsia" w:ascii="仿宋_GB2312" w:eastAsia="仿宋_GB2312"/>
        </w:rPr>
        <w:t>村级项目投资额100万元（含）以上的填报本表，参照政府性投资项目实行审批立项制。</w:t>
      </w: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8844" w:type="dxa"/>
            <w:noWrap w:val="0"/>
            <w:vAlign w:val="top"/>
          </w:tcPr>
          <w:p>
            <w:pPr>
              <w:pStyle w:val="17"/>
              <w:ind w:firstLine="0" w:firstLineChars="0"/>
              <w:rPr>
                <w:rFonts w:hint="eastAsia" w:ascii="仿宋_GB2312" w:eastAsia="仿宋_GB2312"/>
                <w:sz w:val="28"/>
                <w:szCs w:val="28"/>
              </w:rPr>
            </w:pPr>
            <w:r>
              <w:rPr>
                <w:rFonts w:hint="eastAsia" w:ascii="仿宋_GB2312" w:eastAsia="仿宋_GB2312"/>
                <w:sz w:val="28"/>
                <w:szCs w:val="28"/>
              </w:rPr>
              <w:t xml:space="preserve">  岳阳市云溪区人民政府办公室              2024年6月5日印发</w:t>
            </w:r>
          </w:p>
        </w:tc>
      </w:tr>
    </w:tbl>
    <w:p>
      <w:pPr>
        <w:rPr>
          <w:rFonts w:hint="eastAsia" w:ascii="黑体" w:hAnsi="黑体" w:eastAsia="黑体"/>
          <w:sz w:val="32"/>
          <w:szCs w:val="32"/>
        </w:rPr>
      </w:pPr>
    </w:p>
    <w:sectPr>
      <w:footerReference r:id="rId9" w:type="default"/>
      <w:pgSz w:w="11906" w:h="16838"/>
      <w:pgMar w:top="1440" w:right="1474" w:bottom="1440"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8BBC168-96C4-4975-8A5E-088CF9DE7012}"/>
  </w:font>
  <w:font w:name="黑体">
    <w:panose1 w:val="02010609060101010101"/>
    <w:charset w:val="86"/>
    <w:family w:val="auto"/>
    <w:pitch w:val="default"/>
    <w:sig w:usb0="800002BF" w:usb1="38CF7CFA" w:usb2="00000016" w:usb3="00000000" w:csb0="00040001" w:csb1="00000000"/>
    <w:embedRegular r:id="rId2" w:fontKey="{605616A7-416D-4213-A011-48279812EB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19CB4CD-3632-41D8-8BEF-C6E656DCD5A7}"/>
  </w:font>
  <w:font w:name="方正小标宋简体">
    <w:panose1 w:val="02000000000000000000"/>
    <w:charset w:val="86"/>
    <w:family w:val="auto"/>
    <w:pitch w:val="default"/>
    <w:sig w:usb0="A00002BF" w:usb1="184F6CFA" w:usb2="00000012" w:usb3="00000000" w:csb0="00040001" w:csb1="00000000"/>
    <w:embedRegular r:id="rId4" w:fontKey="{F3A4294A-F169-425B-94FD-E8F886A85093}"/>
  </w:font>
  <w:font w:name="微软雅黑">
    <w:panose1 w:val="020B0503020204020204"/>
    <w:charset w:val="86"/>
    <w:family w:val="auto"/>
    <w:pitch w:val="default"/>
    <w:sig w:usb0="80000287" w:usb1="2ACF3C50" w:usb2="00000016" w:usb3="00000000" w:csb0="0004001F" w:csb1="00000000"/>
    <w:embedRegular r:id="rId5" w:fontKey="{5DB4606A-5DD4-4805-9014-D17A69DC67F8}"/>
  </w:font>
  <w:font w:name="仿宋">
    <w:panose1 w:val="02010609060101010101"/>
    <w:charset w:val="86"/>
    <w:family w:val="auto"/>
    <w:pitch w:val="default"/>
    <w:sig w:usb0="800002BF" w:usb1="38CF7CFA" w:usb2="00000016" w:usb3="00000000" w:csb0="00040001" w:csb1="00000000"/>
    <w:embedRegular r:id="rId6" w:fontKey="{3D981C56-6C8D-47FB-8F37-A8E32A767AC8}"/>
  </w:font>
  <w:font w:name="仿宋_GB2312">
    <w:panose1 w:val="02010609030101010101"/>
    <w:charset w:val="86"/>
    <w:family w:val="modern"/>
    <w:pitch w:val="default"/>
    <w:sig w:usb0="00000001" w:usb1="080E0000" w:usb2="00000000" w:usb3="00000000" w:csb0="00040000" w:csb1="00000000"/>
    <w:embedRegular r:id="rId7" w:fontKey="{D6BEF618-75D8-4DF8-A01F-CA046F7C1ACE}"/>
  </w:font>
  <w:font w:name="方正仿宋_GB2312">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CESI仿宋-GB2312">
    <w:altName w:val="微软雅黑"/>
    <w:panose1 w:val="02000500000000000000"/>
    <w:charset w:val="86"/>
    <w:family w:val="auto"/>
    <w:pitch w:val="default"/>
    <w:sig w:usb0="00000000" w:usb1="00000000" w:usb2="00000010" w:usb3="00000000" w:csb0="0004000F" w:csb1="00000000"/>
  </w:font>
  <w:font w:name="方正黑体_GBK">
    <w:panose1 w:val="02000000000000000000"/>
    <w:charset w:val="86"/>
    <w:family w:val="auto"/>
    <w:pitch w:val="default"/>
    <w:sig w:usb0="A00002BF" w:usb1="38CF7CFA" w:usb2="00082016" w:usb3="00000000" w:csb0="00040001" w:csb1="00000000"/>
  </w:font>
  <w:font w:name="CESI楷体-GB2312">
    <w:altName w:val="宋体"/>
    <w:panose1 w:val="02000500000000000000"/>
    <w:charset w:val="86"/>
    <w:family w:val="auto"/>
    <w:pitch w:val="default"/>
    <w:sig w:usb0="00000000" w:usb1="00000000" w:usb2="00000012"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仿宋" w:hAnsi="仿宋" w:eastAsia="仿宋" w:cs="仿宋"/>
        <w:sz w:val="32"/>
        <w:szCs w:val="48"/>
      </w:rPr>
      <w:t xml:space="preserve">— </w:t>
    </w:r>
    <w:r>
      <w:rPr>
        <w:rFonts w:hint="eastAsia" w:ascii="仿宋" w:hAnsi="仿宋" w:eastAsia="仿宋" w:cs="仿宋"/>
        <w:sz w:val="32"/>
        <w:szCs w:val="48"/>
      </w:rPr>
      <w:fldChar w:fldCharType="begin"/>
    </w:r>
    <w:r>
      <w:rPr>
        <w:rFonts w:hint="eastAsia" w:ascii="仿宋" w:hAnsi="仿宋" w:eastAsia="仿宋" w:cs="仿宋"/>
        <w:sz w:val="32"/>
        <w:szCs w:val="48"/>
      </w:rPr>
      <w:instrText xml:space="preserve"> PAGE  \* MERGEFORMAT </w:instrText>
    </w:r>
    <w:r>
      <w:rPr>
        <w:rFonts w:hint="eastAsia" w:ascii="仿宋" w:hAnsi="仿宋" w:eastAsia="仿宋" w:cs="仿宋"/>
        <w:sz w:val="32"/>
        <w:szCs w:val="48"/>
      </w:rPr>
      <w:fldChar w:fldCharType="separate"/>
    </w:r>
    <w:r>
      <w:rPr>
        <w:rFonts w:hint="eastAsia" w:ascii="仿宋" w:hAnsi="仿宋" w:eastAsia="仿宋" w:cs="仿宋"/>
        <w:sz w:val="32"/>
        <w:szCs w:val="48"/>
      </w:rPr>
      <w:t>1</w:t>
    </w:r>
    <w:r>
      <w:rPr>
        <w:rFonts w:hint="eastAsia" w:ascii="仿宋" w:hAnsi="仿宋" w:eastAsia="仿宋" w:cs="仿宋"/>
        <w:sz w:val="32"/>
        <w:szCs w:val="48"/>
      </w:rPr>
      <w:fldChar w:fldCharType="end"/>
    </w:r>
    <w:r>
      <w:rPr>
        <w:rFonts w:hint="eastAsia" w:ascii="仿宋" w:hAnsi="仿宋" w:eastAsia="仿宋" w:cs="仿宋"/>
        <w:sz w:val="32"/>
        <w:szCs w:val="4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hint="eastAsia" w:ascii="宋体" w:hAnsi="宋体" w:eastAsia="宋体" w:cs="Times New Roman"/>
        <w:kern w:val="2"/>
        <w:sz w:val="28"/>
        <w:szCs w:val="28"/>
        <w:lang w:val="en-US" w:eastAsia="zh-CN" w:bidi="ar-SA"/>
      </w:rPr>
    </w:pPr>
    <w:r>
      <w:rPr>
        <w:rStyle w:val="16"/>
        <w:rFonts w:hint="eastAsia" w:ascii="宋体" w:hAnsi="宋体" w:eastAsia="宋体" w:cs="Times New Roman"/>
        <w:kern w:val="2"/>
        <w:sz w:val="28"/>
        <w:szCs w:val="28"/>
        <w:lang w:val="en-US" w:eastAsia="zh-CN" w:bidi="ar-SA"/>
      </w:rPr>
      <w:t xml:space="preserve">— </w:t>
    </w:r>
    <w:r>
      <w:rPr>
        <w:rStyle w:val="16"/>
        <w:rFonts w:ascii="宋体" w:hAnsi="宋体" w:eastAsia="宋体" w:cs="Times New Roman"/>
        <w:kern w:val="2"/>
        <w:sz w:val="28"/>
        <w:szCs w:val="28"/>
        <w:lang w:val="en-US" w:eastAsia="zh-CN" w:bidi="ar-SA"/>
      </w:rPr>
      <w:fldChar w:fldCharType="begin"/>
    </w:r>
    <w:r>
      <w:rPr>
        <w:rStyle w:val="16"/>
        <w:rFonts w:ascii="宋体" w:hAnsi="宋体" w:eastAsia="宋体" w:cs="Times New Roman"/>
        <w:kern w:val="2"/>
        <w:sz w:val="28"/>
        <w:szCs w:val="28"/>
        <w:lang w:val="en-US" w:eastAsia="zh-CN" w:bidi="ar-SA"/>
      </w:rPr>
      <w:instrText xml:space="preserve">PAGE  </w:instrText>
    </w:r>
    <w:r>
      <w:rPr>
        <w:rStyle w:val="16"/>
        <w:rFonts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2</w:t>
    </w:r>
    <w:r>
      <w:rPr>
        <w:rStyle w:val="16"/>
        <w:rFonts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 xml:space="preserve"> —</w:t>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ascii="Times New Roman" w:hAnsi="Times New Roman" w:eastAsia="宋体" w:cs="Times New Roman"/>
        <w:kern w:val="2"/>
        <w:sz w:val="18"/>
        <w:szCs w:val="18"/>
        <w:lang w:val="en-US" w:eastAsia="zh-CN" w:bidi="ar-SA"/>
      </w:rPr>
    </w:pPr>
    <w:r>
      <w:rPr>
        <w:rStyle w:val="16"/>
        <w:rFonts w:ascii="Times New Roman" w:hAnsi="Times New Roman" w:eastAsia="宋体" w:cs="Times New Roman"/>
        <w:kern w:val="2"/>
        <w:sz w:val="21"/>
        <w:szCs w:val="24"/>
        <w:lang w:val="en-US" w:eastAsia="zh-CN" w:bidi="ar-SA"/>
      </w:rPr>
      <w:fldChar w:fldCharType="begin"/>
    </w:r>
    <w:r>
      <w:rPr>
        <w:rStyle w:val="16"/>
        <w:rFonts w:ascii="Times New Roman" w:hAnsi="Times New Roman" w:eastAsia="宋体" w:cs="Times New Roman"/>
        <w:kern w:val="2"/>
        <w:sz w:val="21"/>
        <w:szCs w:val="24"/>
        <w:lang w:val="en-US" w:eastAsia="zh-CN" w:bidi="ar-SA"/>
      </w:rPr>
      <w:instrText xml:space="preserve">PAGE  </w:instrText>
    </w:r>
    <w:r>
      <w:rPr>
        <w:rStyle w:val="16"/>
        <w:rFonts w:ascii="Times New Roman" w:hAnsi="Times New Roman" w:eastAsia="宋体" w:cs="Times New Roman"/>
        <w:kern w:val="2"/>
        <w:sz w:val="21"/>
        <w:szCs w:val="24"/>
        <w:lang w:val="en-US" w:eastAsia="zh-CN" w:bidi="ar-SA"/>
      </w:rPr>
      <w:fldChar w:fldCharType="end"/>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16</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4</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1OGNmNGRiZDQzYjdmYTQwYTJjYWY2ZGY5YTU3YmEifQ=="/>
  </w:docVars>
  <w:rsids>
    <w:rsidRoot w:val="14865DBD"/>
    <w:rsid w:val="007E2F28"/>
    <w:rsid w:val="04127E4F"/>
    <w:rsid w:val="04732647"/>
    <w:rsid w:val="04926F71"/>
    <w:rsid w:val="050819D3"/>
    <w:rsid w:val="054312B2"/>
    <w:rsid w:val="06A116ED"/>
    <w:rsid w:val="06B807E5"/>
    <w:rsid w:val="086A1FB2"/>
    <w:rsid w:val="09B320EB"/>
    <w:rsid w:val="0A071EF2"/>
    <w:rsid w:val="0A2608CA"/>
    <w:rsid w:val="0AC05EBA"/>
    <w:rsid w:val="0D4E104E"/>
    <w:rsid w:val="11335637"/>
    <w:rsid w:val="12866648"/>
    <w:rsid w:val="14865DBD"/>
    <w:rsid w:val="17EC4792"/>
    <w:rsid w:val="1CD557F5"/>
    <w:rsid w:val="1E080D46"/>
    <w:rsid w:val="1EE15A93"/>
    <w:rsid w:val="22F31F3C"/>
    <w:rsid w:val="267A619D"/>
    <w:rsid w:val="27532138"/>
    <w:rsid w:val="2D745D8E"/>
    <w:rsid w:val="32D361EE"/>
    <w:rsid w:val="37476752"/>
    <w:rsid w:val="3D04002F"/>
    <w:rsid w:val="3D202664"/>
    <w:rsid w:val="3DE8401A"/>
    <w:rsid w:val="43725E62"/>
    <w:rsid w:val="45083E43"/>
    <w:rsid w:val="47E26E94"/>
    <w:rsid w:val="48AC74A2"/>
    <w:rsid w:val="4A407EA2"/>
    <w:rsid w:val="4A52005A"/>
    <w:rsid w:val="507E7AD2"/>
    <w:rsid w:val="50C76017"/>
    <w:rsid w:val="5119769F"/>
    <w:rsid w:val="54436F0C"/>
    <w:rsid w:val="55A95748"/>
    <w:rsid w:val="561623FF"/>
    <w:rsid w:val="5693295F"/>
    <w:rsid w:val="593E7CA2"/>
    <w:rsid w:val="596A6B55"/>
    <w:rsid w:val="5D3E547C"/>
    <w:rsid w:val="5E9071F2"/>
    <w:rsid w:val="5FDA715B"/>
    <w:rsid w:val="61EF4230"/>
    <w:rsid w:val="63583214"/>
    <w:rsid w:val="65984BDE"/>
    <w:rsid w:val="663D1994"/>
    <w:rsid w:val="667F3E1E"/>
    <w:rsid w:val="67B04461"/>
    <w:rsid w:val="6A812736"/>
    <w:rsid w:val="6BBD0EFB"/>
    <w:rsid w:val="6DC039F0"/>
    <w:rsid w:val="6FB6638D"/>
    <w:rsid w:val="70ED2282"/>
    <w:rsid w:val="72135D18"/>
    <w:rsid w:val="73A47F77"/>
    <w:rsid w:val="753F2061"/>
    <w:rsid w:val="77DC095A"/>
    <w:rsid w:val="7803238B"/>
    <w:rsid w:val="78340796"/>
    <w:rsid w:val="7B58479C"/>
    <w:rsid w:val="7C220C91"/>
    <w:rsid w:val="7CC77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adjustRightInd w:val="0"/>
      <w:snapToGrid w:val="0"/>
      <w:spacing w:line="579" w:lineRule="atLeast"/>
      <w:ind w:firstLine="200" w:firstLineChars="200"/>
      <w:outlineLvl w:val="1"/>
    </w:pPr>
    <w:rPr>
      <w:rFonts w:eastAsia="黑体"/>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szCs w:val="22"/>
    </w:rPr>
  </w:style>
  <w:style w:type="paragraph" w:styleId="4">
    <w:name w:val="Body Text Indent"/>
    <w:basedOn w:val="1"/>
    <w:qFormat/>
    <w:uiPriority w:val="0"/>
    <w:pPr>
      <w:spacing w:after="120"/>
      <w:ind w:left="420" w:leftChars="200"/>
    </w:pPr>
  </w:style>
  <w:style w:type="paragraph" w:styleId="5">
    <w:name w:val="toc 5"/>
    <w:basedOn w:val="1"/>
    <w:next w:val="1"/>
    <w:qFormat/>
    <w:uiPriority w:val="0"/>
    <w:pPr>
      <w:ind w:left="1680" w:leftChars="800"/>
    </w:pPr>
    <w:rPr>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9">
    <w:name w:val="Normal (Web)"/>
    <w:basedOn w:val="1"/>
    <w:qFormat/>
    <w:uiPriority w:val="0"/>
    <w:pPr>
      <w:jc w:val="left"/>
    </w:pPr>
    <w:rPr>
      <w:rFonts w:ascii="Arial" w:hAnsi="Arial"/>
      <w:color w:val="333333"/>
      <w:kern w:val="0"/>
      <w:sz w:val="18"/>
      <w:szCs w:val="18"/>
    </w:rPr>
  </w:style>
  <w:style w:type="paragraph" w:styleId="10">
    <w:name w:val="Body Text First Indent"/>
    <w:basedOn w:val="3"/>
    <w:qFormat/>
    <w:uiPriority w:val="0"/>
    <w:pPr>
      <w:ind w:firstLine="420" w:firstLineChars="100"/>
    </w:pPr>
    <w:rPr>
      <w:rFonts w:ascii="Calibri" w:hAnsi="Calibri"/>
    </w:rPr>
  </w:style>
  <w:style w:type="paragraph" w:styleId="11">
    <w:name w:val="Body Text First Indent 2"/>
    <w:basedOn w:val="4"/>
    <w:unhideWhenUsed/>
    <w:qFormat/>
    <w:uiPriority w:val="0"/>
    <w:pPr>
      <w:ind w:firstLine="420" w:firstLineChars="200"/>
    </w:pPr>
    <w:rPr>
      <w:rFonts w:ascii="Calibri" w:hAnsi="Calibri"/>
      <w:kern w:val="21"/>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cs="Times New Roman"/>
      <w:b/>
    </w:rPr>
  </w:style>
  <w:style w:type="character" w:styleId="16">
    <w:name w:val="page number"/>
    <w:basedOn w:val="14"/>
    <w:qFormat/>
    <w:uiPriority w:val="0"/>
  </w:style>
  <w:style w:type="paragraph" w:customStyle="1" w:styleId="17">
    <w:name w:val="样式 正文 首行缩进:  2 字符"/>
    <w:basedOn w:val="1"/>
    <w:qFormat/>
    <w:uiPriority w:val="0"/>
    <w:pPr>
      <w:ind w:firstLine="518" w:firstLineChars="200"/>
    </w:pPr>
    <w:rPr>
      <w:rFonts w:ascii="Calibri" w:hAnsi="Calibri"/>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表格"/>
    <w:basedOn w:val="1"/>
    <w:qFormat/>
    <w:uiPriority w:val="0"/>
    <w:pPr>
      <w:spacing w:line="400" w:lineRule="exact"/>
      <w:jc w:val="center"/>
    </w:pPr>
    <w:rPr>
      <w:rFonts w:ascii="Calibri" w:hAnsi="Calibri"/>
      <w:sz w:val="28"/>
    </w:rPr>
  </w:style>
  <w:style w:type="character" w:customStyle="1" w:styleId="20">
    <w:name w:val="NormalCharacter"/>
    <w:semiHidden/>
    <w:qFormat/>
    <w:uiPriority w:val="0"/>
    <w:rPr>
      <w:rFonts w:ascii="Calibri" w:hAnsi="Calibri" w:eastAsia="Times New Roman"/>
      <w:kern w:val="2"/>
      <w:sz w:val="24"/>
      <w:lang w:val="en-US" w:eastAsia="zh-CN"/>
    </w:rPr>
  </w:style>
  <w:style w:type="paragraph" w:customStyle="1" w:styleId="21">
    <w:name w:val="正文文本首行缩进 21"/>
    <w:next w:val="1"/>
    <w:qFormat/>
    <w:uiPriority w:val="0"/>
    <w:pPr>
      <w:widowControl w:val="0"/>
      <w:ind w:left="420" w:leftChars="200" w:firstLine="420" w:firstLineChars="200"/>
      <w:jc w:val="both"/>
    </w:pPr>
    <w:rPr>
      <w:rFonts w:ascii="Calibri" w:hAnsi="Calibri" w:eastAsia="宋体" w:cs="Times New Roman"/>
      <w:kern w:val="2"/>
      <w:sz w:val="21"/>
      <w:szCs w:val="24"/>
      <w:lang w:val="en-US" w:eastAsia="zh-CN" w:bidi="ar-SA"/>
    </w:rPr>
  </w:style>
  <w:style w:type="character" w:customStyle="1" w:styleId="22">
    <w:name w:val="17"/>
    <w:basedOn w:val="14"/>
    <w:qFormat/>
    <w:uiPriority w:val="0"/>
    <w:rPr>
      <w:rFonts w:hint="default" w:ascii="Times New Roman" w:hAnsi="Times New Roman" w:eastAsia="黑体" w:cs="Times New Roman"/>
      <w:kern w:val="44"/>
    </w:rPr>
  </w:style>
  <w:style w:type="paragraph" w:customStyle="1" w:styleId="23">
    <w:name w:val="表格文字"/>
    <w:basedOn w:val="1"/>
    <w:next w:val="1"/>
    <w:qFormat/>
    <w:uiPriority w:val="0"/>
    <w:pPr>
      <w:spacing w:line="240" w:lineRule="auto"/>
      <w:jc w:val="center"/>
    </w:pPr>
    <w:rPr>
      <w:sz w:val="21"/>
      <w:szCs w:val="21"/>
    </w:rPr>
  </w:style>
  <w:style w:type="paragraph" w:customStyle="1" w:styleId="24">
    <w:name w:val="Table Text"/>
    <w:semiHidden/>
    <w:qFormat/>
    <w:uiPriority w:val="0"/>
    <w:pPr>
      <w:widowControl w:val="0"/>
      <w:jc w:val="both"/>
    </w:pPr>
    <w:rPr>
      <w:rFonts w:ascii="Arial" w:hAnsi="Arial" w:eastAsia="Arial" w:cs="Arial"/>
      <w:kern w:val="2"/>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61487</Words>
  <Characters>62809</Characters>
  <Lines>0</Lines>
  <Paragraphs>0</Paragraphs>
  <TotalTime>7</TotalTime>
  <ScaleCrop>false</ScaleCrop>
  <LinksUpToDate>false</LinksUpToDate>
  <CharactersWithSpaces>64253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2022-10-27T06:36:00Z</dcterms:created>
  <dc:creator>许娜</dc:creator>
  <cp:lastModifiedBy>许娜</cp:lastModifiedBy>
  <cp:lastPrinted>2024-07-09T07:32:14Z</cp:lastPrinted>
  <dcterms:modified xsi:type="dcterms:W3CDTF">2024-07-09T07:54:41Z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A05089A475914EFB836366FD58DE8E5A_13</vt:lpwstr>
  </property>
</Properties>
</file>