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5B6BA6">
      <w:pPr>
        <w:pageBreakBefore w:val="0"/>
        <w:kinsoku/>
        <w:wordWrap/>
        <w:overflowPunct/>
        <w:topLinePunct w:val="0"/>
        <w:autoSpaceDE/>
        <w:autoSpaceDN/>
        <w:bidi w:val="0"/>
        <w:spacing w:line="560" w:lineRule="exact"/>
        <w:textAlignment w:val="auto"/>
        <w:rPr>
          <w:rFonts w:hint="eastAsia" w:ascii="楷体_GB2312" w:hAnsi="楷体_GB2312" w:eastAsia="楷体_GB2312" w:cs="楷体_GB2312"/>
          <w:sz w:val="32"/>
          <w:szCs w:val="20"/>
        </w:rPr>
      </w:pPr>
    </w:p>
    <w:p w14:paraId="6E49FB54">
      <w:pPr>
        <w:pageBreakBefore w:val="0"/>
        <w:kinsoku/>
        <w:wordWrap/>
        <w:overflowPunct/>
        <w:topLinePunct w:val="0"/>
        <w:autoSpaceDE/>
        <w:autoSpaceDN/>
        <w:bidi w:val="0"/>
        <w:spacing w:line="560" w:lineRule="exact"/>
        <w:textAlignment w:val="auto"/>
        <w:rPr>
          <w:rFonts w:hint="eastAsia" w:ascii="楷体_GB2312" w:hAnsi="楷体_GB2312" w:eastAsia="楷体_GB2312" w:cs="楷体_GB2312"/>
          <w:sz w:val="32"/>
          <w:szCs w:val="20"/>
        </w:rPr>
      </w:pPr>
    </w:p>
    <w:p w14:paraId="384C5093">
      <w:pPr>
        <w:pStyle w:val="2"/>
        <w:pageBreakBefore w:val="0"/>
        <w:kinsoku/>
        <w:wordWrap/>
        <w:overflowPunct/>
        <w:topLinePunct w:val="0"/>
        <w:autoSpaceDE/>
        <w:autoSpaceDN/>
        <w:bidi w:val="0"/>
        <w:spacing w:before="312" w:beforeLines="100" w:after="0" w:line="560" w:lineRule="exact"/>
        <w:ind w:firstLine="5461" w:firstLineChars="1700"/>
        <w:textAlignment w:val="auto"/>
        <w:rPr>
          <w:rFonts w:hint="eastAsia" w:ascii="仿宋" w:hAnsi="仿宋" w:eastAsia="仿宋" w:cs="仿宋"/>
          <w:sz w:val="28"/>
          <w:szCs w:val="18"/>
        </w:rPr>
      </w:pPr>
      <w:r>
        <w:rPr>
          <w:rFonts w:hint="eastAsia" w:ascii="楷体_GB2312" w:hAnsi="楷体_GB2312" w:eastAsia="楷体_GB2312" w:cs="楷体_GB2312"/>
          <w:sz w:val="32"/>
          <w:szCs w:val="20"/>
        </w:rPr>
        <w:t>岳云环评</w:t>
      </w:r>
      <w:r>
        <w:rPr>
          <w:rFonts w:hint="eastAsia" w:ascii="仿宋_GB2312" w:hAnsi="仿宋_GB2312" w:eastAsia="仿宋_GB2312" w:cs="仿宋_GB2312"/>
          <w:sz w:val="32"/>
          <w:szCs w:val="20"/>
        </w:rPr>
        <w:t>〔</w:t>
      </w:r>
      <w:r>
        <w:rPr>
          <w:rFonts w:hint="eastAsia" w:ascii="楷体_GB2312" w:hAnsi="楷体_GB2312" w:eastAsia="楷体_GB2312" w:cs="楷体_GB2312"/>
          <w:sz w:val="32"/>
          <w:szCs w:val="20"/>
        </w:rPr>
        <w:t>2025</w:t>
      </w:r>
      <w:r>
        <w:rPr>
          <w:rFonts w:hint="eastAsia" w:ascii="仿宋_GB2312" w:hAnsi="仿宋_GB2312" w:eastAsia="仿宋_GB2312" w:cs="仿宋_GB2312"/>
          <w:sz w:val="32"/>
          <w:szCs w:val="20"/>
        </w:rPr>
        <w:t>〕</w:t>
      </w:r>
      <w:r>
        <w:rPr>
          <w:rFonts w:hint="eastAsia" w:ascii="楷体_GB2312" w:hAnsi="楷体_GB2312" w:eastAsia="楷体_GB2312" w:cs="楷体_GB2312"/>
          <w:sz w:val="32"/>
          <w:szCs w:val="20"/>
          <w:lang w:val="en-US" w:eastAsia="zh-CN"/>
        </w:rPr>
        <w:t>5</w:t>
      </w:r>
      <w:r>
        <w:rPr>
          <w:rFonts w:hint="eastAsia" w:ascii="楷体_GB2312" w:hAnsi="楷体_GB2312" w:eastAsia="楷体_GB2312" w:cs="楷体_GB2312"/>
          <w:sz w:val="32"/>
          <w:szCs w:val="20"/>
        </w:rPr>
        <w:t>号</w:t>
      </w:r>
    </w:p>
    <w:p w14:paraId="0EFC9943">
      <w:pPr>
        <w:pStyle w:val="2"/>
        <w:pageBreakBefore w:val="0"/>
        <w:kinsoku/>
        <w:wordWrap/>
        <w:overflowPunct/>
        <w:topLinePunct w:val="0"/>
        <w:autoSpaceDE/>
        <w:autoSpaceDN/>
        <w:bidi w:val="0"/>
        <w:spacing w:before="0" w:after="156" w:afterLines="50" w:line="560" w:lineRule="exact"/>
        <w:jc w:val="center"/>
        <w:textAlignment w:val="auto"/>
        <w:rPr>
          <w:rFonts w:hint="eastAsia" w:ascii="方正小标宋简体" w:hAnsi="方正小标宋简体" w:eastAsia="方正小标宋简体" w:cs="方正小标宋简体"/>
          <w:b w:val="0"/>
          <w:bCs/>
          <w:spacing w:val="-11"/>
        </w:rPr>
      </w:pPr>
      <w:r>
        <w:rPr>
          <w:rFonts w:hint="eastAsia" w:ascii="方正小标宋简体" w:hAnsi="方正小标宋简体" w:eastAsia="方正小标宋简体" w:cs="方正小标宋简体"/>
          <w:b w:val="0"/>
          <w:bCs/>
          <w:spacing w:val="-11"/>
        </w:rPr>
        <w:t>关于岳阳市云嘉商品混凝土有限公司临时水稳站（年产100万吨水稳料）建设项目环境影响报告表的批复</w:t>
      </w:r>
    </w:p>
    <w:p w14:paraId="7698278C">
      <w:pPr>
        <w:pageBreakBefore w:val="0"/>
        <w:kinsoku/>
        <w:wordWrap/>
        <w:overflowPunct/>
        <w:topLinePunct w:val="0"/>
        <w:autoSpaceDE/>
        <w:autoSpaceDN/>
        <w:bidi w:val="0"/>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岳阳</w:t>
      </w:r>
      <w:bookmarkStart w:id="0" w:name="_GoBack"/>
      <w:bookmarkEnd w:id="0"/>
      <w:r>
        <w:rPr>
          <w:rFonts w:hint="eastAsia" w:ascii="仿宋_GB2312" w:hAnsi="仿宋_GB2312" w:eastAsia="仿宋_GB2312" w:cs="仿宋_GB2312"/>
          <w:sz w:val="32"/>
          <w:szCs w:val="32"/>
        </w:rPr>
        <w:t>市云嘉商品混凝土有限公司：</w:t>
      </w:r>
    </w:p>
    <w:p w14:paraId="20F59D01">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你公司关于申请岳阳市云嘉商品混凝土有限公司临时水稳站（年产100万吨水稳料）建设项目环境影响报告表批复的有关函件及附件收悉。经研究，批复如下:</w:t>
      </w:r>
    </w:p>
    <w:p w14:paraId="69AFCCB5">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岳阳市云嘉商品混凝土有限公司临时水稳站（年产100万吨水稳料）建设项目位于岳阳市云溪区长炼街道八字门社区杨家组，项目总投资260万元，其中环保投资15万元，占总投资的5.77%。其主要建设内容为：新建1条水稳料生产线，并配套建设相应主体工程、辅助工程、公用工程、环保工程等。项目主要原辅材料为：水泥、石屑、碎石、水等。主要产品及规模为：年产水稳料100万t。</w:t>
      </w:r>
    </w:p>
    <w:p w14:paraId="357C1C85">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根据湖南京帝环保科技研究院有限公司编制的建设项目环境影响报告表基本内容、结论及专家评审意见，我局原则同意你司环境影响报告表中环境影响评价结论和环境保护对策措施。</w:t>
      </w:r>
    </w:p>
    <w:p w14:paraId="375013BC">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二、项目在施工及营运期间须全面落实专家及环境影响报告表中提出的各项污染物防治措施，切实加强环境管理，确保污防设施长期稳定运行、污染物达标排放，并着重做好以下几点工作。</w:t>
      </w:r>
    </w:p>
    <w:p w14:paraId="6F59D0F4">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1.落实施工期污染防治措施。</w:t>
      </w:r>
      <w:r>
        <w:rPr>
          <w:rFonts w:hint="eastAsia" w:ascii="仿宋_GB2312" w:hAnsi="仿宋_GB2312" w:eastAsia="仿宋_GB2312" w:cs="仿宋_GB2312"/>
          <w:sz w:val="32"/>
          <w:szCs w:val="32"/>
        </w:rPr>
        <w:t>采取边界围挡、物料遮盖、定期洒水等措施减少扬尘污染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选用合格油品，减少运输车辆和燃油动力机械尾气；选用低噪声施工设备，合理布局等措施控制声环境影响；建筑垃圾及弃土方</w:t>
      </w:r>
      <w:r>
        <w:rPr>
          <w:rFonts w:hint="eastAsia" w:ascii="仿宋_GB2312" w:hAnsi="仿宋_GB2312" w:eastAsia="仿宋_GB2312" w:cs="仿宋_GB2312"/>
          <w:sz w:val="32"/>
          <w:szCs w:val="32"/>
          <w:lang w:val="en-US" w:eastAsia="zh-CN"/>
        </w:rPr>
        <w:t>合规处置</w:t>
      </w:r>
      <w:r>
        <w:rPr>
          <w:rFonts w:hint="eastAsia" w:ascii="仿宋_GB2312" w:hAnsi="仿宋_GB2312" w:eastAsia="仿宋_GB2312" w:cs="仿宋_GB2312"/>
          <w:sz w:val="32"/>
          <w:szCs w:val="32"/>
        </w:rPr>
        <w:t>，生活垃圾收集后由环卫部门统一处理；施工期各类废水应收尽收、合理处置；切实做好施工期的各项环境保护工作，尽量缩短施工期。</w:t>
      </w:r>
    </w:p>
    <w:p w14:paraId="4CC2416A">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sz w:val="32"/>
          <w:szCs w:val="32"/>
        </w:rPr>
        <w:t>2.加强废气污染防治工作。</w:t>
      </w:r>
      <w:r>
        <w:rPr>
          <w:rFonts w:hint="eastAsia" w:ascii="仿宋_GB2312" w:hAnsi="仿宋_GB2312" w:eastAsia="仿宋_GB2312" w:cs="仿宋_GB2312"/>
          <w:sz w:val="32"/>
          <w:szCs w:val="32"/>
          <w:highlight w:val="none"/>
        </w:rPr>
        <w:t>项目运营期产生的废气主要为水泥罐呼吸孔粉尘、集料堆存扬尘、装卸</w:t>
      </w:r>
      <w:r>
        <w:rPr>
          <w:rFonts w:hint="eastAsia" w:ascii="仿宋_GB2312" w:hAnsi="仿宋_GB2312" w:eastAsia="仿宋_GB2312" w:cs="仿宋_GB2312"/>
          <w:sz w:val="32"/>
          <w:szCs w:val="32"/>
          <w:highlight w:val="none"/>
          <w:lang w:eastAsia="zh-CN"/>
        </w:rPr>
        <w:t>和场内转运</w:t>
      </w:r>
      <w:r>
        <w:rPr>
          <w:rFonts w:hint="eastAsia" w:ascii="仿宋_GB2312" w:hAnsi="仿宋_GB2312" w:eastAsia="仿宋_GB2312" w:cs="仿宋_GB2312"/>
          <w:sz w:val="32"/>
          <w:szCs w:val="32"/>
          <w:highlight w:val="none"/>
        </w:rPr>
        <w:t>扬尘、车辆运输扬尘、施工机械排放的燃油废气、传送带输送粉尘等。采用尾气达标机械和车辆、加强日常保养、合理安排工序等措施减少各类施工机械排放的燃油废气产生</w:t>
      </w:r>
      <w:r>
        <w:rPr>
          <w:rFonts w:hint="eastAsia" w:ascii="仿宋_GB2312" w:hAnsi="仿宋_GB2312" w:eastAsia="仿宋_GB2312" w:cs="仿宋_GB2312"/>
          <w:sz w:val="32"/>
          <w:szCs w:val="32"/>
          <w:highlight w:val="none"/>
          <w:lang w:eastAsia="zh-CN"/>
        </w:rPr>
        <w:t>；车辆运输原料过程中加盖蓬布，严禁敞开式运输；产品出厂时采用密闭的罐车；出入车辆均冲洗车身及车轮，并定期对厂区路面进行清扫、洒水；</w:t>
      </w:r>
      <w:r>
        <w:rPr>
          <w:rFonts w:hint="eastAsia" w:ascii="仿宋_GB2312" w:hAnsi="仿宋_GB2312" w:eastAsia="仿宋_GB2312" w:cs="仿宋_GB2312"/>
          <w:sz w:val="32"/>
          <w:szCs w:val="32"/>
          <w:highlight w:val="none"/>
        </w:rPr>
        <w:t>集料</w:t>
      </w:r>
      <w:r>
        <w:rPr>
          <w:rFonts w:hint="eastAsia" w:ascii="仿宋_GB2312" w:hAnsi="仿宋_GB2312" w:eastAsia="仿宋_GB2312" w:cs="仿宋_GB2312"/>
          <w:sz w:val="32"/>
          <w:szCs w:val="32"/>
          <w:highlight w:val="none"/>
          <w:lang w:val="en-US" w:eastAsia="zh-CN"/>
        </w:rPr>
        <w:t>堆放在</w:t>
      </w:r>
      <w:r>
        <w:rPr>
          <w:rFonts w:hint="eastAsia" w:ascii="仿宋_GB2312" w:hAnsi="仿宋_GB2312" w:eastAsia="仿宋_GB2312" w:cs="仿宋_GB2312"/>
          <w:sz w:val="32"/>
          <w:szCs w:val="32"/>
          <w:highlight w:val="none"/>
          <w:lang w:eastAsia="zh-CN"/>
        </w:rPr>
        <w:t>全封闭</w:t>
      </w:r>
      <w:r>
        <w:rPr>
          <w:rFonts w:hint="eastAsia" w:ascii="仿宋_GB2312" w:hAnsi="仿宋_GB2312" w:eastAsia="仿宋_GB2312" w:cs="仿宋_GB2312"/>
          <w:sz w:val="32"/>
          <w:szCs w:val="32"/>
          <w:highlight w:val="none"/>
          <w:lang w:val="en-US" w:eastAsia="zh-CN"/>
        </w:rPr>
        <w:t>厂房内</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不得</w:t>
      </w:r>
      <w:r>
        <w:rPr>
          <w:rFonts w:hint="eastAsia" w:ascii="仿宋_GB2312" w:hAnsi="仿宋_GB2312" w:eastAsia="仿宋_GB2312" w:cs="仿宋_GB2312"/>
          <w:sz w:val="32"/>
          <w:szCs w:val="32"/>
          <w:highlight w:val="none"/>
          <w:lang w:eastAsia="zh-CN"/>
        </w:rPr>
        <w:t>露天堆放；</w:t>
      </w:r>
      <w:r>
        <w:rPr>
          <w:rFonts w:hint="eastAsia" w:ascii="仿宋_GB2312" w:hAnsi="仿宋_GB2312" w:eastAsia="仿宋_GB2312" w:cs="仿宋_GB2312"/>
          <w:sz w:val="32"/>
          <w:szCs w:val="32"/>
          <w:highlight w:val="none"/>
        </w:rPr>
        <w:t>集料</w:t>
      </w:r>
      <w:r>
        <w:rPr>
          <w:rFonts w:hint="eastAsia" w:ascii="仿宋_GB2312" w:hAnsi="仿宋_GB2312" w:eastAsia="仿宋_GB2312" w:cs="仿宋_GB2312"/>
          <w:sz w:val="32"/>
          <w:szCs w:val="32"/>
          <w:highlight w:val="none"/>
          <w:lang w:eastAsia="zh-CN"/>
        </w:rPr>
        <w:t>采用封闭方式进行转运，防止粉尘和原料泄漏；</w:t>
      </w:r>
      <w:r>
        <w:rPr>
          <w:rFonts w:hint="eastAsia" w:ascii="仿宋_GB2312" w:hAnsi="仿宋_GB2312" w:eastAsia="仿宋_GB2312" w:cs="仿宋_GB2312"/>
          <w:sz w:val="32"/>
          <w:szCs w:val="32"/>
          <w:highlight w:val="none"/>
        </w:rPr>
        <w:t>集料</w:t>
      </w:r>
      <w:r>
        <w:rPr>
          <w:rFonts w:hint="eastAsia" w:ascii="仿宋_GB2312" w:hAnsi="仿宋_GB2312" w:eastAsia="仿宋_GB2312" w:cs="仿宋_GB2312"/>
          <w:sz w:val="32"/>
          <w:szCs w:val="32"/>
          <w:highlight w:val="none"/>
          <w:lang w:eastAsia="zh-CN"/>
        </w:rPr>
        <w:t>下料、投料</w:t>
      </w:r>
      <w:r>
        <w:rPr>
          <w:rFonts w:hint="eastAsia" w:ascii="仿宋_GB2312" w:hAnsi="仿宋_GB2312" w:eastAsia="仿宋_GB2312" w:cs="仿宋_GB2312"/>
          <w:sz w:val="32"/>
          <w:szCs w:val="32"/>
          <w:highlight w:val="none"/>
          <w:lang w:val="en-US" w:eastAsia="zh-CN"/>
        </w:rPr>
        <w:t>均采取</w:t>
      </w:r>
      <w:r>
        <w:rPr>
          <w:rFonts w:hint="eastAsia" w:ascii="仿宋_GB2312" w:hAnsi="仿宋_GB2312" w:eastAsia="仿宋_GB2312" w:cs="仿宋_GB2312"/>
          <w:sz w:val="32"/>
          <w:szCs w:val="32"/>
          <w:highlight w:val="none"/>
          <w:lang w:eastAsia="zh-CN"/>
        </w:rPr>
        <w:t>密闭</w:t>
      </w:r>
      <w:r>
        <w:rPr>
          <w:rFonts w:hint="eastAsia" w:ascii="仿宋_GB2312" w:hAnsi="仿宋_GB2312" w:eastAsia="仿宋_GB2312" w:cs="仿宋_GB2312"/>
          <w:sz w:val="32"/>
          <w:szCs w:val="32"/>
          <w:highlight w:val="none"/>
          <w:lang w:val="en-US" w:eastAsia="zh-CN"/>
        </w:rPr>
        <w:t>措施</w:t>
      </w:r>
      <w:r>
        <w:rPr>
          <w:rFonts w:hint="eastAsia" w:ascii="仿宋_GB2312" w:hAnsi="仿宋_GB2312" w:eastAsia="仿宋_GB2312" w:cs="仿宋_GB2312"/>
          <w:sz w:val="32"/>
          <w:szCs w:val="32"/>
          <w:highlight w:val="none"/>
          <w:lang w:eastAsia="zh-CN"/>
        </w:rPr>
        <w:t>，集料输送采用封闭式传送带，场区内设置自动喷</w:t>
      </w:r>
      <w:r>
        <w:rPr>
          <w:rFonts w:hint="eastAsia" w:ascii="仿宋_GB2312" w:hAnsi="仿宋_GB2312" w:eastAsia="仿宋_GB2312" w:cs="仿宋_GB2312"/>
          <w:sz w:val="32"/>
          <w:szCs w:val="32"/>
          <w:highlight w:val="none"/>
          <w:lang w:val="en-US" w:eastAsia="zh-CN"/>
        </w:rPr>
        <w:t>淋</w:t>
      </w:r>
      <w:r>
        <w:rPr>
          <w:rFonts w:hint="eastAsia" w:ascii="仿宋_GB2312" w:hAnsi="仿宋_GB2312" w:eastAsia="仿宋_GB2312" w:cs="仿宋_GB2312"/>
          <w:sz w:val="32"/>
          <w:szCs w:val="32"/>
          <w:highlight w:val="none"/>
          <w:lang w:eastAsia="zh-CN"/>
        </w:rPr>
        <w:t>装置；配</w:t>
      </w:r>
      <w:r>
        <w:rPr>
          <w:rFonts w:hint="eastAsia" w:ascii="仿宋_GB2312" w:hAnsi="仿宋_GB2312" w:eastAsia="仿宋_GB2312" w:cs="仿宋_GB2312"/>
          <w:sz w:val="32"/>
          <w:szCs w:val="32"/>
          <w:highlight w:val="none"/>
        </w:rPr>
        <w:t>料及搅拌等工序均采取封闭方式，水泥罐呼吸孔粉尘经脉冲除尘器收集后全部回用生产</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厂区范围内强化洒水</w:t>
      </w:r>
      <w:r>
        <w:rPr>
          <w:rFonts w:hint="eastAsia" w:ascii="仿宋_GB2312" w:hAnsi="仿宋_GB2312" w:eastAsia="仿宋_GB2312" w:cs="仿宋_GB2312"/>
          <w:sz w:val="32"/>
          <w:szCs w:val="32"/>
          <w:highlight w:val="none"/>
          <w:lang w:val="en-US" w:eastAsia="zh-CN"/>
        </w:rPr>
        <w:t>喷淋降尘</w:t>
      </w:r>
      <w:r>
        <w:rPr>
          <w:rFonts w:hint="eastAsia" w:ascii="仿宋_GB2312" w:hAnsi="仿宋_GB2312" w:eastAsia="仿宋_GB2312" w:cs="仿宋_GB2312"/>
          <w:sz w:val="32"/>
          <w:szCs w:val="32"/>
          <w:highlight w:val="none"/>
        </w:rPr>
        <w:t>，有效减少石屑和碎石卸料</w:t>
      </w:r>
      <w:r>
        <w:rPr>
          <w:rFonts w:hint="eastAsia" w:ascii="仿宋_GB2312" w:hAnsi="仿宋_GB2312" w:eastAsia="仿宋_GB2312" w:cs="仿宋_GB2312"/>
          <w:sz w:val="32"/>
          <w:szCs w:val="32"/>
          <w:highlight w:val="none"/>
          <w:lang w:eastAsia="zh-CN"/>
        </w:rPr>
        <w:t>、转运</w:t>
      </w:r>
      <w:r>
        <w:rPr>
          <w:rFonts w:hint="eastAsia" w:ascii="仿宋_GB2312" w:hAnsi="仿宋_GB2312" w:eastAsia="仿宋_GB2312" w:cs="仿宋_GB2312"/>
          <w:sz w:val="32"/>
          <w:szCs w:val="32"/>
          <w:highlight w:val="none"/>
        </w:rPr>
        <w:t>粉尘及运输车辆扬尘逸散</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项目</w:t>
      </w:r>
      <w:r>
        <w:rPr>
          <w:rFonts w:hint="eastAsia" w:ascii="仿宋_GB2312" w:hAnsi="仿宋_GB2312" w:eastAsia="仿宋_GB2312" w:cs="仿宋_GB2312"/>
          <w:sz w:val="32"/>
          <w:szCs w:val="32"/>
          <w:highlight w:val="none"/>
          <w:lang w:val="en-US" w:eastAsia="zh-CN"/>
        </w:rPr>
        <w:t>无组织废气颗粒物</w:t>
      </w:r>
      <w:r>
        <w:rPr>
          <w:rFonts w:hint="eastAsia" w:ascii="仿宋_GB2312" w:hAnsi="仿宋_GB2312" w:eastAsia="仿宋_GB2312" w:cs="仿宋_GB2312"/>
          <w:sz w:val="32"/>
          <w:szCs w:val="32"/>
          <w:highlight w:val="none"/>
        </w:rPr>
        <w:t>执行《水泥工业大气污染物排放标准》（GB4915-2013）表3大气污染物无组织排放限值</w:t>
      </w:r>
      <w:r>
        <w:rPr>
          <w:rFonts w:hint="eastAsia" w:ascii="仿宋_GB2312" w:hAnsi="仿宋_GB2312" w:eastAsia="仿宋_GB2312" w:cs="仿宋_GB2312"/>
          <w:sz w:val="32"/>
          <w:szCs w:val="32"/>
          <w:highlight w:val="none"/>
          <w:lang w:val="en-US" w:eastAsia="zh-CN"/>
        </w:rPr>
        <w:t>要求</w:t>
      </w:r>
      <w:r>
        <w:rPr>
          <w:rFonts w:hint="eastAsia" w:ascii="仿宋_GB2312" w:hAnsi="仿宋_GB2312" w:eastAsia="仿宋_GB2312" w:cs="仿宋_GB2312"/>
          <w:sz w:val="32"/>
          <w:szCs w:val="32"/>
          <w:highlight w:val="none"/>
        </w:rPr>
        <w:t>。</w:t>
      </w:r>
    </w:p>
    <w:p w14:paraId="3069AD9F">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red"/>
        </w:rPr>
      </w:pPr>
      <w:r>
        <w:rPr>
          <w:rFonts w:hint="eastAsia" w:ascii="楷体_GB2312" w:hAnsi="楷体_GB2312" w:eastAsia="楷体_GB2312" w:cs="楷体_GB2312"/>
          <w:sz w:val="32"/>
          <w:szCs w:val="32"/>
        </w:rPr>
        <w:t>3.加强废水污染防治工作。</w:t>
      </w:r>
      <w:r>
        <w:rPr>
          <w:rFonts w:hint="eastAsia" w:ascii="仿宋_GB2312" w:hAnsi="仿宋_GB2312" w:eastAsia="仿宋_GB2312" w:cs="仿宋_GB2312"/>
          <w:sz w:val="32"/>
          <w:szCs w:val="32"/>
        </w:rPr>
        <w:t>项目须严格按照“雨污分流、清污分流、污污分流”的原则完善厂区雨污水管网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项目配套建设好区域内的收集沟渠、沉淀池废水收集系统。搅拌设备冲洗废水、地面冲洗废水、车辆清洗废水、初期雨水等经收集进入自建沉淀池处理后循环利用，不外排。</w:t>
      </w:r>
    </w:p>
    <w:p w14:paraId="5504D286">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4.加强固体废物污染防治工作。</w:t>
      </w:r>
      <w:r>
        <w:rPr>
          <w:rFonts w:hint="eastAsia" w:ascii="仿宋_GB2312" w:hAnsi="仿宋_GB2312" w:eastAsia="仿宋_GB2312" w:cs="仿宋_GB2312"/>
          <w:sz w:val="32"/>
          <w:szCs w:val="32"/>
        </w:rPr>
        <w:t>项目产生的固体废物主要为除尘器收集的粉尘、沉淀池沉渣、废润滑油、废润滑油桶、废含油抹布手套及生活垃圾等。除尘器收集的粉尘收集后回用于生产；沉淀池沉渣</w:t>
      </w:r>
      <w:r>
        <w:rPr>
          <w:rFonts w:hint="eastAsia" w:ascii="仿宋_GB2312" w:hAnsi="仿宋_GB2312" w:eastAsia="仿宋_GB2312" w:cs="仿宋_GB2312"/>
          <w:sz w:val="32"/>
          <w:szCs w:val="32"/>
          <w:lang w:val="en-US" w:eastAsia="zh-CN"/>
        </w:rPr>
        <w:t>按《一般工业固体废物贮存和填埋污染控制标准》（GB18599-2020）安全贮存，合规处置；</w:t>
      </w:r>
      <w:r>
        <w:rPr>
          <w:rFonts w:hint="eastAsia" w:ascii="仿宋_GB2312" w:hAnsi="仿宋_GB2312" w:eastAsia="仿宋_GB2312" w:cs="仿宋_GB2312"/>
          <w:sz w:val="32"/>
          <w:szCs w:val="32"/>
        </w:rPr>
        <w:t>废润滑油、废润滑油桶、废含油抹布手套等危险废物</w:t>
      </w:r>
      <w:r>
        <w:rPr>
          <w:rFonts w:ascii="仿宋_GB2312" w:hAnsi="仿宋_GB2312" w:eastAsia="仿宋_GB2312" w:cs="仿宋_GB2312"/>
          <w:sz w:val="32"/>
          <w:szCs w:val="32"/>
        </w:rPr>
        <w:t>执行《危险废物贮存污染控制标准》(GB18597-2023)</w:t>
      </w:r>
      <w:r>
        <w:rPr>
          <w:rFonts w:hint="eastAsia" w:ascii="仿宋_GB2312" w:hAnsi="仿宋_GB2312" w:eastAsia="仿宋_GB2312" w:cs="仿宋_GB2312"/>
          <w:sz w:val="32"/>
          <w:szCs w:val="32"/>
        </w:rPr>
        <w:t>要求合规储存、建立健全管理台账，交由有资质单位安全处置，并执行转移联单制度；生活垃圾集中收集后由环卫部门定期清运、合理处置。</w:t>
      </w:r>
    </w:p>
    <w:p w14:paraId="0E398A0F">
      <w:pPr>
        <w:pStyle w:val="11"/>
        <w:pageBreakBefore w:val="0"/>
        <w:kinsoku/>
        <w:wordWrap/>
        <w:overflowPunct/>
        <w:topLinePunct w:val="0"/>
        <w:autoSpaceDE/>
        <w:autoSpaceDN/>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5.加强噪声污染防治工作。</w:t>
      </w:r>
      <w:r>
        <w:rPr>
          <w:rFonts w:hint="eastAsia" w:ascii="仿宋_GB2312" w:hAnsi="仿宋_GB2312" w:eastAsia="仿宋_GB2312" w:cs="仿宋_GB2312"/>
          <w:b w:val="0"/>
          <w:bCs w:val="0"/>
          <w:kern w:val="2"/>
          <w:sz w:val="32"/>
          <w:szCs w:val="32"/>
          <w:u w:val="none"/>
          <w:vertAlign w:val="baseline"/>
          <w:lang w:val="en-US" w:eastAsia="zh-CN" w:bidi="ar-SA"/>
        </w:rPr>
        <w:t>选用低噪设备,采取隔声、减振、消声等降噪措施，对产生高噪声部位尽量进行封闭，合理安排运输车辆进出时间、路线，途经声敏感区应采取禁鸣、限速措施，</w:t>
      </w:r>
      <w:r>
        <w:rPr>
          <w:rFonts w:hint="eastAsia" w:ascii="仿宋_GB2312" w:hAnsi="仿宋_GB2312" w:eastAsia="仿宋_GB2312" w:cs="仿宋_GB2312"/>
          <w:sz w:val="32"/>
          <w:szCs w:val="32"/>
        </w:rPr>
        <w:t>确保厂界噪声排放达到《工业企业厂界环境噪声排放标准》（GB 12348-2008）2类标准。</w:t>
      </w:r>
    </w:p>
    <w:p w14:paraId="2355FEBA">
      <w:pPr>
        <w:pStyle w:val="12"/>
        <w:pageBreakBefore w:val="0"/>
        <w:kinsoku/>
        <w:wordWrap/>
        <w:overflowPunct/>
        <w:topLinePunct w:val="0"/>
        <w:autoSpaceDE/>
        <w:autoSpaceDN/>
        <w:bidi w:val="0"/>
        <w:spacing w:line="560" w:lineRule="exact"/>
        <w:ind w:firstLine="64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6.加强地下水污染防治工作。</w:t>
      </w:r>
      <w:r>
        <w:rPr>
          <w:rFonts w:hint="eastAsia" w:ascii="仿宋_GB2312" w:hAnsi="仿宋_GB2312" w:eastAsia="仿宋_GB2312" w:cs="仿宋_GB2312"/>
          <w:sz w:val="32"/>
          <w:szCs w:val="32"/>
        </w:rPr>
        <w:t>按照“源头控制、分区防治、污染监控、应急响应”相结合的原则，制定并实施源头控制措施、分区防渗措施、污染监控计划、风险事故应急响应方案等，从源头上减少污染物的产生，防止环境污染。同时，严格按照国家相关规范要求，对工艺、设备及防渗构建物采取相应措施，防止和降低污染物的跑、冒、滴、漏；根据分区防渗要求做好重点</w:t>
      </w:r>
      <w:r>
        <w:rPr>
          <w:rFonts w:hint="eastAsia" w:ascii="仿宋_GB2312" w:hAnsi="仿宋_GB2312" w:eastAsia="仿宋_GB2312" w:cs="仿宋_GB2312"/>
          <w:sz w:val="32"/>
          <w:szCs w:val="32"/>
          <w:lang w:val="en-US" w:eastAsia="zh-CN"/>
        </w:rPr>
        <w:t>区域</w:t>
      </w:r>
      <w:r>
        <w:rPr>
          <w:rFonts w:hint="eastAsia" w:ascii="仿宋_GB2312" w:hAnsi="仿宋_GB2312" w:eastAsia="仿宋_GB2312" w:cs="仿宋_GB2312"/>
          <w:sz w:val="32"/>
          <w:szCs w:val="32"/>
        </w:rPr>
        <w:t>防腐防渗工作，强化管理，避免由于泄漏污染地下水。</w:t>
      </w:r>
    </w:p>
    <w:p w14:paraId="6D7AC71F">
      <w:pPr>
        <w:pageBreakBefore w:val="0"/>
        <w:kinsoku/>
        <w:wordWrap/>
        <w:overflowPunct/>
        <w:topLinePunct w:val="0"/>
        <w:autoSpaceDE/>
        <w:autoSpaceDN/>
        <w:bidi w:val="0"/>
        <w:spacing w:line="560" w:lineRule="exact"/>
        <w:ind w:firstLine="64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7.加强营运期风险防范。</w:t>
      </w:r>
      <w:r>
        <w:rPr>
          <w:rFonts w:hint="eastAsia" w:ascii="仿宋_GB2312" w:hAnsi="仿宋_GB2312" w:eastAsia="仿宋_GB2312" w:cs="仿宋_GB2312"/>
          <w:sz w:val="32"/>
          <w:szCs w:val="32"/>
        </w:rPr>
        <w:t>严格落实报告表提出的各项环境风险防范措施；按照《突发环境事件应急管理办法》</w:t>
      </w:r>
      <w:r>
        <w:rPr>
          <w:rFonts w:hint="eastAsia" w:ascii="仿宋_GB2312" w:hAnsi="仿宋_GB2312" w:eastAsia="仿宋_GB2312" w:cs="仿宋_GB2312"/>
          <w:sz w:val="32"/>
          <w:szCs w:val="32"/>
          <w:lang w:eastAsia="zh-CN"/>
        </w:rPr>
        <w:t>编制</w:t>
      </w:r>
      <w:r>
        <w:rPr>
          <w:rFonts w:hint="eastAsia" w:ascii="仿宋_GB2312" w:hAnsi="仿宋_GB2312" w:eastAsia="仿宋_GB2312" w:cs="仿宋_GB2312"/>
          <w:sz w:val="32"/>
          <w:szCs w:val="32"/>
        </w:rPr>
        <w:t>突发环境事件应急预案，储备风险救助物资并组织演练，杜绝环境风险事故发生。</w:t>
      </w:r>
    </w:p>
    <w:p w14:paraId="735E5438">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8.加强环境管理。</w:t>
      </w:r>
      <w:r>
        <w:rPr>
          <w:rFonts w:hint="eastAsia" w:ascii="仿宋_GB2312" w:hAnsi="仿宋_GB2312" w:eastAsia="仿宋_GB2312" w:cs="仿宋_GB2312"/>
          <w:sz w:val="32"/>
          <w:szCs w:val="32"/>
        </w:rPr>
        <w:t>建立健全污染防治设施运行管理台帐，设专门的环保机构及环保人员，确保各项污染防治设施的正常运行，各类污染物稳定达标排放。</w:t>
      </w:r>
    </w:p>
    <w:p w14:paraId="57AD6FB5">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eastAsia="zh-CN"/>
        </w:rPr>
        <w:t>项目仅限于为乙烯三条配套道路和区域内重要基础设施建设服务，</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乙烯三条配套道路竣工后，本环评批复自动失效，须按要求拆除本项目建设内容，并恢复原有地块生态环境状况。</w:t>
      </w:r>
    </w:p>
    <w:p w14:paraId="2DE51639">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三、你公司自收到本批复后，应在15个工作日内将批复及批准的环评报告文本送湖南京帝环保科技研究院有限公司。 </w:t>
      </w:r>
    </w:p>
    <w:p w14:paraId="5673369B">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color w:val="auto"/>
          <w:spacing w:val="0"/>
          <w:position w:val="0"/>
          <w:sz w:val="32"/>
          <w:szCs w:val="32"/>
        </w:rPr>
        <w:t>岳阳市生态环境保护综合行政执法支队云溪大队</w:t>
      </w:r>
      <w:r>
        <w:rPr>
          <w:rFonts w:hint="eastAsia" w:ascii="仿宋_GB2312" w:hAnsi="仿宋_GB2312" w:eastAsia="仿宋_GB2312" w:cs="仿宋_GB2312"/>
          <w:sz w:val="32"/>
          <w:szCs w:val="32"/>
        </w:rPr>
        <w:t>负责该项目的日常环境监管。</w:t>
      </w:r>
    </w:p>
    <w:p w14:paraId="1F2A8236">
      <w:pPr>
        <w:pStyle w:val="8"/>
        <w:pageBreakBefore w:val="0"/>
        <w:widowControl/>
        <w:kinsoku/>
        <w:wordWrap/>
        <w:overflowPunct/>
        <w:topLinePunct w:val="0"/>
        <w:autoSpaceDE/>
        <w:autoSpaceDN/>
        <w:bidi w:val="0"/>
        <w:spacing w:beforeAutospacing="0" w:afterAutospacing="0" w:line="560" w:lineRule="exact"/>
        <w:textAlignment w:val="auto"/>
        <w:rPr>
          <w:rFonts w:ascii="仿宋_GB2312" w:hAnsi="仿宋_GB2312" w:eastAsia="仿宋_GB2312" w:cs="仿宋_GB2312"/>
          <w:kern w:val="2"/>
          <w:sz w:val="32"/>
          <w:szCs w:val="32"/>
        </w:rPr>
      </w:pPr>
    </w:p>
    <w:p w14:paraId="4FA1BCA0">
      <w:pPr>
        <w:pStyle w:val="8"/>
        <w:pageBreakBefore w:val="0"/>
        <w:widowControl/>
        <w:kinsoku/>
        <w:wordWrap/>
        <w:overflowPunct/>
        <w:topLinePunct w:val="0"/>
        <w:autoSpaceDE/>
        <w:autoSpaceDN/>
        <w:bidi w:val="0"/>
        <w:spacing w:beforeAutospacing="0" w:afterAutospacing="0" w:line="560" w:lineRule="exact"/>
        <w:textAlignment w:val="auto"/>
        <w:rPr>
          <w:rFonts w:ascii="仿宋_GB2312" w:hAnsi="仿宋_GB2312" w:eastAsia="仿宋_GB2312" w:cs="仿宋_GB2312"/>
          <w:kern w:val="2"/>
          <w:sz w:val="32"/>
          <w:szCs w:val="32"/>
        </w:rPr>
      </w:pPr>
    </w:p>
    <w:p w14:paraId="103F13A4">
      <w:pPr>
        <w:pStyle w:val="8"/>
        <w:pageBreakBefore w:val="0"/>
        <w:widowControl/>
        <w:kinsoku/>
        <w:wordWrap/>
        <w:overflowPunct/>
        <w:topLinePunct w:val="0"/>
        <w:autoSpaceDE/>
        <w:autoSpaceDN/>
        <w:bidi w:val="0"/>
        <w:spacing w:beforeAutospacing="0" w:afterAutospacing="0" w:line="560" w:lineRule="exact"/>
        <w:ind w:firstLine="5120" w:firstLineChars="1600"/>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岳阳市生态环境局</w:t>
      </w:r>
    </w:p>
    <w:p w14:paraId="1D41A845">
      <w:pPr>
        <w:pStyle w:val="8"/>
        <w:pageBreakBefore w:val="0"/>
        <w:widowControl/>
        <w:kinsoku/>
        <w:wordWrap/>
        <w:overflowPunct/>
        <w:topLinePunct w:val="0"/>
        <w:autoSpaceDE/>
        <w:autoSpaceDN/>
        <w:bidi w:val="0"/>
        <w:spacing w:beforeAutospacing="0" w:afterAutospacing="0" w:line="560" w:lineRule="exact"/>
        <w:ind w:firstLine="5120" w:firstLineChars="1600"/>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2025年</w:t>
      </w: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rPr>
        <w:t>月</w:t>
      </w:r>
      <w:r>
        <w:rPr>
          <w:rFonts w:hint="eastAsia" w:ascii="仿宋_GB2312" w:hAnsi="仿宋_GB2312" w:eastAsia="仿宋_GB2312" w:cs="仿宋_GB2312"/>
          <w:kern w:val="2"/>
          <w:sz w:val="32"/>
          <w:szCs w:val="32"/>
          <w:lang w:val="en-US" w:eastAsia="zh-CN"/>
        </w:rPr>
        <w:t>25</w:t>
      </w:r>
      <w:r>
        <w:rPr>
          <w:rFonts w:hint="eastAsia" w:ascii="仿宋_GB2312" w:hAnsi="仿宋_GB2312" w:eastAsia="仿宋_GB2312" w:cs="仿宋_GB2312"/>
          <w:kern w:val="2"/>
          <w:sz w:val="32"/>
          <w:szCs w:val="32"/>
        </w:rPr>
        <w:t>日</w:t>
      </w:r>
    </w:p>
    <w:sectPr>
      <w:pgSz w:w="11906" w:h="16838"/>
      <w:pgMar w:top="1701" w:right="1474"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NiMGFmNDhjOGNlNzhhMmI3ZmU3NzRiNTFiYzRlMGYifQ=="/>
  </w:docVars>
  <w:rsids>
    <w:rsidRoot w:val="00E73009"/>
    <w:rsid w:val="00015E82"/>
    <w:rsid w:val="00213024"/>
    <w:rsid w:val="00417091"/>
    <w:rsid w:val="0047227D"/>
    <w:rsid w:val="00E5779C"/>
    <w:rsid w:val="00E73009"/>
    <w:rsid w:val="01BB7833"/>
    <w:rsid w:val="029F047C"/>
    <w:rsid w:val="036508C8"/>
    <w:rsid w:val="07442078"/>
    <w:rsid w:val="080261BB"/>
    <w:rsid w:val="0861255B"/>
    <w:rsid w:val="0CDD313D"/>
    <w:rsid w:val="14D0319D"/>
    <w:rsid w:val="1501139B"/>
    <w:rsid w:val="171417F2"/>
    <w:rsid w:val="18644328"/>
    <w:rsid w:val="1BC56DE8"/>
    <w:rsid w:val="1BF27E9D"/>
    <w:rsid w:val="21640A0F"/>
    <w:rsid w:val="26902716"/>
    <w:rsid w:val="29665F6E"/>
    <w:rsid w:val="2CA35285"/>
    <w:rsid w:val="2DB61EA3"/>
    <w:rsid w:val="2EF834BE"/>
    <w:rsid w:val="34314BB7"/>
    <w:rsid w:val="36BF3346"/>
    <w:rsid w:val="3F6820A1"/>
    <w:rsid w:val="43BD01BF"/>
    <w:rsid w:val="480B4331"/>
    <w:rsid w:val="49CE3A4B"/>
    <w:rsid w:val="4DCE7F49"/>
    <w:rsid w:val="4EDE412D"/>
    <w:rsid w:val="53514ABF"/>
    <w:rsid w:val="55920F27"/>
    <w:rsid w:val="5BDC37A3"/>
    <w:rsid w:val="5D6A0811"/>
    <w:rsid w:val="62F46C33"/>
    <w:rsid w:val="63A23524"/>
    <w:rsid w:val="68B743EF"/>
    <w:rsid w:val="70BF4B91"/>
    <w:rsid w:val="71E536A2"/>
    <w:rsid w:val="79370DE7"/>
    <w:rsid w:val="79890C31"/>
    <w:rsid w:val="7A102B3D"/>
    <w:rsid w:val="7B0B38A6"/>
    <w:rsid w:val="7C134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4"/>
    <w:basedOn w:val="1"/>
    <w:next w:val="1"/>
    <w:qFormat/>
    <w:uiPriority w:val="0"/>
    <w:pPr>
      <w:keepNext/>
      <w:keepLines/>
      <w:spacing w:after="120" w:line="360" w:lineRule="auto"/>
      <w:ind w:firstLine="480" w:firstLineChars="200"/>
      <w:jc w:val="left"/>
      <w:outlineLvl w:val="3"/>
    </w:pPr>
    <w:rPr>
      <w:bCs/>
      <w:sz w:val="24"/>
      <w:szCs w:val="28"/>
      <w:u w:val="single"/>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next w:val="5"/>
    <w:unhideWhenUsed/>
    <w:qFormat/>
    <w:uiPriority w:val="0"/>
    <w:pPr>
      <w:spacing w:after="120" w:line="276" w:lineRule="auto"/>
      <w:ind w:left="420" w:leftChars="200"/>
    </w:pPr>
    <w:rPr>
      <w:sz w:val="22"/>
    </w:rPr>
  </w:style>
  <w:style w:type="paragraph" w:styleId="5">
    <w:name w:val="Body Text First Indent 2"/>
    <w:basedOn w:val="4"/>
    <w:next w:val="1"/>
    <w:unhideWhenUsed/>
    <w:qFormat/>
    <w:uiPriority w:val="99"/>
    <w:pPr>
      <w:ind w:firstLine="420"/>
    </w:p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paragraph" w:customStyle="1" w:styleId="11">
    <w:name w:val="S报告正文"/>
    <w:basedOn w:val="1"/>
    <w:qFormat/>
    <w:uiPriority w:val="0"/>
    <w:pPr>
      <w:adjustRightInd w:val="0"/>
      <w:snapToGrid w:val="0"/>
      <w:spacing w:line="480" w:lineRule="exact"/>
      <w:ind w:firstLine="510"/>
      <w:jc w:val="left"/>
    </w:pPr>
    <w:rPr>
      <w:sz w:val="24"/>
    </w:rPr>
  </w:style>
  <w:style w:type="paragraph" w:customStyle="1" w:styleId="12">
    <w:name w:val="+正文"/>
    <w:basedOn w:val="1"/>
    <w:qFormat/>
    <w:uiPriority w:val="39"/>
    <w:pPr>
      <w:spacing w:line="360" w:lineRule="auto"/>
      <w:ind w:firstLine="200" w:firstLineChars="200"/>
    </w:pPr>
    <w:rPr>
      <w:sz w:val="28"/>
      <w:szCs w:val="28"/>
    </w:rPr>
  </w:style>
  <w:style w:type="character" w:customStyle="1" w:styleId="13">
    <w:name w:val="C正文 字符"/>
    <w:link w:val="14"/>
    <w:qFormat/>
    <w:uiPriority w:val="0"/>
  </w:style>
  <w:style w:type="paragraph" w:customStyle="1" w:styleId="14">
    <w:name w:val="C正文"/>
    <w:basedOn w:val="1"/>
    <w:link w:val="13"/>
    <w:qFormat/>
    <w:uiPriority w:val="0"/>
    <w:pPr>
      <w:wordWrap w:val="0"/>
      <w:ind w:firstLine="480"/>
    </w:pPr>
  </w:style>
  <w:style w:type="character" w:customStyle="1" w:styleId="15">
    <w:name w:val="页眉 字符"/>
    <w:basedOn w:val="10"/>
    <w:link w:val="7"/>
    <w:qFormat/>
    <w:uiPriority w:val="0"/>
    <w:rPr>
      <w:kern w:val="2"/>
      <w:sz w:val="18"/>
      <w:szCs w:val="18"/>
    </w:rPr>
  </w:style>
  <w:style w:type="character" w:customStyle="1" w:styleId="16">
    <w:name w:val="页脚 字符"/>
    <w:basedOn w:val="10"/>
    <w:link w:val="6"/>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2021</Words>
  <Characters>2097</Characters>
  <Lines>102</Lines>
  <Paragraphs>101</Paragraphs>
  <TotalTime>28</TotalTime>
  <ScaleCrop>false</ScaleCrop>
  <LinksUpToDate>false</LinksUpToDate>
  <CharactersWithSpaces>2099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2025-04-08T06:04:00Z</dcterms:created>
  <dc:creator>Administrator</dc:creator>
  <cp:lastModifiedBy>;-):-*乐</cp:lastModifiedBy>
  <cp:lastPrinted>2025-04-25T03:31:05Z</cp:lastPrinted>
  <dcterms:modified xsi:type="dcterms:W3CDTF">2025-04-25T03:46:13Z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17F9194F4AA94D90B1470C7D3BEF2583_13</vt:lpwstr>
  </property>
  <property fmtid="{D5CDD505-2E9C-101B-9397-08002B2CF9AE}" pid="4" name="KSOTemplateDocerSaveRecord">
    <vt:lpwstr>eyJoZGlkIjoiNWFhZGNiY2RjOTFmYzE5NTJhZDVmNzJkYzM5NjFlYTIiLCJ1c2VySWQiOiI3NTIwOTc2MzkifQ==</vt:lpwstr>
  </property>
</Properties>
</file>