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A185">
      <w:pPr>
        <w:pStyle w:val="8"/>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rPr>
      </w:pPr>
    </w:p>
    <w:p w14:paraId="5711901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楷体_GB2312" w:hAnsi="仿宋" w:eastAsia="楷体_GB2312"/>
          <w:b/>
          <w:sz w:val="30"/>
          <w:szCs w:val="30"/>
        </w:rPr>
      </w:pPr>
    </w:p>
    <w:p w14:paraId="1F06C0D1">
      <w:pPr>
        <w:keepNext w:val="0"/>
        <w:keepLines w:val="0"/>
        <w:pageBreakBefore w:val="0"/>
        <w:widowControl w:val="0"/>
        <w:kinsoku/>
        <w:wordWrap/>
        <w:overflowPunct/>
        <w:topLinePunct w:val="0"/>
        <w:autoSpaceDE/>
        <w:autoSpaceDN/>
        <w:bidi w:val="0"/>
        <w:adjustRightInd/>
        <w:snapToGrid w:val="0"/>
        <w:spacing w:before="313" w:beforeLines="100" w:line="580" w:lineRule="exact"/>
        <w:ind w:firstLine="4819" w:firstLineChars="1600"/>
        <w:textAlignment w:val="auto"/>
        <w:rPr>
          <w:rFonts w:ascii="楷体_GB2312" w:hAnsi="仿宋" w:eastAsia="楷体_GB2312"/>
          <w:b/>
          <w:sz w:val="30"/>
          <w:szCs w:val="30"/>
        </w:rPr>
      </w:pPr>
      <w:r>
        <w:rPr>
          <w:rFonts w:hint="eastAsia" w:ascii="楷体_GB2312" w:hAnsi="仿宋" w:eastAsia="楷体_GB2312"/>
          <w:b/>
          <w:sz w:val="30"/>
          <w:szCs w:val="30"/>
        </w:rPr>
        <w:t xml:space="preserve"> </w:t>
      </w:r>
      <w:r>
        <w:rPr>
          <w:rFonts w:hint="eastAsia" w:ascii="楷体_GB2312" w:hAnsi="仿宋" w:eastAsia="楷体_GB2312"/>
          <w:b/>
          <w:sz w:val="30"/>
          <w:szCs w:val="30"/>
          <w:lang w:val="en-US" w:eastAsia="zh-CN"/>
        </w:rPr>
        <w:t xml:space="preserve">   </w:t>
      </w:r>
      <w:r>
        <w:rPr>
          <w:rFonts w:hint="eastAsia" w:ascii="楷体_GB2312" w:hAnsi="仿宋" w:eastAsia="楷体_GB2312"/>
          <w:b/>
          <w:sz w:val="30"/>
          <w:szCs w:val="30"/>
        </w:rPr>
        <w:t>岳</w:t>
      </w:r>
      <w:r>
        <w:rPr>
          <w:rFonts w:hint="eastAsia" w:ascii="楷体_GB2312" w:hAnsi="仿宋" w:eastAsia="楷体_GB2312"/>
          <w:b/>
          <w:sz w:val="30"/>
          <w:szCs w:val="30"/>
          <w:lang w:val="en-US" w:eastAsia="zh-CN"/>
        </w:rPr>
        <w:t>云</w:t>
      </w:r>
      <w:r>
        <w:rPr>
          <w:rFonts w:hint="eastAsia" w:ascii="楷体_GB2312" w:hAnsi="仿宋" w:eastAsia="楷体_GB2312"/>
          <w:b/>
          <w:sz w:val="30"/>
          <w:szCs w:val="30"/>
        </w:rPr>
        <w:t>环评〔202</w:t>
      </w:r>
      <w:r>
        <w:rPr>
          <w:rFonts w:hint="eastAsia" w:ascii="楷体_GB2312" w:hAnsi="仿宋" w:eastAsia="楷体_GB2312"/>
          <w:b/>
          <w:sz w:val="30"/>
          <w:szCs w:val="30"/>
          <w:lang w:val="en-US" w:eastAsia="zh-CN"/>
        </w:rPr>
        <w:t>5</w:t>
      </w:r>
      <w:r>
        <w:rPr>
          <w:rFonts w:hint="eastAsia" w:ascii="楷体_GB2312" w:hAnsi="仿宋" w:eastAsia="楷体_GB2312"/>
          <w:b/>
          <w:sz w:val="30"/>
          <w:szCs w:val="30"/>
        </w:rPr>
        <w:t>〕</w:t>
      </w:r>
      <w:r>
        <w:rPr>
          <w:rFonts w:hint="eastAsia" w:ascii="楷体_GB2312" w:hAnsi="仿宋" w:eastAsia="楷体_GB2312"/>
          <w:b/>
          <w:sz w:val="30"/>
          <w:szCs w:val="30"/>
          <w:lang w:val="en-US" w:eastAsia="zh-CN"/>
        </w:rPr>
        <w:t>7</w:t>
      </w:r>
      <w:r>
        <w:rPr>
          <w:rFonts w:hint="eastAsia" w:ascii="楷体_GB2312" w:hAnsi="仿宋" w:eastAsia="楷体_GB2312" w:cs="Times New Roman"/>
          <w:b/>
          <w:sz w:val="30"/>
          <w:szCs w:val="30"/>
        </w:rPr>
        <w:t>号</w:t>
      </w:r>
    </w:p>
    <w:p w14:paraId="0EFC9943">
      <w:pPr>
        <w:pStyle w:val="5"/>
        <w:spacing w:before="0" w:after="156" w:afterLines="50" w:line="580" w:lineRule="exact"/>
        <w:jc w:val="center"/>
        <w:rPr>
          <w:rFonts w:hint="eastAsia" w:ascii="方正小标宋简体" w:hAnsi="方正小标宋简体" w:eastAsia="方正小标宋简体" w:cs="方正小标宋简体"/>
          <w:b w:val="0"/>
          <w:bCs/>
          <w:spacing w:val="-11"/>
        </w:rPr>
      </w:pPr>
      <w:r>
        <w:rPr>
          <w:rFonts w:hint="eastAsia" w:ascii="方正小标宋简体" w:hAnsi="方正小标宋简体" w:eastAsia="方正小标宋简体" w:cs="方正小标宋简体"/>
          <w:b w:val="0"/>
          <w:bCs/>
          <w:spacing w:val="-11"/>
        </w:rPr>
        <w:t>关于</w:t>
      </w:r>
      <w:r>
        <w:rPr>
          <w:rFonts w:hint="eastAsia" w:ascii="方正小标宋简体" w:hAnsi="方正小标宋简体" w:eastAsia="方正小标宋简体" w:cs="方正小标宋简体"/>
          <w:b w:val="0"/>
          <w:bCs/>
          <w:spacing w:val="-11"/>
          <w:lang w:val="en-US" w:eastAsia="zh-CN"/>
        </w:rPr>
        <w:t>信泽瑞（岳阳）新材料有限公司新材料生产线迁建项目（年产硬脂酸钙乳液1万吨、抗氧剂1万吨、分散剂0.5万吨、橡胶、塑料复合助剂1万吨）</w:t>
      </w:r>
      <w:r>
        <w:rPr>
          <w:rFonts w:hint="eastAsia" w:ascii="方正小标宋简体" w:hAnsi="方正小标宋简体" w:eastAsia="方正小标宋简体" w:cs="方正小标宋简体"/>
          <w:b w:val="0"/>
          <w:bCs/>
          <w:spacing w:val="-11"/>
        </w:rPr>
        <w:t>建设项目环境影响报告表的批复</w:t>
      </w:r>
    </w:p>
    <w:p w14:paraId="7698278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信泽瑞（岳阳）新材料有限公司：</w:t>
      </w:r>
    </w:p>
    <w:p w14:paraId="20F59D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你公司关于申请</w:t>
      </w:r>
      <w:r>
        <w:rPr>
          <w:rFonts w:hint="eastAsia" w:ascii="仿宋_GB2312" w:hAnsi="仿宋_GB2312" w:eastAsia="仿宋_GB2312" w:cs="仿宋_GB2312"/>
          <w:sz w:val="32"/>
          <w:szCs w:val="32"/>
          <w:lang w:val="en-US" w:eastAsia="zh-CN"/>
        </w:rPr>
        <w:t>信泽瑞（岳阳）新材料有限公司新材料生产线迁建项目（年产硬脂酸钙乳液1万吨、抗氧剂1万吨、分散剂0.5万吨、橡胶、塑料复合助剂1万吨）</w:t>
      </w:r>
      <w:r>
        <w:rPr>
          <w:rFonts w:hint="eastAsia" w:ascii="仿宋_GB2312" w:hAnsi="仿宋_GB2312" w:eastAsia="仿宋_GB2312" w:cs="仿宋_GB2312"/>
          <w:sz w:val="32"/>
          <w:szCs w:val="32"/>
        </w:rPr>
        <w:t>建设项目环境影响报告表批复的有关函件及附件收悉。经研究，批复如下:</w:t>
      </w:r>
    </w:p>
    <w:p w14:paraId="69AFCC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信泽瑞（岳阳）新材料有限公司新材料生产线迁建项目（年产硬脂酸钙乳液1万吨、抗氧剂1万吨、分散剂0.5万吨、橡胶、塑料复合助剂1万吨）</w:t>
      </w:r>
      <w:r>
        <w:rPr>
          <w:rFonts w:hint="eastAsia" w:ascii="仿宋_GB2312" w:hAnsi="仿宋_GB2312" w:eastAsia="仿宋_GB2312" w:cs="仿宋_GB2312"/>
          <w:sz w:val="32"/>
          <w:szCs w:val="32"/>
        </w:rPr>
        <w:t>建设项目位于岳阳市云溪区</w:t>
      </w:r>
      <w:r>
        <w:rPr>
          <w:rFonts w:hint="eastAsia" w:ascii="仿宋_GB2312" w:hAnsi="仿宋_GB2312" w:eastAsia="仿宋_GB2312" w:cs="仿宋_GB2312"/>
          <w:sz w:val="32"/>
          <w:szCs w:val="32"/>
          <w:lang w:eastAsia="zh-CN"/>
        </w:rPr>
        <w:t>云溪街道</w:t>
      </w:r>
      <w:r>
        <w:rPr>
          <w:rFonts w:hint="eastAsia" w:ascii="仿宋_GB2312" w:hAnsi="仿宋_GB2312" w:eastAsia="仿宋_GB2312" w:cs="仿宋_GB2312"/>
          <w:sz w:val="32"/>
          <w:szCs w:val="32"/>
        </w:rPr>
        <w:t>岳阳华阳工程有限公司容器项目部工房（原岳化机械厂涵洞处），项目总投资</w:t>
      </w:r>
      <w:r>
        <w:rPr>
          <w:rFonts w:hint="eastAsia" w:ascii="仿宋_GB2312" w:hAnsi="仿宋_GB2312" w:eastAsia="仿宋_GB2312" w:cs="仿宋_GB2312"/>
          <w:sz w:val="32"/>
          <w:szCs w:val="32"/>
          <w:lang w:val="en-US" w:eastAsia="zh-CN"/>
        </w:rPr>
        <w:t>785.97</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0.45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项目已基本完成设备安装，现补办环评手续，</w:t>
      </w:r>
      <w:r>
        <w:rPr>
          <w:rFonts w:hint="eastAsia" w:ascii="仿宋_GB2312" w:hAnsi="仿宋_GB2312" w:eastAsia="仿宋_GB2312" w:cs="仿宋_GB2312"/>
          <w:sz w:val="32"/>
          <w:szCs w:val="32"/>
        </w:rPr>
        <w:t>其主要建设内容为：新建1条</w:t>
      </w:r>
      <w:r>
        <w:rPr>
          <w:rFonts w:hint="eastAsia" w:ascii="仿宋_GB2312" w:hAnsi="仿宋_GB2312" w:eastAsia="仿宋_GB2312" w:cs="仿宋_GB2312"/>
          <w:sz w:val="32"/>
          <w:szCs w:val="32"/>
          <w:lang w:val="en-US" w:eastAsia="zh-CN"/>
        </w:rPr>
        <w:t>新材料生产线</w:t>
      </w:r>
      <w:r>
        <w:rPr>
          <w:rFonts w:hint="eastAsia" w:ascii="仿宋_GB2312" w:hAnsi="仿宋_GB2312" w:eastAsia="仿宋_GB2312" w:cs="仿宋_GB2312"/>
          <w:sz w:val="32"/>
          <w:szCs w:val="32"/>
        </w:rPr>
        <w:t>，并配套建设相应主体工程、储运工程、公用工程、环保工程等。项目主要原辅材料为：硬脂酸钙粉</w:t>
      </w:r>
      <w:r>
        <w:rPr>
          <w:rFonts w:hint="eastAsia" w:ascii="仿宋_GB2312" w:hAnsi="仿宋_GB2312" w:eastAsia="仿宋_GB2312" w:cs="仿宋_GB2312"/>
          <w:sz w:val="32"/>
          <w:szCs w:val="32"/>
          <w:lang w:eastAsia="zh-CN"/>
        </w:rPr>
        <w:t>、乳化剂、抗氧剂（A、</w:t>
      </w:r>
      <w:r>
        <w:rPr>
          <w:rFonts w:hint="eastAsia" w:ascii="仿宋_GB2312" w:hAnsi="仿宋_GB2312" w:eastAsia="仿宋_GB2312" w:cs="仿宋_GB2312"/>
          <w:sz w:val="32"/>
          <w:szCs w:val="32"/>
          <w:lang w:val="en-US" w:eastAsia="zh-CN"/>
        </w:rPr>
        <w:t>B、C</w:t>
      </w:r>
      <w:r>
        <w:rPr>
          <w:rFonts w:hint="eastAsia" w:ascii="仿宋_GB2312" w:hAnsi="仿宋_GB2312" w:eastAsia="仿宋_GB2312" w:cs="仿宋_GB2312"/>
          <w:sz w:val="32"/>
          <w:szCs w:val="32"/>
          <w:lang w:eastAsia="zh-CN"/>
        </w:rPr>
        <w:t>）、辅料、水</w:t>
      </w:r>
      <w:r>
        <w:rPr>
          <w:rFonts w:hint="eastAsia" w:ascii="仿宋_GB2312" w:hAnsi="仿宋_GB2312" w:eastAsia="仿宋_GB2312" w:cs="仿宋_GB2312"/>
          <w:sz w:val="32"/>
          <w:szCs w:val="32"/>
        </w:rPr>
        <w:t>等。主要产品及规模为：</w:t>
      </w:r>
      <w:r>
        <w:rPr>
          <w:rFonts w:hint="eastAsia" w:ascii="仿宋_GB2312" w:hAnsi="仿宋_GB2312" w:eastAsia="仿宋_GB2312" w:cs="仿宋_GB2312"/>
          <w:sz w:val="32"/>
          <w:szCs w:val="32"/>
          <w:lang w:val="en-US" w:eastAsia="zh-CN"/>
        </w:rPr>
        <w:t>年产硬脂酸钙乳液1万吨、抗氧剂1万吨、分散剂0.5万吨、橡胶、塑料复合助剂1万吨</w:t>
      </w:r>
      <w:r>
        <w:rPr>
          <w:rFonts w:hint="eastAsia" w:ascii="仿宋_GB2312" w:hAnsi="仿宋_GB2312" w:eastAsia="仿宋_GB2312" w:cs="仿宋_GB2312"/>
          <w:sz w:val="32"/>
          <w:szCs w:val="32"/>
        </w:rPr>
        <w:t>。</w:t>
      </w:r>
    </w:p>
    <w:p w14:paraId="357C1C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根据湖南京帝环保科技研究院有限公司编制的建设项目环境影响报告表基本内容、结论及专家评审意见，我局原则同意你司环境影响报告表中环境影响评价结论和环境保护对策措施。</w:t>
      </w:r>
    </w:p>
    <w:p w14:paraId="375013B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二、项目在施工及营运期间须全面落实专家及环境影响报告表中提出的各项污染物防治措施，切实加强环境管理，确保污防设施长期稳定运行、污染物达标排放，并着重做好以下几点工作。</w:t>
      </w:r>
    </w:p>
    <w:p w14:paraId="4CC2416A">
      <w:pPr>
        <w:spacing w:line="580" w:lineRule="exact"/>
        <w:ind w:firstLine="640" w:firstLineChars="200"/>
        <w:rPr>
          <w:rFonts w:ascii="仿宋_GB2312" w:hAnsi="仿宋_GB2312" w:eastAsia="仿宋_GB2312" w:cs="仿宋_GB2312"/>
          <w:sz w:val="32"/>
          <w:szCs w:val="32"/>
          <w:highlight w:val="red"/>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highlight w:val="none"/>
        </w:rPr>
        <w:t>.加强废气污染防治工作。</w:t>
      </w:r>
      <w:r>
        <w:rPr>
          <w:rFonts w:hint="eastAsia" w:ascii="仿宋_GB2312" w:hAnsi="仿宋_GB2312" w:eastAsia="仿宋_GB2312" w:cs="仿宋_GB2312"/>
          <w:sz w:val="32"/>
          <w:szCs w:val="32"/>
        </w:rPr>
        <w:t>严格控制项目废气污染，规范建设各废气集排气系统和处理设施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加强日常监管，规范操作，物料密闭投加、输送，采取有效措施提高废气收集率，定期对生产设备、管路管线、机泵等设施进行巡检和维护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防止跑冒滴漏，最大限度减少生产过程中的废气无组织排放。</w:t>
      </w:r>
      <w:r>
        <w:rPr>
          <w:rFonts w:hint="eastAsia" w:ascii="仿宋_GB2312" w:hAnsi="仿宋_GB2312" w:eastAsia="仿宋_GB2312" w:cs="仿宋_GB2312"/>
          <w:sz w:val="32"/>
          <w:szCs w:val="32"/>
          <w:highlight w:val="none"/>
        </w:rPr>
        <w:t>项目运营期产生的废气主要为投料、灌装挥发</w:t>
      </w:r>
      <w:r>
        <w:rPr>
          <w:rFonts w:hint="eastAsia" w:ascii="仿宋_GB2312" w:hAnsi="仿宋_GB2312" w:eastAsia="仿宋_GB2312" w:cs="仿宋_GB2312"/>
          <w:sz w:val="32"/>
          <w:szCs w:val="32"/>
          <w:highlight w:val="none"/>
          <w:lang w:eastAsia="zh-CN"/>
        </w:rPr>
        <w:t>和固态物料投料粉尘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投料、灌装过程中的挥发性有机物经活性炭吸附装置处理后，通过15m高排气筒（DA001）达标排放；</w:t>
      </w:r>
      <w:r>
        <w:rPr>
          <w:rFonts w:hint="eastAsia" w:ascii="仿宋_GB2312" w:hAnsi="仿宋_GB2312" w:eastAsia="仿宋_GB2312" w:cs="仿宋_GB2312"/>
          <w:sz w:val="32"/>
          <w:szCs w:val="32"/>
          <w:highlight w:val="none"/>
          <w:lang w:eastAsia="zh-CN"/>
        </w:rPr>
        <w:t>投料</w:t>
      </w:r>
      <w:r>
        <w:rPr>
          <w:rFonts w:hint="eastAsia" w:ascii="仿宋_GB2312" w:hAnsi="仿宋_GB2312" w:eastAsia="仿宋_GB2312" w:cs="仿宋_GB2312"/>
          <w:sz w:val="32"/>
          <w:szCs w:val="32"/>
          <w:highlight w:val="none"/>
          <w:lang w:val="en-US" w:eastAsia="zh-CN"/>
        </w:rPr>
        <w:t>粉尘经布袋除尘器收集处理后，与活性炭吸附装置共用排气筒（DA001）达标排放。项目有组织废气颗粒物、非甲烷总烃执行《大气污染物综合排放标准》(GB16297-1996)表2排放限值。厂界颗粒物和非甲烷总烃执行《大气污染物综合排放标准》(GB16297-1996)表2无组织排放监控浓度限值。厂区内非甲烷总烃无组织排放监控点浓度执行《挥发性有机物无组织排放控制标准》（GB37822-2019）附录A表A.1排放浓度限值要求。</w:t>
      </w:r>
    </w:p>
    <w:p w14:paraId="3069AD9F">
      <w:pPr>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.加强废水污染防治工作。</w:t>
      </w:r>
      <w:r>
        <w:rPr>
          <w:rFonts w:hint="eastAsia" w:ascii="仿宋_GB2312" w:hAnsi="仿宋_GB2312" w:eastAsia="仿宋_GB2312" w:cs="仿宋_GB2312"/>
          <w:color w:val="auto"/>
          <w:sz w:val="32"/>
          <w:szCs w:val="32"/>
        </w:rPr>
        <w:t>严格按照“雨污分流、清污分流、污污分流”的原则建设厂区雨污水管网。</w:t>
      </w:r>
      <w:r>
        <w:rPr>
          <w:rFonts w:hint="eastAsia" w:ascii="仿宋_GB2312" w:hAnsi="仿宋_GB2312" w:eastAsia="仿宋_GB2312" w:cs="仿宋_GB2312"/>
          <w:kern w:val="0"/>
          <w:sz w:val="32"/>
          <w:szCs w:val="32"/>
        </w:rPr>
        <w:t>项目运营期产生的废</w:t>
      </w:r>
      <w:r>
        <w:rPr>
          <w:rFonts w:hint="eastAsia" w:ascii="仿宋_GB2312" w:hAnsi="仿宋_GB2312" w:eastAsia="仿宋_GB2312" w:cs="仿宋_GB2312"/>
          <w:kern w:val="0"/>
          <w:sz w:val="32"/>
          <w:szCs w:val="32"/>
          <w:lang w:eastAsia="zh-CN"/>
        </w:rPr>
        <w:t>水</w:t>
      </w:r>
      <w:r>
        <w:rPr>
          <w:rFonts w:hint="eastAsia" w:ascii="仿宋_GB2312" w:hAnsi="仿宋_GB2312" w:eastAsia="仿宋_GB2312" w:cs="仿宋_GB2312"/>
          <w:kern w:val="0"/>
          <w:sz w:val="32"/>
          <w:szCs w:val="32"/>
        </w:rPr>
        <w:t>主要为</w:t>
      </w:r>
      <w:r>
        <w:rPr>
          <w:rFonts w:hint="eastAsia" w:ascii="仿宋_GB2312" w:hAnsi="仿宋_GB2312" w:eastAsia="仿宋_GB2312" w:cs="仿宋_GB2312"/>
          <w:kern w:val="0"/>
          <w:sz w:val="32"/>
          <w:szCs w:val="32"/>
          <w:lang w:eastAsia="zh-CN"/>
        </w:rPr>
        <w:t>电机冷却水</w:t>
      </w:r>
      <w:r>
        <w:rPr>
          <w:rFonts w:hint="eastAsia" w:ascii="仿宋_GB2312" w:hAnsi="仿宋_GB2312" w:eastAsia="仿宋_GB2312" w:cs="仿宋_GB2312"/>
          <w:kern w:val="0"/>
          <w:sz w:val="32"/>
          <w:szCs w:val="32"/>
        </w:rPr>
        <w:t>和设备清洗废水</w:t>
      </w:r>
      <w:r>
        <w:rPr>
          <w:rFonts w:hint="eastAsia" w:ascii="仿宋_GB2312" w:hAnsi="仿宋_GB2312" w:eastAsia="仿宋_GB2312" w:cs="仿宋_GB2312"/>
          <w:kern w:val="0"/>
          <w:sz w:val="32"/>
          <w:szCs w:val="32"/>
          <w:lang w:eastAsia="zh-CN"/>
        </w:rPr>
        <w:t>。电机冷却水</w:t>
      </w:r>
      <w:r>
        <w:rPr>
          <w:rFonts w:hint="eastAsia" w:ascii="仿宋_GB2312" w:hAnsi="仿宋_GB2312" w:eastAsia="仿宋_GB2312" w:cs="仿宋_GB2312"/>
          <w:kern w:val="0"/>
          <w:sz w:val="32"/>
          <w:szCs w:val="32"/>
          <w:lang w:val="en-US" w:eastAsia="zh-CN"/>
        </w:rPr>
        <w:t>收集后循环利用，不外排；设备清洗废水由专门收集桶收集，全部回用于生产进入产品，不外排。</w:t>
      </w:r>
    </w:p>
    <w:p w14:paraId="5504D286">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.加强固体废物污染防治工作。</w:t>
      </w:r>
      <w:r>
        <w:rPr>
          <w:rFonts w:hint="eastAsia" w:ascii="仿宋_GB2312" w:hAnsi="仿宋_GB2312" w:eastAsia="仿宋_GB2312" w:cs="仿宋_GB2312"/>
          <w:color w:val="auto"/>
          <w:sz w:val="32"/>
          <w:szCs w:val="32"/>
          <w:highlight w:val="none"/>
        </w:rPr>
        <w:t>按“无害化、减量化、资源化”原则，做好</w:t>
      </w:r>
      <w:r>
        <w:rPr>
          <w:rFonts w:hint="eastAsia" w:ascii="仿宋_GB2312" w:hAnsi="仿宋_GB2312" w:eastAsia="仿宋_GB2312" w:cs="仿宋_GB2312"/>
          <w:color w:val="auto"/>
          <w:kern w:val="2"/>
          <w:sz w:val="32"/>
          <w:szCs w:val="32"/>
          <w:highlight w:val="none"/>
          <w:lang w:val="en-US" w:eastAsia="zh-CN"/>
        </w:rPr>
        <w:t>固体废物分类收集和处置利用工作，并建立健全固体废物管理台账。</w:t>
      </w:r>
      <w:r>
        <w:rPr>
          <w:rFonts w:hint="eastAsia" w:ascii="仿宋_GB2312" w:hAnsi="仿宋_GB2312" w:eastAsia="仿宋_GB2312" w:cs="仿宋_GB2312"/>
          <w:sz w:val="32"/>
          <w:szCs w:val="32"/>
        </w:rPr>
        <w:t>废润滑油桶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废润滑油</w:t>
      </w:r>
      <w:r>
        <w:rPr>
          <w:rFonts w:hint="eastAsia" w:ascii="仿宋_GB2312" w:hAnsi="仿宋_GB2312" w:eastAsia="仿宋_GB2312" w:cs="仿宋_GB2312"/>
          <w:sz w:val="32"/>
          <w:szCs w:val="32"/>
          <w:lang w:eastAsia="zh-CN"/>
        </w:rPr>
        <w:t>和废活性炭</w:t>
      </w:r>
      <w:r>
        <w:rPr>
          <w:rFonts w:hint="eastAsia" w:ascii="仿宋_GB2312" w:hAnsi="仿宋_GB2312" w:eastAsia="仿宋_GB2312" w:cs="仿宋_GB2312"/>
          <w:sz w:val="32"/>
          <w:szCs w:val="32"/>
        </w:rPr>
        <w:t>等危险废物严格按《危险废物贮存污染控制标准》（GB18597-2023）要求合规储存、建立健全管理台账，交由有资质单位安全处置，并执行转移联单制度。</w:t>
      </w:r>
      <w:r>
        <w:rPr>
          <w:rFonts w:hint="eastAsia" w:ascii="仿宋_GB2312" w:hAnsi="仿宋_GB2312" w:eastAsia="仿宋_GB2312" w:cs="仿宋_GB2312"/>
          <w:sz w:val="32"/>
          <w:szCs w:val="32"/>
          <w:lang w:eastAsia="zh-CN"/>
        </w:rPr>
        <w:t>废原料包装袋、包装桶</w:t>
      </w:r>
      <w:r>
        <w:rPr>
          <w:rFonts w:hint="eastAsia" w:ascii="仿宋_GB2312" w:hAnsi="仿宋_GB2312" w:eastAsia="仿宋_GB2312" w:cs="仿宋_GB2312"/>
          <w:color w:val="auto"/>
          <w:kern w:val="2"/>
          <w:sz w:val="32"/>
          <w:szCs w:val="32"/>
          <w:highlight w:val="none"/>
          <w:lang w:val="en-US" w:eastAsia="zh-CN"/>
        </w:rPr>
        <w:t>等</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lang w:val="en-US" w:eastAsia="zh-CN"/>
        </w:rPr>
        <w:t>工业</w:t>
      </w:r>
      <w:r>
        <w:rPr>
          <w:rFonts w:hint="eastAsia" w:ascii="仿宋_GB2312" w:hAnsi="仿宋_GB2312" w:eastAsia="仿宋_GB2312" w:cs="仿宋_GB2312"/>
          <w:color w:val="auto"/>
          <w:sz w:val="32"/>
          <w:szCs w:val="32"/>
          <w:lang w:eastAsia="zh-CN"/>
        </w:rPr>
        <w:t>固体废物</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sz w:val="32"/>
          <w:szCs w:val="32"/>
          <w:lang w:eastAsia="zh-CN"/>
        </w:rPr>
        <w:t>按《一般工业固体废物贮存和填埋污染控制标准》（GB18599-2020）安全贮存、</w:t>
      </w:r>
      <w:r>
        <w:rPr>
          <w:rFonts w:hint="eastAsia" w:ascii="仿宋_GB2312" w:hAnsi="仿宋_GB2312" w:eastAsia="仿宋_GB2312" w:cs="仿宋_GB2312"/>
          <w:sz w:val="32"/>
          <w:szCs w:val="32"/>
          <w:lang w:val="en-US" w:eastAsia="zh-CN"/>
        </w:rPr>
        <w:t>妥善处置。</w:t>
      </w:r>
      <w:r>
        <w:rPr>
          <w:rFonts w:hint="eastAsia" w:ascii="仿宋_GB2312" w:hAnsi="仿宋_GB2312" w:eastAsia="仿宋_GB2312" w:cs="仿宋_GB2312"/>
          <w:sz w:val="32"/>
          <w:szCs w:val="32"/>
        </w:rPr>
        <w:t>生活垃圾集中收集后由环卫部门定期清运、合理处置</w:t>
      </w:r>
      <w:r>
        <w:rPr>
          <w:rFonts w:hint="eastAsia" w:ascii="仿宋_GB2312" w:hAnsi="仿宋_GB2312" w:eastAsia="仿宋_GB2312" w:cs="仿宋_GB2312"/>
          <w:sz w:val="32"/>
          <w:szCs w:val="32"/>
          <w:lang w:eastAsia="zh-CN"/>
        </w:rPr>
        <w:t>。</w:t>
      </w:r>
    </w:p>
    <w:p w14:paraId="7AC75F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.加强噪声污染防治工作。</w:t>
      </w:r>
      <w:r>
        <w:rPr>
          <w:rFonts w:hint="eastAsia" w:ascii="仿宋_GB2312" w:hAnsi="仿宋_GB2312" w:eastAsia="仿宋_GB2312" w:cs="仿宋_GB2312"/>
          <w:sz w:val="32"/>
          <w:szCs w:val="32"/>
        </w:rPr>
        <w:t>通过采用低噪声设备、合理布局，并采取隔声、减震等措施，确保厂界噪声达到《工业企业厂界环境噪声排放标准》(GB12348-2008)中的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类标准要求。</w:t>
      </w:r>
    </w:p>
    <w:p w14:paraId="2355FEBA">
      <w:pPr>
        <w:pStyle w:val="15"/>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.加强地下水污染防治工作。</w:t>
      </w:r>
      <w:r>
        <w:rPr>
          <w:rFonts w:hint="eastAsia" w:ascii="仿宋_GB2312" w:hAnsi="仿宋_GB2312" w:eastAsia="仿宋_GB2312" w:cs="仿宋_GB2312"/>
          <w:sz w:val="32"/>
          <w:szCs w:val="32"/>
        </w:rPr>
        <w:t>按照“源头控制、分区防治、污染监控、应急响应”相结合的原则，制定并实施源头控制措施、分区防渗措施、污染监控计划、风险事故应急响应方案等，从源头上减少污染物的产生，防止环境污染。同时，严格按照国家相关规范要求，对工艺、设备及防渗构建物采取相应措施，防止和降低污染物的跑、冒、滴、漏；根据分区防渗要求做好重点防腐防渗工作，强化管理，避免由于泄漏污染地下水。</w:t>
      </w:r>
    </w:p>
    <w:p w14:paraId="6D7AC71F">
      <w:pPr>
        <w:spacing w:line="58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.加强营运期风险防范。</w:t>
      </w:r>
      <w:r>
        <w:rPr>
          <w:rFonts w:hint="eastAsia" w:ascii="仿宋_GB2312" w:hAnsi="仿宋_GB2312" w:eastAsia="仿宋_GB2312" w:cs="仿宋_GB2312"/>
          <w:sz w:val="32"/>
          <w:szCs w:val="32"/>
        </w:rPr>
        <w:t>严格落实报告表提出的各项环境风险防范措施；按照《突发环境事件应急管理办法》</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突发环境事件应急预案，储备风险救助物资并组织演练，杜绝环境风险事故发生。</w:t>
      </w:r>
    </w:p>
    <w:p w14:paraId="735E5438">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.加强环境管理。</w:t>
      </w:r>
      <w:r>
        <w:rPr>
          <w:rFonts w:hint="eastAsia" w:ascii="仿宋_GB2312" w:hAnsi="仿宋_GB2312" w:eastAsia="仿宋_GB2312" w:cs="仿宋_GB2312"/>
          <w:sz w:val="32"/>
          <w:szCs w:val="32"/>
        </w:rPr>
        <w:t>建立健全污染防治设施运行管理台帐，设专门的环保机构及环保人员，确保各项污染防治设施的正常运行，各类污染物稳定达标排放。</w:t>
      </w:r>
    </w:p>
    <w:p w14:paraId="7FE1E35B">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本项目污染物排放总量控制指标为：VOCs：0.022t/a。</w:t>
      </w:r>
    </w:p>
    <w:p w14:paraId="2DE5163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三、你公司自收到本批复后，应在15个工作日内将批复及批准的环评报告文本送湖南京帝环保科技研究院有限公司。 </w:t>
      </w:r>
    </w:p>
    <w:p w14:paraId="5673369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pacing w:val="0"/>
          <w:position w:val="0"/>
          <w:sz w:val="32"/>
          <w:szCs w:val="32"/>
        </w:rPr>
        <w:t>岳阳市生态环境保护综合行政执法支队云溪大队</w:t>
      </w:r>
      <w:r>
        <w:rPr>
          <w:rFonts w:hint="eastAsia" w:ascii="仿宋_GB2312" w:hAnsi="仿宋_GB2312" w:eastAsia="仿宋_GB2312" w:cs="仿宋_GB2312"/>
          <w:sz w:val="32"/>
          <w:szCs w:val="32"/>
        </w:rPr>
        <w:t>负责该项目的日常环境监管。</w:t>
      </w:r>
    </w:p>
    <w:p w14:paraId="1F2A8236">
      <w:pPr>
        <w:pStyle w:val="11"/>
        <w:widowControl/>
        <w:spacing w:beforeAutospacing="0" w:afterAutospacing="0" w:line="580" w:lineRule="exact"/>
        <w:rPr>
          <w:rFonts w:ascii="仿宋_GB2312" w:hAnsi="仿宋_GB2312" w:eastAsia="仿宋_GB2312" w:cs="仿宋_GB2312"/>
          <w:kern w:val="2"/>
          <w:sz w:val="32"/>
          <w:szCs w:val="32"/>
        </w:rPr>
      </w:pPr>
    </w:p>
    <w:p w14:paraId="4FA1BCA0">
      <w:pPr>
        <w:pStyle w:val="11"/>
        <w:widowControl/>
        <w:spacing w:beforeAutospacing="0" w:afterAutospacing="0" w:line="580" w:lineRule="exact"/>
        <w:rPr>
          <w:rFonts w:ascii="仿宋_GB2312" w:hAnsi="仿宋_GB2312" w:eastAsia="仿宋_GB2312" w:cs="仿宋_GB2312"/>
          <w:kern w:val="2"/>
          <w:sz w:val="32"/>
          <w:szCs w:val="32"/>
        </w:rPr>
      </w:pPr>
    </w:p>
    <w:p w14:paraId="103F13A4">
      <w:pPr>
        <w:pStyle w:val="11"/>
        <w:widowControl/>
        <w:spacing w:beforeAutospacing="0" w:afterAutospacing="0" w:line="580" w:lineRule="exact"/>
        <w:ind w:firstLine="5120" w:firstLineChars="16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岳阳市生态环境局</w:t>
      </w:r>
    </w:p>
    <w:p w14:paraId="1D41A845">
      <w:pPr>
        <w:pStyle w:val="11"/>
        <w:widowControl/>
        <w:spacing w:beforeAutospacing="0" w:afterAutospacing="0" w:line="580" w:lineRule="exact"/>
        <w:ind w:firstLine="5120" w:firstLineChars="16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19</w:t>
      </w:r>
      <w:r>
        <w:rPr>
          <w:rFonts w:hint="eastAsia" w:ascii="仿宋_GB2312" w:hAnsi="仿宋_GB2312" w:eastAsia="仿宋_GB2312" w:cs="仿宋_GB2312"/>
          <w:kern w:val="2"/>
          <w:sz w:val="32"/>
          <w:szCs w:val="32"/>
        </w:rPr>
        <w:t>日</w:t>
      </w:r>
      <w:bookmarkStart w:id="0" w:name="_GoBack"/>
      <w:bookmarkEnd w:id="0"/>
    </w:p>
    <w:sectPr>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MGFmNDhjOGNlNzhhMmI3ZmU3NzRiNTFiYzRlMGYifQ=="/>
  </w:docVars>
  <w:rsids>
    <w:rsidRoot w:val="00E73009"/>
    <w:rsid w:val="00015E82"/>
    <w:rsid w:val="00213024"/>
    <w:rsid w:val="00417091"/>
    <w:rsid w:val="0047227D"/>
    <w:rsid w:val="00E5779C"/>
    <w:rsid w:val="00E73009"/>
    <w:rsid w:val="01073C6F"/>
    <w:rsid w:val="01BB7833"/>
    <w:rsid w:val="029F047C"/>
    <w:rsid w:val="036508C8"/>
    <w:rsid w:val="04C122BF"/>
    <w:rsid w:val="05C03260"/>
    <w:rsid w:val="07442078"/>
    <w:rsid w:val="07484EB7"/>
    <w:rsid w:val="07EA1094"/>
    <w:rsid w:val="080261BB"/>
    <w:rsid w:val="0861255B"/>
    <w:rsid w:val="0CDD313D"/>
    <w:rsid w:val="14D0319D"/>
    <w:rsid w:val="1501139B"/>
    <w:rsid w:val="171417F2"/>
    <w:rsid w:val="18644328"/>
    <w:rsid w:val="1BF27E9D"/>
    <w:rsid w:val="29665F6E"/>
    <w:rsid w:val="2BFD5BA7"/>
    <w:rsid w:val="2CA35285"/>
    <w:rsid w:val="2EF834BE"/>
    <w:rsid w:val="31F34178"/>
    <w:rsid w:val="34314BB7"/>
    <w:rsid w:val="36BF3346"/>
    <w:rsid w:val="38B31D07"/>
    <w:rsid w:val="3A0839DD"/>
    <w:rsid w:val="3E122BEC"/>
    <w:rsid w:val="3E926B16"/>
    <w:rsid w:val="3F6820A1"/>
    <w:rsid w:val="43BD01BF"/>
    <w:rsid w:val="49CE3A4B"/>
    <w:rsid w:val="4DCE7F49"/>
    <w:rsid w:val="4EDE412D"/>
    <w:rsid w:val="53514ABF"/>
    <w:rsid w:val="55920F27"/>
    <w:rsid w:val="57C24D16"/>
    <w:rsid w:val="57E604E3"/>
    <w:rsid w:val="5BDC37A3"/>
    <w:rsid w:val="5D244923"/>
    <w:rsid w:val="5D6A0811"/>
    <w:rsid w:val="626B347F"/>
    <w:rsid w:val="63A23524"/>
    <w:rsid w:val="66522FDF"/>
    <w:rsid w:val="68B743EF"/>
    <w:rsid w:val="70BF4B91"/>
    <w:rsid w:val="71E536A2"/>
    <w:rsid w:val="74ED6696"/>
    <w:rsid w:val="75637742"/>
    <w:rsid w:val="7699546F"/>
    <w:rsid w:val="79890C31"/>
    <w:rsid w:val="7A01182B"/>
    <w:rsid w:val="7A102B3D"/>
    <w:rsid w:val="7B0B38A6"/>
    <w:rsid w:val="7C13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4"/>
    <w:basedOn w:val="1"/>
    <w:next w:val="1"/>
    <w:qFormat/>
    <w:uiPriority w:val="0"/>
    <w:pPr>
      <w:keepNext/>
      <w:keepLines/>
      <w:spacing w:after="120" w:line="360" w:lineRule="auto"/>
      <w:ind w:firstLine="480" w:firstLineChars="200"/>
      <w:jc w:val="left"/>
      <w:outlineLvl w:val="3"/>
    </w:pPr>
    <w:rPr>
      <w:bCs/>
      <w:sz w:val="24"/>
      <w:szCs w:val="28"/>
      <w:u w:val="single"/>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overflowPunct w:val="0"/>
      <w:autoSpaceDE w:val="0"/>
      <w:autoSpaceDN w:val="0"/>
      <w:adjustRightInd w:val="0"/>
      <w:spacing w:line="360" w:lineRule="auto"/>
      <w:ind w:firstLine="539"/>
      <w:textAlignment w:val="baseline"/>
    </w:pPr>
    <w:rPr>
      <w:kern w:val="0"/>
      <w:sz w:val="28"/>
      <w:szCs w:val="20"/>
    </w:rPr>
  </w:style>
  <w:style w:type="paragraph" w:styleId="3">
    <w:name w:val="Body Text"/>
    <w:basedOn w:val="1"/>
    <w:next w:val="4"/>
    <w:qFormat/>
    <w:uiPriority w:val="0"/>
    <w:pPr>
      <w:spacing w:after="120" w:afterLines="0"/>
    </w:pPr>
  </w:style>
  <w:style w:type="paragraph" w:customStyle="1" w:styleId="4">
    <w:name w:val="xl27"/>
    <w:basedOn w:val="1"/>
    <w:qFormat/>
    <w:uiPriority w:val="0"/>
    <w:pPr>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styleId="7">
    <w:name w:val="Body Text Indent"/>
    <w:basedOn w:val="1"/>
    <w:next w:val="8"/>
    <w:unhideWhenUsed/>
    <w:qFormat/>
    <w:uiPriority w:val="0"/>
    <w:pPr>
      <w:spacing w:after="120" w:line="276" w:lineRule="auto"/>
      <w:ind w:left="420" w:leftChars="200"/>
    </w:pPr>
    <w:rPr>
      <w:sz w:val="22"/>
    </w:rPr>
  </w:style>
  <w:style w:type="paragraph" w:styleId="8">
    <w:name w:val="Body Text First Indent 2"/>
    <w:basedOn w:val="7"/>
    <w:next w:val="1"/>
    <w:unhideWhenUsed/>
    <w:qFormat/>
    <w:uiPriority w:val="99"/>
    <w:pPr>
      <w:ind w:firstLine="420"/>
    </w:p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customStyle="1" w:styleId="14">
    <w:name w:val="S报告正文"/>
    <w:basedOn w:val="1"/>
    <w:qFormat/>
    <w:uiPriority w:val="0"/>
    <w:pPr>
      <w:adjustRightInd w:val="0"/>
      <w:snapToGrid w:val="0"/>
      <w:spacing w:line="480" w:lineRule="exact"/>
      <w:ind w:firstLine="510"/>
      <w:jc w:val="left"/>
    </w:pPr>
    <w:rPr>
      <w:sz w:val="24"/>
    </w:rPr>
  </w:style>
  <w:style w:type="paragraph" w:customStyle="1" w:styleId="15">
    <w:name w:val="+正文"/>
    <w:basedOn w:val="1"/>
    <w:qFormat/>
    <w:uiPriority w:val="39"/>
    <w:pPr>
      <w:spacing w:line="360" w:lineRule="auto"/>
      <w:ind w:firstLine="200" w:firstLineChars="200"/>
    </w:pPr>
    <w:rPr>
      <w:sz w:val="28"/>
      <w:szCs w:val="28"/>
    </w:rPr>
  </w:style>
  <w:style w:type="character" w:customStyle="1" w:styleId="16">
    <w:name w:val="C正文 字符"/>
    <w:link w:val="17"/>
    <w:qFormat/>
    <w:uiPriority w:val="0"/>
  </w:style>
  <w:style w:type="paragraph" w:customStyle="1" w:styleId="17">
    <w:name w:val="C正文"/>
    <w:basedOn w:val="1"/>
    <w:link w:val="16"/>
    <w:qFormat/>
    <w:uiPriority w:val="0"/>
    <w:pPr>
      <w:wordWrap w:val="0"/>
      <w:ind w:firstLine="480"/>
    </w:pPr>
  </w:style>
  <w:style w:type="character" w:customStyle="1" w:styleId="18">
    <w:name w:val="页眉 字符"/>
    <w:basedOn w:val="13"/>
    <w:link w:val="10"/>
    <w:qFormat/>
    <w:uiPriority w:val="0"/>
    <w:rPr>
      <w:kern w:val="2"/>
      <w:sz w:val="18"/>
      <w:szCs w:val="18"/>
    </w:rPr>
  </w:style>
  <w:style w:type="character" w:customStyle="1" w:styleId="19">
    <w:name w:val="页脚 字符"/>
    <w:basedOn w:val="13"/>
    <w:link w:val="9"/>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2036</Characters>
  <Lines>102</Lines>
  <Paragraphs>101</Paragraphs>
  <TotalTime>2</TotalTime>
  <ScaleCrop>false</ScaleCrop>
  <LinksUpToDate>false</LinksUpToDate>
  <CharactersWithSpaces>2045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2025-04-08T06:04:00Z</dcterms:created>
  <dc:creator>Administrator</dc:creator>
  <cp:lastModifiedBy>;-):-*乐</cp:lastModifiedBy>
  <cp:lastPrinted>2025-06-18T07:52:06Z</cp:lastPrinted>
  <dcterms:modified xsi:type="dcterms:W3CDTF">2025-06-18T07:52:39Z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DAAF361066BD4376B32A0FC07E0BA2CB_13</vt:lpwstr>
  </property>
  <property fmtid="{D5CDD505-2E9C-101B-9397-08002B2CF9AE}" pid="4" name="KSOTemplateDocerSaveRecord">
    <vt:lpwstr>eyJoZGlkIjoiNWFhZGNiY2RjOTFmYzE5NTJhZDVmNzJkYzM5NjFlYTIiLCJ1c2VySWQiOiI3NTIwOTc2MzkifQ==</vt:lpwstr>
  </property>
</Properties>
</file>