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9AC" w:rsidRDefault="00E76516">
      <w:pPr>
        <w:spacing w:line="560" w:lineRule="exact"/>
        <w:jc w:val="center"/>
        <w:rPr>
          <w:rFonts w:ascii="黑体" w:eastAsia="黑体" w:hAnsi="黑体" w:cs="黑体"/>
          <w:bCs/>
          <w:sz w:val="28"/>
          <w:szCs w:val="28"/>
        </w:rPr>
      </w:pPr>
      <w:r>
        <w:rPr>
          <w:rFonts w:ascii="黑体" w:eastAsia="黑体" w:hAnsi="黑体" w:cs="黑体" w:hint="eastAsia"/>
          <w:bCs/>
          <w:sz w:val="28"/>
          <w:szCs w:val="28"/>
        </w:rPr>
        <w:t>部门整体绩效自评报告</w:t>
      </w:r>
    </w:p>
    <w:p w:rsidR="002C39AC" w:rsidRDefault="002C39AC">
      <w:pPr>
        <w:spacing w:line="560" w:lineRule="exact"/>
        <w:rPr>
          <w:rFonts w:eastAsia="仿宋_GB2312"/>
          <w:sz w:val="32"/>
          <w:szCs w:val="32"/>
        </w:rPr>
      </w:pPr>
    </w:p>
    <w:p w:rsidR="002C39AC" w:rsidRDefault="00E76516">
      <w:pPr>
        <w:spacing w:line="560" w:lineRule="exact"/>
        <w:ind w:firstLineChars="200" w:firstLine="480"/>
        <w:rPr>
          <w:rFonts w:ascii="黑体" w:eastAsia="黑体" w:hAnsi="黑体" w:cs="黑体"/>
          <w:bCs/>
          <w:sz w:val="24"/>
        </w:rPr>
      </w:pPr>
      <w:r>
        <w:rPr>
          <w:rFonts w:ascii="黑体" w:eastAsia="黑体" w:hAnsi="黑体" w:cs="黑体" w:hint="eastAsia"/>
          <w:bCs/>
          <w:sz w:val="24"/>
        </w:rPr>
        <w:t>一、部门（单位）概况</w:t>
      </w:r>
    </w:p>
    <w:p w:rsidR="002C39AC" w:rsidRDefault="00E76516">
      <w:pPr>
        <w:spacing w:line="560" w:lineRule="exact"/>
        <w:ind w:firstLineChars="200" w:firstLine="480"/>
        <w:rPr>
          <w:rFonts w:ascii="宋体" w:hAnsi="宋体" w:cs="宋体"/>
          <w:bCs/>
          <w:sz w:val="24"/>
        </w:rPr>
      </w:pPr>
      <w:r>
        <w:rPr>
          <w:rFonts w:ascii="宋体" w:hAnsi="宋体" w:cs="宋体" w:hint="eastAsia"/>
          <w:bCs/>
          <w:sz w:val="24"/>
        </w:rPr>
        <w:t>岳阳市云溪区就业服务中心，是区</w:t>
      </w:r>
      <w:proofErr w:type="gramStart"/>
      <w:r>
        <w:rPr>
          <w:rFonts w:ascii="宋体" w:hAnsi="宋体" w:cs="宋体" w:hint="eastAsia"/>
          <w:bCs/>
          <w:sz w:val="24"/>
        </w:rPr>
        <w:t>人社局</w:t>
      </w:r>
      <w:proofErr w:type="gramEnd"/>
      <w:r>
        <w:rPr>
          <w:rFonts w:ascii="宋体" w:hAnsi="宋体" w:cs="宋体" w:hint="eastAsia"/>
          <w:bCs/>
          <w:sz w:val="24"/>
        </w:rPr>
        <w:t>所属公益类事业机构，为副科级。主要职责是:负责贯彻实施失业保险政策，负责失业保险基金征缴、支付运营和管理工作，负责失业基金征缴稽核;开展区域内劳动力市场管理工作，规范劳动力市场用工和就业行为，收集用工供求信息，组织开展职业指导、职业介绍和劳务输出工作;负责辖区内失业人员登记和就业失业登记证的发放;负责下岗职工和失业人员转岗技能培训、农村转移就业人员和城镇待业人员的职业培训和创业培训;负责技术工种人员职业技能鉴定和培训;负责建立健全社区就业创业服务平台，指导开展就业创业服务工作;负责宣传就业创业优惠政策，负责落实各项就业创业优惠政策，开发公益性就业岗位，安置就业困难人员就业。根据上述主要职责，区劳动就业服务中心设办公室、失业保险股、城镇社区就业服务股、创业</w:t>
      </w:r>
      <w:proofErr w:type="gramStart"/>
      <w:r>
        <w:rPr>
          <w:rFonts w:ascii="宋体" w:hAnsi="宋体" w:cs="宋体" w:hint="eastAsia"/>
          <w:bCs/>
          <w:sz w:val="24"/>
        </w:rPr>
        <w:t>服务股</w:t>
      </w:r>
      <w:proofErr w:type="gramEnd"/>
      <w:r>
        <w:rPr>
          <w:rFonts w:ascii="宋体" w:hAnsi="宋体" w:cs="宋体" w:hint="eastAsia"/>
          <w:bCs/>
          <w:sz w:val="24"/>
        </w:rPr>
        <w:t>(创业贷款担保中心)、劳动力市场管理股(职业介绍中心)、职业培训和职业技能</w:t>
      </w:r>
      <w:proofErr w:type="gramStart"/>
      <w:r>
        <w:rPr>
          <w:rFonts w:ascii="宋体" w:hAnsi="宋体" w:cs="宋体" w:hint="eastAsia"/>
          <w:bCs/>
          <w:sz w:val="24"/>
        </w:rPr>
        <w:t>鉴定股</w:t>
      </w:r>
      <w:proofErr w:type="gramEnd"/>
      <w:r>
        <w:rPr>
          <w:rFonts w:ascii="宋体" w:hAnsi="宋体" w:cs="宋体" w:hint="eastAsia"/>
          <w:bCs/>
          <w:sz w:val="24"/>
        </w:rPr>
        <w:t>(培训中心)等6个内设机构。核定全额拨款事业编制12名，设主任1名，副主任2名，内设机构负责人(副股级)6名。</w:t>
      </w:r>
    </w:p>
    <w:p w:rsidR="002C39AC" w:rsidRDefault="00E76516">
      <w:pPr>
        <w:spacing w:line="560" w:lineRule="exact"/>
        <w:ind w:firstLineChars="200" w:firstLine="480"/>
        <w:rPr>
          <w:rFonts w:ascii="黑体" w:eastAsia="黑体" w:hAnsi="黑体" w:cs="黑体"/>
          <w:bCs/>
          <w:sz w:val="24"/>
        </w:rPr>
      </w:pPr>
      <w:r>
        <w:rPr>
          <w:rFonts w:ascii="黑体" w:eastAsia="黑体" w:hAnsi="黑体" w:cs="黑体" w:hint="eastAsia"/>
          <w:bCs/>
          <w:sz w:val="24"/>
        </w:rPr>
        <w:t>二、一般公共预算支出情况</w:t>
      </w:r>
    </w:p>
    <w:p w:rsidR="002C39AC" w:rsidRDefault="00E76516">
      <w:pPr>
        <w:spacing w:line="560" w:lineRule="exact"/>
        <w:ind w:firstLineChars="200" w:firstLine="480"/>
        <w:rPr>
          <w:rFonts w:ascii="宋体" w:hAnsi="宋体" w:cs="宋体"/>
          <w:bCs/>
          <w:sz w:val="24"/>
        </w:rPr>
      </w:pPr>
      <w:r>
        <w:rPr>
          <w:rFonts w:ascii="宋体" w:hAnsi="宋体" w:cs="宋体" w:hint="eastAsia"/>
          <w:bCs/>
          <w:sz w:val="24"/>
        </w:rPr>
        <w:t>（一）基本支出情况</w:t>
      </w:r>
    </w:p>
    <w:p w:rsidR="002C39AC" w:rsidRDefault="00E76516" w:rsidP="00E76516">
      <w:pPr>
        <w:pStyle w:val="2"/>
        <w:spacing w:line="560" w:lineRule="exact"/>
        <w:ind w:firstLine="480"/>
      </w:pPr>
      <w:r>
        <w:rPr>
          <w:rFonts w:ascii="宋体" w:hAnsi="宋体" w:cs="宋体" w:hint="eastAsia"/>
          <w:bCs/>
          <w:sz w:val="24"/>
        </w:rPr>
        <w:t>2024年度基本支出177.52万元，其中人员经费155.12万元，</w:t>
      </w:r>
      <w:proofErr w:type="gramStart"/>
      <w:r>
        <w:rPr>
          <w:rFonts w:ascii="宋体" w:hAnsi="宋体" w:cs="宋体" w:hint="eastAsia"/>
          <w:bCs/>
          <w:sz w:val="24"/>
        </w:rPr>
        <w:t>占基本</w:t>
      </w:r>
      <w:proofErr w:type="gramEnd"/>
      <w:r>
        <w:rPr>
          <w:rFonts w:ascii="宋体" w:hAnsi="宋体" w:cs="宋体" w:hint="eastAsia"/>
          <w:bCs/>
          <w:sz w:val="24"/>
        </w:rPr>
        <w:t>支出的87.38%；公用经费22.40万元，</w:t>
      </w:r>
      <w:proofErr w:type="gramStart"/>
      <w:r>
        <w:rPr>
          <w:rFonts w:ascii="宋体" w:hAnsi="宋体" w:cs="宋体" w:hint="eastAsia"/>
          <w:bCs/>
          <w:sz w:val="24"/>
        </w:rPr>
        <w:t>占基本</w:t>
      </w:r>
      <w:proofErr w:type="gramEnd"/>
      <w:r>
        <w:rPr>
          <w:rFonts w:ascii="宋体" w:hAnsi="宋体" w:cs="宋体" w:hint="eastAsia"/>
          <w:bCs/>
          <w:sz w:val="24"/>
        </w:rPr>
        <w:t>支出的12.62%。</w:t>
      </w:r>
    </w:p>
    <w:p w:rsidR="002C39AC" w:rsidRDefault="00E76516">
      <w:pPr>
        <w:numPr>
          <w:ilvl w:val="0"/>
          <w:numId w:val="1"/>
        </w:numPr>
        <w:spacing w:line="560" w:lineRule="exact"/>
        <w:ind w:firstLineChars="200" w:firstLine="480"/>
        <w:rPr>
          <w:rFonts w:ascii="宋体" w:hAnsi="宋体" w:cs="宋体"/>
          <w:bCs/>
          <w:sz w:val="24"/>
        </w:rPr>
      </w:pPr>
      <w:r>
        <w:rPr>
          <w:rFonts w:ascii="宋体" w:hAnsi="宋体" w:cs="宋体" w:hint="eastAsia"/>
          <w:bCs/>
          <w:sz w:val="24"/>
        </w:rPr>
        <w:t>项目支出情况</w:t>
      </w:r>
    </w:p>
    <w:p w:rsidR="002C39AC" w:rsidRDefault="00E76516" w:rsidP="00E76516">
      <w:pPr>
        <w:pStyle w:val="2"/>
        <w:spacing w:line="560" w:lineRule="exact"/>
        <w:ind w:firstLine="480"/>
        <w:rPr>
          <w:rFonts w:ascii="宋体" w:hAnsi="宋体" w:cs="宋体"/>
          <w:bCs/>
          <w:sz w:val="24"/>
        </w:rPr>
      </w:pPr>
      <w:r>
        <w:rPr>
          <w:rFonts w:ascii="宋体" w:hAnsi="宋体" w:cs="宋体" w:hint="eastAsia"/>
          <w:bCs/>
          <w:sz w:val="24"/>
        </w:rPr>
        <w:t>2024年度项目支出937.78万元，为就业专项资金支出，其中</w:t>
      </w:r>
      <w:r w:rsidR="00C433D8">
        <w:rPr>
          <w:rFonts w:ascii="宋体" w:hAnsi="宋体" w:cs="宋体" w:hint="eastAsia"/>
          <w:bCs/>
          <w:sz w:val="24"/>
        </w:rPr>
        <w:t>招聘会支出24.22万元，社保补贴、扶贫支出1.31万元，</w:t>
      </w:r>
      <w:r>
        <w:rPr>
          <w:rFonts w:ascii="宋体" w:hAnsi="宋体" w:cs="宋体" w:hint="eastAsia"/>
          <w:bCs/>
          <w:sz w:val="24"/>
        </w:rPr>
        <w:t>就业见习补贴支出</w:t>
      </w:r>
      <w:r w:rsidR="00C433D8">
        <w:rPr>
          <w:rFonts w:ascii="宋体" w:hAnsi="宋体" w:cs="宋体" w:hint="eastAsia"/>
          <w:bCs/>
          <w:sz w:val="24"/>
        </w:rPr>
        <w:t>60.82</w:t>
      </w:r>
      <w:r>
        <w:rPr>
          <w:rFonts w:ascii="宋体" w:hAnsi="宋体" w:cs="宋体" w:hint="eastAsia"/>
          <w:bCs/>
          <w:sz w:val="24"/>
        </w:rPr>
        <w:t>万元、就业创业服务补助</w:t>
      </w:r>
      <w:r w:rsidR="00C433D8">
        <w:rPr>
          <w:rFonts w:ascii="宋体" w:hAnsi="宋体" w:cs="宋体" w:hint="eastAsia"/>
          <w:bCs/>
          <w:sz w:val="24"/>
        </w:rPr>
        <w:t>311.69</w:t>
      </w:r>
      <w:r>
        <w:rPr>
          <w:rFonts w:ascii="宋体" w:hAnsi="宋体" w:cs="宋体" w:hint="eastAsia"/>
          <w:bCs/>
          <w:sz w:val="24"/>
        </w:rPr>
        <w:t>万元、公益性岗位补贴</w:t>
      </w:r>
      <w:r w:rsidR="00C433D8">
        <w:rPr>
          <w:rFonts w:ascii="宋体" w:hAnsi="宋体" w:cs="宋体" w:hint="eastAsia"/>
          <w:bCs/>
          <w:sz w:val="24"/>
        </w:rPr>
        <w:t>409.26</w:t>
      </w:r>
      <w:r>
        <w:rPr>
          <w:rFonts w:ascii="宋体" w:hAnsi="宋体" w:cs="宋体" w:hint="eastAsia"/>
          <w:bCs/>
          <w:sz w:val="24"/>
        </w:rPr>
        <w:t>万元、社会保险补贴</w:t>
      </w:r>
      <w:r w:rsidR="00C433D8">
        <w:rPr>
          <w:rFonts w:ascii="宋体" w:hAnsi="宋体" w:cs="宋体" w:hint="eastAsia"/>
          <w:bCs/>
          <w:sz w:val="24"/>
        </w:rPr>
        <w:lastRenderedPageBreak/>
        <w:t>59.18</w:t>
      </w:r>
      <w:r>
        <w:rPr>
          <w:rFonts w:ascii="宋体" w:hAnsi="宋体" w:cs="宋体" w:hint="eastAsia"/>
          <w:bCs/>
          <w:sz w:val="24"/>
        </w:rPr>
        <w:t>万元、职业技能培训补贴</w:t>
      </w:r>
      <w:r w:rsidR="00C433D8">
        <w:rPr>
          <w:rFonts w:ascii="宋体" w:hAnsi="宋体" w:cs="宋体" w:hint="eastAsia"/>
          <w:bCs/>
          <w:sz w:val="24"/>
        </w:rPr>
        <w:t>37.98</w:t>
      </w:r>
      <w:r>
        <w:rPr>
          <w:rFonts w:ascii="宋体" w:hAnsi="宋体" w:cs="宋体" w:hint="eastAsia"/>
          <w:bCs/>
          <w:sz w:val="24"/>
        </w:rPr>
        <w:t>万元、创业培训补贴</w:t>
      </w:r>
      <w:r w:rsidR="00C433D8">
        <w:rPr>
          <w:rFonts w:ascii="宋体" w:hAnsi="宋体" w:cs="宋体" w:hint="eastAsia"/>
          <w:bCs/>
          <w:sz w:val="24"/>
        </w:rPr>
        <w:t>9.28</w:t>
      </w:r>
      <w:r>
        <w:rPr>
          <w:rFonts w:ascii="宋体" w:hAnsi="宋体" w:cs="宋体" w:hint="eastAsia"/>
          <w:bCs/>
          <w:sz w:val="24"/>
        </w:rPr>
        <w:t>万元、</w:t>
      </w:r>
      <w:r w:rsidR="00C433D8">
        <w:rPr>
          <w:rFonts w:ascii="宋体" w:hAnsi="宋体" w:cs="宋体" w:hint="eastAsia"/>
          <w:bCs/>
          <w:sz w:val="24"/>
        </w:rPr>
        <w:t>就业帮扶车间补贴支出9万元，高技能人才培养补贴6.4万元，</w:t>
      </w:r>
      <w:r>
        <w:rPr>
          <w:rFonts w:ascii="宋体" w:hAnsi="宋体" w:cs="宋体" w:hint="eastAsia"/>
          <w:bCs/>
          <w:sz w:val="24"/>
        </w:rPr>
        <w:t>其他支出</w:t>
      </w:r>
      <w:r w:rsidR="00C433D8">
        <w:rPr>
          <w:rFonts w:ascii="宋体" w:hAnsi="宋体" w:cs="宋体" w:hint="eastAsia"/>
          <w:bCs/>
          <w:sz w:val="24"/>
        </w:rPr>
        <w:t>8.64</w:t>
      </w:r>
      <w:r>
        <w:rPr>
          <w:rFonts w:ascii="宋体" w:hAnsi="宋体" w:cs="宋体" w:hint="eastAsia"/>
          <w:bCs/>
          <w:sz w:val="24"/>
        </w:rPr>
        <w:t>万元。</w:t>
      </w:r>
    </w:p>
    <w:p w:rsidR="002C39AC" w:rsidRDefault="00E76516">
      <w:pPr>
        <w:numPr>
          <w:ilvl w:val="0"/>
          <w:numId w:val="2"/>
        </w:numPr>
        <w:spacing w:line="560" w:lineRule="exact"/>
        <w:ind w:firstLineChars="200" w:firstLine="480"/>
        <w:rPr>
          <w:rFonts w:ascii="黑体" w:eastAsia="黑体" w:hAnsi="黑体" w:cs="黑体"/>
          <w:bCs/>
          <w:sz w:val="24"/>
        </w:rPr>
      </w:pPr>
      <w:r>
        <w:rPr>
          <w:rFonts w:ascii="黑体" w:eastAsia="黑体" w:hAnsi="黑体" w:cs="黑体" w:hint="eastAsia"/>
          <w:bCs/>
          <w:sz w:val="24"/>
        </w:rPr>
        <w:t>政府性基金预算支出情况</w:t>
      </w:r>
    </w:p>
    <w:p w:rsidR="002C39AC" w:rsidRDefault="00E76516" w:rsidP="00E76516">
      <w:pPr>
        <w:pStyle w:val="2"/>
        <w:ind w:firstLine="480"/>
        <w:rPr>
          <w:rFonts w:ascii="宋体" w:hAnsi="宋体" w:cs="宋体"/>
          <w:bCs/>
          <w:sz w:val="24"/>
        </w:rPr>
      </w:pPr>
      <w:r>
        <w:rPr>
          <w:rFonts w:ascii="宋体" w:hAnsi="宋体" w:cs="宋体" w:hint="eastAsia"/>
          <w:bCs/>
          <w:sz w:val="24"/>
        </w:rPr>
        <w:t>无</w:t>
      </w:r>
    </w:p>
    <w:p w:rsidR="002C39AC" w:rsidRDefault="00E76516">
      <w:pPr>
        <w:numPr>
          <w:ilvl w:val="0"/>
          <w:numId w:val="2"/>
        </w:numPr>
        <w:spacing w:line="560" w:lineRule="exact"/>
        <w:ind w:firstLineChars="200" w:firstLine="480"/>
        <w:rPr>
          <w:rFonts w:ascii="黑体" w:eastAsia="黑体" w:hAnsi="黑体" w:cs="黑体"/>
          <w:bCs/>
          <w:sz w:val="24"/>
        </w:rPr>
      </w:pPr>
      <w:r>
        <w:rPr>
          <w:rFonts w:ascii="黑体" w:eastAsia="黑体" w:hAnsi="黑体" w:cs="黑体" w:hint="eastAsia"/>
          <w:bCs/>
          <w:sz w:val="24"/>
        </w:rPr>
        <w:t>国有资本经营预算支出情况</w:t>
      </w:r>
    </w:p>
    <w:p w:rsidR="002C39AC" w:rsidRDefault="00E76516" w:rsidP="00E76516">
      <w:pPr>
        <w:pStyle w:val="2"/>
        <w:ind w:firstLine="480"/>
        <w:rPr>
          <w:rFonts w:ascii="宋体" w:hAnsi="宋体" w:cs="宋体"/>
          <w:bCs/>
          <w:sz w:val="24"/>
        </w:rPr>
      </w:pPr>
      <w:r>
        <w:rPr>
          <w:rFonts w:ascii="宋体" w:hAnsi="宋体" w:cs="宋体" w:hint="eastAsia"/>
          <w:bCs/>
          <w:sz w:val="24"/>
        </w:rPr>
        <w:t>无</w:t>
      </w:r>
    </w:p>
    <w:p w:rsidR="002C39AC" w:rsidRDefault="00E76516">
      <w:pPr>
        <w:numPr>
          <w:ilvl w:val="0"/>
          <w:numId w:val="2"/>
        </w:numPr>
        <w:spacing w:line="560" w:lineRule="exact"/>
        <w:ind w:firstLineChars="200" w:firstLine="480"/>
        <w:rPr>
          <w:rFonts w:ascii="黑体" w:eastAsia="黑体" w:hAnsi="黑体" w:cs="黑体"/>
          <w:bCs/>
          <w:sz w:val="24"/>
        </w:rPr>
      </w:pPr>
      <w:r>
        <w:rPr>
          <w:rFonts w:ascii="黑体" w:eastAsia="黑体" w:hAnsi="黑体" w:cs="黑体" w:hint="eastAsia"/>
          <w:bCs/>
          <w:sz w:val="24"/>
        </w:rPr>
        <w:t>社会保险基金预算支出情况</w:t>
      </w:r>
    </w:p>
    <w:p w:rsidR="002C39AC" w:rsidRDefault="00E76516" w:rsidP="00E76516">
      <w:pPr>
        <w:pStyle w:val="2"/>
        <w:ind w:firstLine="480"/>
        <w:rPr>
          <w:rFonts w:ascii="宋体" w:hAnsi="宋体" w:cs="宋体"/>
          <w:bCs/>
          <w:sz w:val="24"/>
        </w:rPr>
      </w:pPr>
      <w:r>
        <w:rPr>
          <w:rFonts w:ascii="宋体" w:hAnsi="宋体" w:cs="宋体" w:hint="eastAsia"/>
          <w:bCs/>
          <w:sz w:val="24"/>
        </w:rPr>
        <w:t>无</w:t>
      </w:r>
    </w:p>
    <w:p w:rsidR="002C39AC" w:rsidRDefault="00E76516">
      <w:pPr>
        <w:spacing w:line="560" w:lineRule="exact"/>
        <w:ind w:firstLineChars="200" w:firstLine="480"/>
        <w:rPr>
          <w:rFonts w:ascii="黑体" w:eastAsia="黑体" w:hAnsi="黑体" w:cs="黑体"/>
          <w:bCs/>
          <w:sz w:val="24"/>
        </w:rPr>
      </w:pPr>
      <w:r>
        <w:rPr>
          <w:rFonts w:ascii="黑体" w:eastAsia="黑体" w:hAnsi="黑体" w:cs="黑体" w:hint="eastAsia"/>
          <w:bCs/>
          <w:sz w:val="24"/>
        </w:rPr>
        <w:t>六、部门整体支出绩效情况</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2024年以来，云溪区就业服务中心始终以习近平新时代中国特色社会主义思想为指导，在上级主管部门的精心指导下，各项工作稳步推进，较好的完成了各项指标任务，现将2024年度就业创业工作总结如下：</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一、2024年主要指标完成情况</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1.重点指标完成情况。完成新增城镇就业5771人，完成任务数5600人的</w:t>
      </w:r>
      <w:r w:rsidRPr="00806678">
        <w:rPr>
          <w:rFonts w:ascii="宋体" w:hAnsi="宋体" w:cs="宋体"/>
          <w:bCs/>
          <w:sz w:val="24"/>
          <w:szCs w:val="24"/>
        </w:rPr>
        <w:t>103.</w:t>
      </w:r>
      <w:r w:rsidRPr="00806678">
        <w:rPr>
          <w:rFonts w:ascii="宋体" w:hAnsi="宋体" w:cs="宋体" w:hint="eastAsia"/>
          <w:bCs/>
          <w:sz w:val="24"/>
          <w:szCs w:val="24"/>
        </w:rPr>
        <w:t>05</w:t>
      </w:r>
      <w:r w:rsidRPr="00806678">
        <w:rPr>
          <w:rFonts w:ascii="宋体" w:hAnsi="宋体" w:cs="宋体"/>
          <w:bCs/>
          <w:sz w:val="24"/>
          <w:szCs w:val="24"/>
        </w:rPr>
        <w:t>%</w:t>
      </w:r>
      <w:r w:rsidRPr="00806678">
        <w:rPr>
          <w:rFonts w:ascii="宋体" w:hAnsi="宋体" w:cs="宋体" w:hint="eastAsia"/>
          <w:bCs/>
          <w:sz w:val="24"/>
          <w:szCs w:val="24"/>
        </w:rPr>
        <w:t>。</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2.重点群体就业情况。完成失业人员再就业1724人，完成任务数1700人的101.41%；完成困难人员再就业352人，完成任务数350人的100.57%；完成新增农村劳动力转移就业1120人，完成任务数1100人的101.82%。</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3.创业工作成效情况。开展乡村</w:t>
      </w:r>
      <w:proofErr w:type="gramStart"/>
      <w:r w:rsidRPr="00806678">
        <w:rPr>
          <w:rFonts w:ascii="宋体" w:hAnsi="宋体" w:cs="宋体" w:hint="eastAsia"/>
          <w:bCs/>
          <w:sz w:val="24"/>
          <w:szCs w:val="24"/>
        </w:rPr>
        <w:t>领雁创业</w:t>
      </w:r>
      <w:proofErr w:type="gramEnd"/>
      <w:r w:rsidRPr="00806678">
        <w:rPr>
          <w:rFonts w:ascii="宋体" w:hAnsi="宋体" w:cs="宋体" w:hint="eastAsia"/>
          <w:bCs/>
          <w:sz w:val="24"/>
          <w:szCs w:val="24"/>
        </w:rPr>
        <w:t>培训2期，培训58人，完成任务数35人的165.71%；为6个创业主体和11家小</w:t>
      </w:r>
      <w:proofErr w:type="gramStart"/>
      <w:r w:rsidRPr="00806678">
        <w:rPr>
          <w:rFonts w:ascii="宋体" w:hAnsi="宋体" w:cs="宋体" w:hint="eastAsia"/>
          <w:bCs/>
          <w:sz w:val="24"/>
          <w:szCs w:val="24"/>
        </w:rPr>
        <w:t>微企业</w:t>
      </w:r>
      <w:proofErr w:type="gramEnd"/>
      <w:r w:rsidRPr="00806678">
        <w:rPr>
          <w:rFonts w:ascii="宋体" w:hAnsi="宋体" w:cs="宋体" w:hint="eastAsia"/>
          <w:bCs/>
          <w:sz w:val="24"/>
          <w:szCs w:val="24"/>
        </w:rPr>
        <w:t>发放创业贷款3400万元，完成任务数2600万元的130.77%。</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4.失业保险工作成效。失业保险参保总人数11557人，完成任务数11107人的104.05%，累计征缴失业保险金   563.67万元，累计发放失业保险金1547人次251.84万元。</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lastRenderedPageBreak/>
        <w:t>5.职业技能培训情况。举办了家政服务员、安全员、安检员、家禽繁殖员、苗木</w:t>
      </w:r>
      <w:proofErr w:type="gramStart"/>
      <w:r w:rsidRPr="00806678">
        <w:rPr>
          <w:rFonts w:ascii="宋体" w:hAnsi="宋体" w:cs="宋体" w:hint="eastAsia"/>
          <w:bCs/>
          <w:sz w:val="24"/>
          <w:szCs w:val="24"/>
        </w:rPr>
        <w:t>种苗工</w:t>
      </w:r>
      <w:proofErr w:type="gramEnd"/>
      <w:r w:rsidRPr="00806678">
        <w:rPr>
          <w:rFonts w:ascii="宋体" w:hAnsi="宋体" w:cs="宋体" w:hint="eastAsia"/>
          <w:bCs/>
          <w:sz w:val="24"/>
          <w:szCs w:val="24"/>
        </w:rPr>
        <w:t>等5期职业技能培训班，培训350人，完成人数300人的116.67%。</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二、2024年工作亮点</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（一）多</w:t>
      </w:r>
      <w:proofErr w:type="gramStart"/>
      <w:r w:rsidRPr="00806678">
        <w:rPr>
          <w:rFonts w:ascii="宋体" w:hAnsi="宋体" w:cs="宋体" w:hint="eastAsia"/>
          <w:bCs/>
          <w:sz w:val="24"/>
          <w:szCs w:val="24"/>
        </w:rPr>
        <w:t>措</w:t>
      </w:r>
      <w:proofErr w:type="gramEnd"/>
      <w:r w:rsidRPr="00806678">
        <w:rPr>
          <w:rFonts w:ascii="宋体" w:hAnsi="宋体" w:cs="宋体" w:hint="eastAsia"/>
          <w:bCs/>
          <w:sz w:val="24"/>
          <w:szCs w:val="24"/>
        </w:rPr>
        <w:t>并举，提升就业工作成效。</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1.强化宣传，提升效率。建立全区企业招工工作</w:t>
      </w:r>
      <w:proofErr w:type="gramStart"/>
      <w:r w:rsidRPr="00806678">
        <w:rPr>
          <w:rFonts w:ascii="宋体" w:hAnsi="宋体" w:cs="宋体" w:hint="eastAsia"/>
          <w:bCs/>
          <w:sz w:val="24"/>
          <w:szCs w:val="24"/>
        </w:rPr>
        <w:t>微信群</w:t>
      </w:r>
      <w:proofErr w:type="gramEnd"/>
      <w:r w:rsidRPr="00806678">
        <w:rPr>
          <w:rFonts w:ascii="宋体" w:hAnsi="宋体" w:cs="宋体" w:hint="eastAsia"/>
          <w:bCs/>
          <w:sz w:val="24"/>
          <w:szCs w:val="24"/>
        </w:rPr>
        <w:t>。</w:t>
      </w:r>
      <w:r w:rsidRPr="00806678">
        <w:rPr>
          <w:rFonts w:ascii="宋体" w:hAnsi="宋体" w:cs="宋体"/>
          <w:bCs/>
          <w:sz w:val="24"/>
          <w:szCs w:val="24"/>
        </w:rPr>
        <w:t>定期收集</w:t>
      </w:r>
      <w:r w:rsidRPr="00806678">
        <w:rPr>
          <w:rFonts w:ascii="宋体" w:hAnsi="宋体" w:cs="宋体" w:hint="eastAsia"/>
          <w:bCs/>
          <w:sz w:val="24"/>
          <w:szCs w:val="24"/>
        </w:rPr>
        <w:t>区内</w:t>
      </w:r>
      <w:r w:rsidRPr="00806678">
        <w:rPr>
          <w:rFonts w:ascii="宋体" w:hAnsi="宋体" w:cs="宋体"/>
          <w:bCs/>
          <w:sz w:val="24"/>
          <w:szCs w:val="24"/>
        </w:rPr>
        <w:t>企业用工信息，充分利用</w:t>
      </w:r>
      <w:r w:rsidRPr="00806678">
        <w:rPr>
          <w:rFonts w:ascii="宋体" w:hAnsi="宋体" w:cs="宋体" w:hint="eastAsia"/>
          <w:bCs/>
          <w:sz w:val="24"/>
          <w:szCs w:val="24"/>
        </w:rPr>
        <w:t>“掌上云溪”等</w:t>
      </w:r>
      <w:proofErr w:type="gramStart"/>
      <w:r w:rsidRPr="00806678">
        <w:rPr>
          <w:rFonts w:ascii="宋体" w:hAnsi="宋体" w:cs="宋体"/>
          <w:bCs/>
          <w:sz w:val="24"/>
          <w:szCs w:val="24"/>
        </w:rPr>
        <w:t>微信公众号</w:t>
      </w:r>
      <w:proofErr w:type="gramEnd"/>
      <w:r w:rsidRPr="00806678">
        <w:rPr>
          <w:rFonts w:ascii="宋体" w:hAnsi="宋体" w:cs="宋体"/>
          <w:bCs/>
          <w:sz w:val="24"/>
          <w:szCs w:val="24"/>
        </w:rPr>
        <w:t>等宣传载体</w:t>
      </w:r>
      <w:r w:rsidRPr="00806678">
        <w:rPr>
          <w:rFonts w:ascii="宋体" w:hAnsi="宋体" w:cs="宋体" w:hint="eastAsia"/>
          <w:bCs/>
          <w:sz w:val="24"/>
          <w:szCs w:val="24"/>
        </w:rPr>
        <w:t>，线上线下招聘线上同步发布</w:t>
      </w:r>
      <w:r w:rsidRPr="00806678">
        <w:rPr>
          <w:rFonts w:ascii="宋体" w:hAnsi="宋体" w:cs="宋体"/>
          <w:bCs/>
          <w:sz w:val="24"/>
          <w:szCs w:val="24"/>
        </w:rPr>
        <w:t>。</w:t>
      </w:r>
      <w:r w:rsidRPr="00806678">
        <w:rPr>
          <w:rFonts w:ascii="宋体" w:hAnsi="宋体" w:cs="宋体" w:hint="eastAsia"/>
          <w:bCs/>
          <w:sz w:val="24"/>
          <w:szCs w:val="24"/>
        </w:rPr>
        <w:t>在社区、街道显眼位置张贴横幅</w:t>
      </w:r>
      <w:r w:rsidRPr="00806678">
        <w:rPr>
          <w:rFonts w:ascii="宋体" w:hAnsi="宋体" w:cs="宋体"/>
          <w:bCs/>
          <w:sz w:val="24"/>
          <w:szCs w:val="24"/>
        </w:rPr>
        <w:t>，</w:t>
      </w:r>
      <w:r w:rsidRPr="00806678">
        <w:rPr>
          <w:rFonts w:ascii="宋体" w:hAnsi="宋体" w:cs="宋体" w:hint="eastAsia"/>
          <w:bCs/>
          <w:sz w:val="24"/>
          <w:szCs w:val="24"/>
        </w:rPr>
        <w:t>扩大用工信息知晓度，提升招聘工作效率。</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2.现场招聘，</w:t>
      </w:r>
      <w:proofErr w:type="gramStart"/>
      <w:r w:rsidRPr="00806678">
        <w:rPr>
          <w:rFonts w:ascii="宋体" w:hAnsi="宋体" w:cs="宋体" w:hint="eastAsia"/>
          <w:bCs/>
          <w:sz w:val="24"/>
          <w:szCs w:val="24"/>
        </w:rPr>
        <w:t>送岗促就业</w:t>
      </w:r>
      <w:proofErr w:type="gramEnd"/>
      <w:r w:rsidRPr="00806678">
        <w:rPr>
          <w:rFonts w:ascii="宋体" w:hAnsi="宋体" w:cs="宋体" w:hint="eastAsia"/>
          <w:bCs/>
          <w:sz w:val="24"/>
          <w:szCs w:val="24"/>
        </w:rPr>
        <w:t>。举办“云溪区失地农民专场招聘”“春风行动暨就业援助月”“春风行动村级专场招聘”“金秋招聘月”等现场招聘会，集中帮扶就业困难人员、农村劳动力、高校毕业生等群体就业，促进重点企业用工。先后有291家企业参会，提供家政、普工、销售、管理、技工、教育等就业岗位6730多个，进场求职3200余人。现场发放社会保险、失业保险、工伤保险及就业政策宣传资料</w:t>
      </w:r>
      <w:proofErr w:type="gramStart"/>
      <w:r w:rsidRPr="00806678">
        <w:rPr>
          <w:rFonts w:ascii="宋体" w:hAnsi="宋体" w:cs="宋体" w:hint="eastAsia"/>
          <w:bCs/>
          <w:sz w:val="24"/>
          <w:szCs w:val="24"/>
        </w:rPr>
        <w:t>6107多份</w:t>
      </w:r>
      <w:proofErr w:type="gramEnd"/>
      <w:r w:rsidRPr="00806678">
        <w:rPr>
          <w:rFonts w:ascii="宋体" w:hAnsi="宋体" w:cs="宋体" w:hint="eastAsia"/>
          <w:bCs/>
          <w:sz w:val="24"/>
          <w:szCs w:val="24"/>
        </w:rPr>
        <w:t>，接受政策咨询520余人次，各企业接收求职简历900余份，达成就业意向519人。</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3.线上招聘，</w:t>
      </w:r>
      <w:proofErr w:type="gramStart"/>
      <w:r w:rsidRPr="00806678">
        <w:rPr>
          <w:rFonts w:ascii="宋体" w:hAnsi="宋体" w:cs="宋体" w:hint="eastAsia"/>
          <w:bCs/>
          <w:sz w:val="24"/>
          <w:szCs w:val="24"/>
        </w:rPr>
        <w:t>数智赋能</w:t>
      </w:r>
      <w:proofErr w:type="gramEnd"/>
      <w:r w:rsidRPr="00806678">
        <w:rPr>
          <w:rFonts w:ascii="宋体" w:hAnsi="宋体" w:cs="宋体" w:hint="eastAsia"/>
          <w:bCs/>
          <w:sz w:val="24"/>
          <w:szCs w:val="24"/>
        </w:rPr>
        <w:t>。积极推广“岳阳快聘”平台，</w:t>
      </w:r>
      <w:proofErr w:type="gramStart"/>
      <w:r w:rsidRPr="00806678">
        <w:rPr>
          <w:rFonts w:ascii="宋体" w:hAnsi="宋体" w:cs="宋体" w:hint="eastAsia"/>
          <w:bCs/>
          <w:sz w:val="24"/>
          <w:szCs w:val="24"/>
        </w:rPr>
        <w:t>完善数</w:t>
      </w:r>
      <w:proofErr w:type="gramEnd"/>
      <w:r w:rsidRPr="00806678">
        <w:rPr>
          <w:rFonts w:ascii="宋体" w:hAnsi="宋体" w:cs="宋体" w:hint="eastAsia"/>
          <w:bCs/>
          <w:sz w:val="24"/>
          <w:szCs w:val="24"/>
        </w:rPr>
        <w:t>“智”赋能线上招聘，在村（社区）居民</w:t>
      </w:r>
      <w:proofErr w:type="gramStart"/>
      <w:r w:rsidRPr="00806678">
        <w:rPr>
          <w:rFonts w:ascii="宋体" w:hAnsi="宋体" w:cs="宋体" w:hint="eastAsia"/>
          <w:bCs/>
          <w:sz w:val="24"/>
          <w:szCs w:val="24"/>
        </w:rPr>
        <w:t>群发布二</w:t>
      </w:r>
      <w:proofErr w:type="gramEnd"/>
      <w:r w:rsidRPr="00806678">
        <w:rPr>
          <w:rFonts w:ascii="宋体" w:hAnsi="宋体" w:cs="宋体" w:hint="eastAsia"/>
          <w:bCs/>
          <w:sz w:val="24"/>
          <w:szCs w:val="24"/>
        </w:rPr>
        <w:t>维码，并在村（社区）人员集中场所张贴海报，引导企业和求职者注册“岳阳快聘”平台，</w:t>
      </w:r>
      <w:proofErr w:type="gramStart"/>
      <w:r w:rsidRPr="00806678">
        <w:rPr>
          <w:rFonts w:ascii="宋体" w:hAnsi="宋体" w:cs="宋体" w:hint="eastAsia"/>
          <w:bCs/>
          <w:sz w:val="24"/>
          <w:szCs w:val="24"/>
        </w:rPr>
        <w:t>人岗匹配</w:t>
      </w:r>
      <w:proofErr w:type="gramEnd"/>
      <w:r w:rsidRPr="00806678">
        <w:rPr>
          <w:rFonts w:ascii="宋体" w:hAnsi="宋体" w:cs="宋体" w:hint="eastAsia"/>
          <w:bCs/>
          <w:sz w:val="24"/>
          <w:szCs w:val="24"/>
        </w:rPr>
        <w:t>得到进一步优化。</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（二）关注重点，夯实</w:t>
      </w:r>
      <w:proofErr w:type="gramStart"/>
      <w:r w:rsidRPr="00806678">
        <w:rPr>
          <w:rFonts w:ascii="宋体" w:hAnsi="宋体" w:cs="宋体" w:hint="eastAsia"/>
          <w:bCs/>
          <w:sz w:val="24"/>
          <w:szCs w:val="24"/>
        </w:rPr>
        <w:t>稳就业</w:t>
      </w:r>
      <w:proofErr w:type="gramEnd"/>
      <w:r w:rsidRPr="00806678">
        <w:rPr>
          <w:rFonts w:ascii="宋体" w:hAnsi="宋体" w:cs="宋体" w:hint="eastAsia"/>
          <w:bCs/>
          <w:sz w:val="24"/>
          <w:szCs w:val="24"/>
        </w:rPr>
        <w:t>工作基础。</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1.开展高校毕业生就业帮扶。紧盯“高质量充分就业”“毕业即就业帮扶行动”“数字人社建设”等重点民生项目，大力推进民生可感行动。出台《云溪区瞄准精细化工产业帮扶高校毕业生就业工作方案》，瞄准云溪区精细化工产业，拓岗位、优服务，把促进高校毕业生高质量充分就业工作摆在突出位置，截至目</w:t>
      </w:r>
      <w:r w:rsidRPr="00806678">
        <w:rPr>
          <w:rFonts w:ascii="宋体" w:hAnsi="宋体" w:cs="宋体" w:hint="eastAsia"/>
          <w:bCs/>
          <w:sz w:val="24"/>
          <w:szCs w:val="24"/>
        </w:rPr>
        <w:lastRenderedPageBreak/>
        <w:t>前，已</w:t>
      </w:r>
      <w:proofErr w:type="gramStart"/>
      <w:r w:rsidRPr="00806678">
        <w:rPr>
          <w:rFonts w:ascii="宋体" w:hAnsi="宋体" w:cs="宋体" w:hint="eastAsia"/>
          <w:bCs/>
          <w:sz w:val="24"/>
          <w:szCs w:val="24"/>
        </w:rPr>
        <w:t>帮扶未</w:t>
      </w:r>
      <w:proofErr w:type="gramEnd"/>
      <w:r w:rsidRPr="00806678">
        <w:rPr>
          <w:rFonts w:ascii="宋体" w:hAnsi="宋体" w:cs="宋体" w:hint="eastAsia"/>
          <w:bCs/>
          <w:sz w:val="24"/>
          <w:szCs w:val="24"/>
        </w:rPr>
        <w:t>就业高校毕业生实现就业206人。一是开展“面对面”带岗活动。开展2024年高校毕业生“毕业即就业”</w:t>
      </w:r>
      <w:proofErr w:type="gramStart"/>
      <w:r w:rsidRPr="00806678">
        <w:rPr>
          <w:rFonts w:ascii="宋体" w:hAnsi="宋体" w:cs="宋体" w:hint="eastAsia"/>
          <w:bCs/>
          <w:sz w:val="24"/>
          <w:szCs w:val="24"/>
        </w:rPr>
        <w:t>双选会暨</w:t>
      </w:r>
      <w:proofErr w:type="gramEnd"/>
      <w:r w:rsidRPr="00806678">
        <w:rPr>
          <w:rFonts w:ascii="宋体" w:hAnsi="宋体" w:cs="宋体" w:hint="eastAsia"/>
          <w:bCs/>
          <w:sz w:val="24"/>
          <w:szCs w:val="24"/>
        </w:rPr>
        <w:t>“面对面”带岗活动，对未就业高校毕业生进行集中职业指导专题讲座，引导其树立良好的就业</w:t>
      </w:r>
      <w:proofErr w:type="gramStart"/>
      <w:r w:rsidRPr="00806678">
        <w:rPr>
          <w:rFonts w:ascii="宋体" w:hAnsi="宋体" w:cs="宋体" w:hint="eastAsia"/>
          <w:bCs/>
          <w:sz w:val="24"/>
          <w:szCs w:val="24"/>
        </w:rPr>
        <w:t>观实现</w:t>
      </w:r>
      <w:proofErr w:type="gramEnd"/>
      <w:r w:rsidRPr="00806678">
        <w:rPr>
          <w:rFonts w:ascii="宋体" w:hAnsi="宋体" w:cs="宋体" w:hint="eastAsia"/>
          <w:bCs/>
          <w:sz w:val="24"/>
          <w:szCs w:val="24"/>
        </w:rPr>
        <w:t>高质量就业，现场成功达成企业就业意向5人，现场签订就业见习协议2人。二是稳步扩大就业见习规模促就业。对见习基地进行动态调整和清理，</w:t>
      </w:r>
      <w:proofErr w:type="gramStart"/>
      <w:r w:rsidRPr="00806678">
        <w:rPr>
          <w:rFonts w:ascii="宋体" w:hAnsi="宋体" w:cs="宋体" w:hint="eastAsia"/>
          <w:bCs/>
          <w:sz w:val="24"/>
          <w:szCs w:val="24"/>
        </w:rPr>
        <w:t>稳步扩面50个</w:t>
      </w:r>
      <w:proofErr w:type="gramEnd"/>
      <w:r w:rsidRPr="00806678">
        <w:rPr>
          <w:rFonts w:ascii="宋体" w:hAnsi="宋体" w:cs="宋体" w:hint="eastAsia"/>
          <w:bCs/>
          <w:sz w:val="24"/>
          <w:szCs w:val="24"/>
        </w:rPr>
        <w:t>见习岗位，积极引导见习基地定制与高校毕业生专业适配的见习岗位，扩大见习规模促进未就业高校毕业生就业。清理到期见习岗位38个，已成功扶帮10名离校未就业高校毕业生就业。三是多方联动聚合力。多次邀请市级业务主管部门进行指导，实行市、区两级联动，凝聚工作合力。组织未就业毕业生至市人才超市集中进行职业指导和求职能力提升培训，大大提升了毕业生就业内在驱动力。与68家用工企业</w:t>
      </w:r>
      <w:proofErr w:type="gramStart"/>
      <w:r w:rsidRPr="00806678">
        <w:rPr>
          <w:rFonts w:ascii="宋体" w:hAnsi="宋体" w:cs="宋体" w:hint="eastAsia"/>
          <w:bCs/>
          <w:sz w:val="24"/>
          <w:szCs w:val="24"/>
        </w:rPr>
        <w:t>进行人岗对接</w:t>
      </w:r>
      <w:proofErr w:type="gramEnd"/>
      <w:r w:rsidRPr="00806678">
        <w:rPr>
          <w:rFonts w:ascii="宋体" w:hAnsi="宋体" w:cs="宋体" w:hint="eastAsia"/>
          <w:bCs/>
          <w:sz w:val="24"/>
          <w:szCs w:val="24"/>
        </w:rPr>
        <w:t>，成功达成就业意向6人。</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2.帮扶就业困难人员和脱贫劳动力就业。一是优化就业帮扶载体。会同区农业农村局深入临港</w:t>
      </w:r>
      <w:proofErr w:type="gramStart"/>
      <w:r w:rsidRPr="00806678">
        <w:rPr>
          <w:rFonts w:ascii="宋体" w:hAnsi="宋体" w:cs="宋体" w:hint="eastAsia"/>
          <w:bCs/>
          <w:sz w:val="24"/>
          <w:szCs w:val="24"/>
        </w:rPr>
        <w:t>新区海铭德</w:t>
      </w:r>
      <w:proofErr w:type="gramEnd"/>
      <w:r w:rsidRPr="00806678">
        <w:rPr>
          <w:rFonts w:ascii="宋体" w:hAnsi="宋体" w:cs="宋体" w:hint="eastAsia"/>
          <w:bCs/>
          <w:sz w:val="24"/>
          <w:szCs w:val="24"/>
        </w:rPr>
        <w:t>（岳阳）科技有限公司生产车间，了解该公司经营运转和吸纳脱贫人口就业情况，指导其申报就业帮扶车间，宣传就业惠企政策。目前，已将该公司认定为我区就业帮扶车间，全区就业帮扶车间增加到8家。同时，对被认定为省级就业帮扶基地的云溪区鑫农油茶种植专业合作社给予5万元</w:t>
      </w:r>
      <w:proofErr w:type="gramStart"/>
      <w:r w:rsidRPr="00806678">
        <w:rPr>
          <w:rFonts w:ascii="宋体" w:hAnsi="宋体" w:cs="宋体" w:hint="eastAsia"/>
          <w:bCs/>
          <w:sz w:val="24"/>
          <w:szCs w:val="24"/>
        </w:rPr>
        <w:t>资金奖补</w:t>
      </w:r>
      <w:proofErr w:type="gramEnd"/>
      <w:r w:rsidRPr="00806678">
        <w:rPr>
          <w:rFonts w:ascii="宋体" w:hAnsi="宋体" w:cs="宋体" w:hint="eastAsia"/>
          <w:bCs/>
          <w:sz w:val="24"/>
          <w:szCs w:val="24"/>
        </w:rPr>
        <w:t>。二是开发公益性岗位，兜底就业。将就业困难人员和脱贫劳动力等重点群体，纳入公益性岗位就业，按照我区最低工资标准发放公益性岗位补贴，目前，我区公益性岗位安排就业155人，年发放公益性岗位补贴353.4万元。三是强化劳务协作。2024年7月19日，在局党组书记的带领下，赴保靖县</w:t>
      </w:r>
      <w:proofErr w:type="gramStart"/>
      <w:r w:rsidRPr="00806678">
        <w:rPr>
          <w:rFonts w:ascii="宋体" w:hAnsi="宋体" w:cs="宋体" w:hint="eastAsia"/>
          <w:bCs/>
          <w:sz w:val="24"/>
          <w:szCs w:val="24"/>
        </w:rPr>
        <w:t>水田河</w:t>
      </w:r>
      <w:proofErr w:type="gramEnd"/>
      <w:r w:rsidRPr="00806678">
        <w:rPr>
          <w:rFonts w:ascii="宋体" w:hAnsi="宋体" w:cs="宋体" w:hint="eastAsia"/>
          <w:bCs/>
          <w:sz w:val="24"/>
          <w:szCs w:val="24"/>
        </w:rPr>
        <w:t>镇开展了2024年对口帮扶保靖县</w:t>
      </w:r>
      <w:proofErr w:type="gramStart"/>
      <w:r w:rsidRPr="00806678">
        <w:rPr>
          <w:rFonts w:ascii="宋体" w:hAnsi="宋体" w:cs="宋体" w:hint="eastAsia"/>
          <w:bCs/>
          <w:sz w:val="24"/>
          <w:szCs w:val="24"/>
        </w:rPr>
        <w:t>水田河</w:t>
      </w:r>
      <w:proofErr w:type="gramEnd"/>
      <w:r w:rsidRPr="00806678">
        <w:rPr>
          <w:rFonts w:ascii="宋体" w:hAnsi="宋体" w:cs="宋体" w:hint="eastAsia"/>
          <w:bCs/>
          <w:sz w:val="24"/>
          <w:szCs w:val="24"/>
        </w:rPr>
        <w:t>镇公共就业服务活动，向保靖县</w:t>
      </w:r>
      <w:proofErr w:type="gramStart"/>
      <w:r w:rsidRPr="00806678">
        <w:rPr>
          <w:rFonts w:ascii="宋体" w:hAnsi="宋体" w:cs="宋体" w:hint="eastAsia"/>
          <w:bCs/>
          <w:sz w:val="24"/>
          <w:szCs w:val="24"/>
        </w:rPr>
        <w:t>水田河</w:t>
      </w:r>
      <w:proofErr w:type="gramEnd"/>
      <w:r w:rsidRPr="00806678">
        <w:rPr>
          <w:rFonts w:ascii="宋体" w:hAnsi="宋体" w:cs="宋体" w:hint="eastAsia"/>
          <w:bCs/>
          <w:sz w:val="24"/>
          <w:szCs w:val="24"/>
        </w:rPr>
        <w:t>镇拨付了4万元就业帮扶资金。先后与临湘市、屈原区、保靖县</w:t>
      </w:r>
      <w:proofErr w:type="gramStart"/>
      <w:r w:rsidRPr="00806678">
        <w:rPr>
          <w:rFonts w:ascii="宋体" w:hAnsi="宋体" w:cs="宋体" w:hint="eastAsia"/>
          <w:bCs/>
          <w:sz w:val="24"/>
          <w:szCs w:val="24"/>
        </w:rPr>
        <w:t>水田河</w:t>
      </w:r>
      <w:proofErr w:type="gramEnd"/>
      <w:r w:rsidRPr="00806678">
        <w:rPr>
          <w:rFonts w:ascii="宋体" w:hAnsi="宋体" w:cs="宋体" w:hint="eastAsia"/>
          <w:bCs/>
          <w:sz w:val="24"/>
          <w:szCs w:val="24"/>
        </w:rPr>
        <w:t>镇建立了劳务协作对接，实行就业信息共享、资源共享，为求职者提供精准服务。</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（三）精准服务，营造创业带动就业氛围。</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lastRenderedPageBreak/>
        <w:t>1.推进创新创业。开发有针对性的创业项目，引导他们积极参与创业门槛低、效果优的电商、</w:t>
      </w:r>
      <w:proofErr w:type="gramStart"/>
      <w:r w:rsidRPr="00806678">
        <w:rPr>
          <w:rFonts w:ascii="宋体" w:hAnsi="宋体" w:cs="宋体" w:hint="eastAsia"/>
          <w:bCs/>
          <w:sz w:val="24"/>
          <w:szCs w:val="24"/>
        </w:rPr>
        <w:t>乡村领雁等</w:t>
      </w:r>
      <w:proofErr w:type="gramEnd"/>
      <w:r w:rsidRPr="00806678">
        <w:rPr>
          <w:rFonts w:ascii="宋体" w:hAnsi="宋体" w:cs="宋体" w:hint="eastAsia"/>
          <w:bCs/>
          <w:sz w:val="24"/>
          <w:szCs w:val="24"/>
        </w:rPr>
        <w:t>项目培训。对有创业愿望和创业能力的创业主体，提供创业指导和创业服务，畅通创业担保贷款“绿色通道”，今年累计为6家创业主体和11家小</w:t>
      </w:r>
      <w:proofErr w:type="gramStart"/>
      <w:r w:rsidRPr="00806678">
        <w:rPr>
          <w:rFonts w:ascii="宋体" w:hAnsi="宋体" w:cs="宋体" w:hint="eastAsia"/>
          <w:bCs/>
          <w:sz w:val="24"/>
          <w:szCs w:val="24"/>
        </w:rPr>
        <w:t>微企业</w:t>
      </w:r>
      <w:proofErr w:type="gramEnd"/>
      <w:r w:rsidRPr="00806678">
        <w:rPr>
          <w:rFonts w:ascii="宋体" w:hAnsi="宋体" w:cs="宋体" w:hint="eastAsia"/>
          <w:bCs/>
          <w:sz w:val="24"/>
          <w:szCs w:val="24"/>
        </w:rPr>
        <w:t>发放财政贴息创业贷款3400万元，切实为创业主体和</w:t>
      </w:r>
      <w:bookmarkStart w:id="0" w:name="OLE_LINK3"/>
      <w:bookmarkStart w:id="1" w:name="OLE_LINK4"/>
      <w:r w:rsidRPr="00806678">
        <w:rPr>
          <w:rFonts w:ascii="宋体" w:hAnsi="宋体" w:cs="宋体" w:hint="eastAsia"/>
          <w:bCs/>
          <w:sz w:val="24"/>
          <w:szCs w:val="24"/>
        </w:rPr>
        <w:t>小</w:t>
      </w:r>
      <w:proofErr w:type="gramStart"/>
      <w:r w:rsidRPr="00806678">
        <w:rPr>
          <w:rFonts w:ascii="宋体" w:hAnsi="宋体" w:cs="宋体" w:hint="eastAsia"/>
          <w:bCs/>
          <w:sz w:val="24"/>
          <w:szCs w:val="24"/>
        </w:rPr>
        <w:t>微企业</w:t>
      </w:r>
      <w:bookmarkEnd w:id="0"/>
      <w:bookmarkEnd w:id="1"/>
      <w:proofErr w:type="gramEnd"/>
      <w:r w:rsidRPr="00806678">
        <w:rPr>
          <w:rFonts w:ascii="宋体" w:hAnsi="宋体" w:cs="宋体" w:hint="eastAsia"/>
          <w:bCs/>
          <w:sz w:val="24"/>
          <w:szCs w:val="24"/>
        </w:rPr>
        <w:t>解决资金短缺难题，鼓励创业带动就业340余人。</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2.鼓励自主创新。广泛宣传发动，鼓励自主创新，以高质量创业带动高质量就业。举办了云溪区2024年优秀创业项目展示交流活动，将3家优秀创业项目推荐参加市级优秀创业项目展示交流活动。</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3.深入推进职业技能培训。扎实开展职业培训，围绕重点群体就业需求，</w:t>
      </w:r>
      <w:r w:rsidRPr="00806678">
        <w:rPr>
          <w:rFonts w:ascii="宋体" w:hAnsi="宋体" w:cs="宋体"/>
          <w:bCs/>
          <w:sz w:val="24"/>
          <w:szCs w:val="24"/>
        </w:rPr>
        <w:t>积极组织开展面向城镇登记失业人员、农村转移就业人员</w:t>
      </w:r>
      <w:r w:rsidRPr="00806678">
        <w:rPr>
          <w:rFonts w:ascii="宋体" w:hAnsi="宋体" w:cs="宋体" w:hint="eastAsia"/>
          <w:bCs/>
          <w:sz w:val="24"/>
          <w:szCs w:val="24"/>
        </w:rPr>
        <w:t>和脱贫劳动力</w:t>
      </w:r>
      <w:r w:rsidRPr="00806678">
        <w:rPr>
          <w:rFonts w:ascii="宋体" w:hAnsi="宋体" w:cs="宋体"/>
          <w:bCs/>
          <w:sz w:val="24"/>
          <w:szCs w:val="24"/>
        </w:rPr>
        <w:t>的就业技能培训</w:t>
      </w:r>
      <w:r w:rsidRPr="00806678">
        <w:rPr>
          <w:rFonts w:ascii="宋体" w:hAnsi="宋体" w:cs="宋体" w:hint="eastAsia"/>
          <w:bCs/>
          <w:sz w:val="24"/>
          <w:szCs w:val="24"/>
        </w:rPr>
        <w:t>，为重点群体量身打造举办了家政服务员、安全员、安检员、家禽繁殖员、苗木</w:t>
      </w:r>
      <w:proofErr w:type="gramStart"/>
      <w:r w:rsidRPr="00806678">
        <w:rPr>
          <w:rFonts w:ascii="宋体" w:hAnsi="宋体" w:cs="宋体" w:hint="eastAsia"/>
          <w:bCs/>
          <w:sz w:val="24"/>
          <w:szCs w:val="24"/>
        </w:rPr>
        <w:t>种苗工</w:t>
      </w:r>
      <w:proofErr w:type="gramEnd"/>
      <w:r w:rsidRPr="00806678">
        <w:rPr>
          <w:rFonts w:ascii="宋体" w:hAnsi="宋体" w:cs="宋体" w:hint="eastAsia"/>
          <w:bCs/>
          <w:sz w:val="24"/>
          <w:szCs w:val="24"/>
        </w:rPr>
        <w:t>等5期职业技能培训班，培训350人次，有效提高了广大就业者的就业技能。</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（四）助企</w:t>
      </w:r>
      <w:proofErr w:type="gramStart"/>
      <w:r w:rsidRPr="00806678">
        <w:rPr>
          <w:rFonts w:ascii="宋体" w:hAnsi="宋体" w:cs="宋体" w:hint="eastAsia"/>
          <w:bCs/>
          <w:sz w:val="24"/>
          <w:szCs w:val="24"/>
        </w:rPr>
        <w:t>纾</w:t>
      </w:r>
      <w:proofErr w:type="gramEnd"/>
      <w:r w:rsidRPr="00806678">
        <w:rPr>
          <w:rFonts w:ascii="宋体" w:hAnsi="宋体" w:cs="宋体" w:hint="eastAsia"/>
          <w:bCs/>
          <w:sz w:val="24"/>
          <w:szCs w:val="24"/>
        </w:rPr>
        <w:t>困，落实</w:t>
      </w:r>
      <w:proofErr w:type="gramStart"/>
      <w:r w:rsidRPr="00806678">
        <w:rPr>
          <w:rFonts w:ascii="宋体" w:hAnsi="宋体" w:cs="宋体" w:hint="eastAsia"/>
          <w:bCs/>
          <w:sz w:val="24"/>
          <w:szCs w:val="24"/>
        </w:rPr>
        <w:t>稳就业</w:t>
      </w:r>
      <w:proofErr w:type="gramEnd"/>
      <w:r w:rsidRPr="00806678">
        <w:rPr>
          <w:rFonts w:ascii="宋体" w:hAnsi="宋体" w:cs="宋体" w:hint="eastAsia"/>
          <w:bCs/>
          <w:sz w:val="24"/>
          <w:szCs w:val="24"/>
        </w:rPr>
        <w:t>政策措施。</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1.积极宣</w:t>
      </w:r>
      <w:proofErr w:type="gramStart"/>
      <w:r w:rsidRPr="00806678">
        <w:rPr>
          <w:rFonts w:ascii="宋体" w:hAnsi="宋体" w:cs="宋体" w:hint="eastAsia"/>
          <w:bCs/>
          <w:sz w:val="24"/>
          <w:szCs w:val="24"/>
        </w:rPr>
        <w:t>贯相关</w:t>
      </w:r>
      <w:proofErr w:type="gramEnd"/>
      <w:r w:rsidRPr="00806678">
        <w:rPr>
          <w:rFonts w:ascii="宋体" w:hAnsi="宋体" w:cs="宋体" w:hint="eastAsia"/>
          <w:bCs/>
          <w:sz w:val="24"/>
          <w:szCs w:val="24"/>
        </w:rPr>
        <w:t>政策。通过设立宣传咨询点、发放宣传手册，利用电子显示屏、企业</w:t>
      </w:r>
      <w:proofErr w:type="gramStart"/>
      <w:r w:rsidRPr="00806678">
        <w:rPr>
          <w:rFonts w:ascii="宋体" w:hAnsi="宋体" w:cs="宋体" w:hint="eastAsia"/>
          <w:bCs/>
          <w:sz w:val="24"/>
          <w:szCs w:val="24"/>
        </w:rPr>
        <w:t>微信群</w:t>
      </w:r>
      <w:proofErr w:type="gramEnd"/>
      <w:r w:rsidRPr="00806678">
        <w:rPr>
          <w:rFonts w:ascii="宋体" w:hAnsi="宋体" w:cs="宋体" w:hint="eastAsia"/>
          <w:bCs/>
          <w:sz w:val="24"/>
          <w:szCs w:val="24"/>
        </w:rPr>
        <w:t>等，进行失业保险、创业补助、社保补贴</w:t>
      </w:r>
      <w:proofErr w:type="gramStart"/>
      <w:r w:rsidRPr="00806678">
        <w:rPr>
          <w:rFonts w:ascii="宋体" w:hAnsi="宋体" w:cs="宋体" w:hint="eastAsia"/>
          <w:bCs/>
          <w:sz w:val="24"/>
          <w:szCs w:val="24"/>
        </w:rPr>
        <w:t>等惠企政策</w:t>
      </w:r>
      <w:proofErr w:type="gramEnd"/>
      <w:r w:rsidRPr="00806678">
        <w:rPr>
          <w:rFonts w:ascii="宋体" w:hAnsi="宋体" w:cs="宋体" w:hint="eastAsia"/>
          <w:bCs/>
          <w:sz w:val="24"/>
          <w:szCs w:val="24"/>
        </w:rPr>
        <w:t>和法律法规宣传，做到了政策“应知尽知”，对符合领取企业社会保险补贴和失业</w:t>
      </w:r>
      <w:proofErr w:type="gramStart"/>
      <w:r w:rsidRPr="00806678">
        <w:rPr>
          <w:rFonts w:ascii="宋体" w:hAnsi="宋体" w:cs="宋体" w:hint="eastAsia"/>
          <w:bCs/>
          <w:sz w:val="24"/>
          <w:szCs w:val="24"/>
        </w:rPr>
        <w:t>保险稳岗</w:t>
      </w:r>
      <w:proofErr w:type="gramEnd"/>
      <w:r w:rsidRPr="00806678">
        <w:rPr>
          <w:rFonts w:ascii="宋体" w:hAnsi="宋体" w:cs="宋体" w:hint="eastAsia"/>
          <w:bCs/>
          <w:sz w:val="24"/>
          <w:szCs w:val="24"/>
        </w:rPr>
        <w:t>返还补贴的企业，鼓励主动申报相关补贴，对高校毕业生等青年群体初次创办的企业，按规定落实一次性创业补贴政策，支持企业减负增效，进一步优化了营商环境</w:t>
      </w:r>
      <w:proofErr w:type="gramStart"/>
      <w:r w:rsidRPr="00806678">
        <w:rPr>
          <w:rFonts w:ascii="宋体" w:hAnsi="宋体" w:cs="宋体" w:hint="eastAsia"/>
          <w:bCs/>
          <w:sz w:val="24"/>
          <w:szCs w:val="24"/>
        </w:rPr>
        <w:t>环境</w:t>
      </w:r>
      <w:proofErr w:type="gramEnd"/>
      <w:r w:rsidRPr="00806678">
        <w:rPr>
          <w:rFonts w:ascii="宋体" w:hAnsi="宋体" w:cs="宋体" w:hint="eastAsia"/>
          <w:bCs/>
          <w:sz w:val="24"/>
          <w:szCs w:val="24"/>
        </w:rPr>
        <w:t>。</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2.发挥失业</w:t>
      </w:r>
      <w:proofErr w:type="gramStart"/>
      <w:r w:rsidRPr="00806678">
        <w:rPr>
          <w:rFonts w:ascii="宋体" w:hAnsi="宋体" w:cs="宋体" w:hint="eastAsia"/>
          <w:bCs/>
          <w:sz w:val="24"/>
          <w:szCs w:val="24"/>
        </w:rPr>
        <w:t>保险稳岗</w:t>
      </w:r>
      <w:proofErr w:type="gramEnd"/>
      <w:r w:rsidRPr="00806678">
        <w:rPr>
          <w:rFonts w:ascii="宋体" w:hAnsi="宋体" w:cs="宋体" w:hint="eastAsia"/>
          <w:bCs/>
          <w:sz w:val="24"/>
          <w:szCs w:val="24"/>
        </w:rPr>
        <w:t>作用。延续执行阶段性降低失业保险费率政策。提升失业保险金发放力度，规范基金使用流程，加强基金监管，做到“应享尽享”。对符合条件的企业，加力加速</w:t>
      </w:r>
      <w:proofErr w:type="gramStart"/>
      <w:r w:rsidRPr="00806678">
        <w:rPr>
          <w:rFonts w:ascii="宋体" w:hAnsi="宋体" w:cs="宋体" w:hint="eastAsia"/>
          <w:bCs/>
          <w:sz w:val="24"/>
          <w:szCs w:val="24"/>
        </w:rPr>
        <w:t>兑现稳岗返还</w:t>
      </w:r>
      <w:proofErr w:type="gramEnd"/>
      <w:r w:rsidRPr="00806678">
        <w:rPr>
          <w:rFonts w:ascii="宋体" w:hAnsi="宋体" w:cs="宋体" w:hint="eastAsia"/>
          <w:bCs/>
          <w:sz w:val="24"/>
          <w:szCs w:val="24"/>
        </w:rPr>
        <w:t>、</w:t>
      </w:r>
      <w:proofErr w:type="gramStart"/>
      <w:r w:rsidRPr="00806678">
        <w:rPr>
          <w:rFonts w:ascii="宋体" w:hAnsi="宋体" w:cs="宋体" w:hint="eastAsia"/>
          <w:bCs/>
          <w:sz w:val="24"/>
          <w:szCs w:val="24"/>
        </w:rPr>
        <w:t>一次性扩岗补助</w:t>
      </w:r>
      <w:proofErr w:type="gramEnd"/>
      <w:r w:rsidRPr="00806678">
        <w:rPr>
          <w:rFonts w:ascii="宋体" w:hAnsi="宋体" w:cs="宋体" w:hint="eastAsia"/>
          <w:bCs/>
          <w:sz w:val="24"/>
          <w:szCs w:val="24"/>
        </w:rPr>
        <w:t>，做到“应返尽返”，</w:t>
      </w:r>
      <w:r w:rsidRPr="00806678">
        <w:rPr>
          <w:rFonts w:ascii="宋体" w:hAnsi="宋体" w:cs="宋体" w:hint="eastAsia"/>
          <w:bCs/>
          <w:sz w:val="24"/>
          <w:szCs w:val="24"/>
        </w:rPr>
        <w:lastRenderedPageBreak/>
        <w:t>保障了企业就业岗位不减，避免了大规模失业风险。</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3.强化监管保障基金平稳运行。强化健全内控制度，按“一事双岗双审”原则，设置业务运行岗位、基金财务岗位、稽核内控岗位。每月做好财务与业务、银行、税务对账，做到了账实相符，每季度定期对内控制度的执行情况进行检查，对失业保险信息系统和高风险业务随机抽查，及时消除风险隐患。</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加强学习，提升就业和公共服务技能水平。</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1.注重业务知识学习。组织干部职工开展业务知识学习，积极参加局机关组织的岗位练兵活动，先后有4名同志进行了业务授课，既锻炼了口头表达能力，又提高了业务水平。</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2.积极参加省市交流活动。5月份参加岳阳市2024年公共就业服务优秀项目成果展示交流活动，经省级评委专家团评审，我区选手艾南、樊叶晋分别获评职业指导与基层公共就业服务先锋奖（一等奖）、优秀奖，就业中心刘娜报送的《毕业即就业帮扶》项目被评为岳阳市2024年公共就业服务优秀项目成果展示交流活动优秀就业服务案例。7月份我中心艾南代表岳阳市参加全省2024年公共就业服务优秀项目成果展示交流活动，获得了省级职业指导与基层公共就业服务三等奖。</w:t>
      </w:r>
    </w:p>
    <w:p w:rsidR="00806678" w:rsidRPr="00806678" w:rsidRDefault="00806678" w:rsidP="00806678">
      <w:pPr>
        <w:pStyle w:val="a6"/>
        <w:spacing w:line="560" w:lineRule="exact"/>
        <w:ind w:firstLineChars="200" w:firstLine="480"/>
        <w:rPr>
          <w:rFonts w:ascii="宋体" w:hAnsi="宋体" w:cs="宋体"/>
          <w:bCs/>
          <w:sz w:val="24"/>
          <w:szCs w:val="24"/>
        </w:rPr>
      </w:pPr>
      <w:r w:rsidRPr="00806678">
        <w:rPr>
          <w:rFonts w:ascii="宋体" w:hAnsi="宋体" w:cs="宋体" w:hint="eastAsia"/>
          <w:bCs/>
          <w:sz w:val="24"/>
          <w:szCs w:val="24"/>
        </w:rPr>
        <w:t>3.深入开展就业服务。对离校未就业高校毕业生、返乡回流人员、有劳动能力和有就业意愿而未就业的脱贫劳动力开展精准“311”服务，并做好跟踪服务，“311”覆盖率达100%。</w:t>
      </w:r>
    </w:p>
    <w:p w:rsidR="002C39AC" w:rsidRDefault="00E76516" w:rsidP="00E76516">
      <w:pPr>
        <w:pStyle w:val="a3"/>
        <w:widowControl/>
        <w:spacing w:line="560" w:lineRule="exact"/>
        <w:ind w:firstLine="480"/>
        <w:jc w:val="left"/>
        <w:rPr>
          <w:rFonts w:ascii="黑体" w:eastAsia="黑体" w:hAnsi="黑体" w:cs="黑体"/>
          <w:sz w:val="24"/>
          <w:szCs w:val="24"/>
        </w:rPr>
      </w:pPr>
      <w:r>
        <w:rPr>
          <w:rFonts w:ascii="黑体" w:eastAsia="黑体" w:hAnsi="黑体" w:cs="黑体" w:hint="eastAsia"/>
          <w:sz w:val="24"/>
          <w:szCs w:val="24"/>
        </w:rPr>
        <w:t>七、存在的问题及原因分析</w:t>
      </w:r>
    </w:p>
    <w:p w:rsidR="002C39AC" w:rsidRDefault="00E76516">
      <w:pPr>
        <w:widowControl/>
        <w:spacing w:line="560" w:lineRule="exact"/>
        <w:ind w:firstLineChars="200" w:firstLine="480"/>
        <w:jc w:val="left"/>
        <w:rPr>
          <w:rFonts w:ascii="宋体" w:hAnsi="宋体" w:cs="宋体"/>
          <w:sz w:val="24"/>
        </w:rPr>
      </w:pPr>
      <w:r>
        <w:rPr>
          <w:rFonts w:ascii="宋体" w:hAnsi="宋体" w:cs="宋体" w:hint="eastAsia"/>
          <w:sz w:val="24"/>
        </w:rPr>
        <w:t>无</w:t>
      </w:r>
    </w:p>
    <w:p w:rsidR="002C39AC" w:rsidRDefault="00E76516">
      <w:pPr>
        <w:widowControl/>
        <w:numPr>
          <w:ilvl w:val="0"/>
          <w:numId w:val="3"/>
        </w:numPr>
        <w:spacing w:line="560" w:lineRule="exact"/>
        <w:ind w:firstLineChars="200" w:firstLine="480"/>
        <w:jc w:val="left"/>
        <w:rPr>
          <w:rFonts w:ascii="黑体" w:eastAsia="黑体" w:hAnsi="黑体" w:cs="黑体"/>
          <w:sz w:val="24"/>
        </w:rPr>
      </w:pPr>
      <w:r>
        <w:rPr>
          <w:rFonts w:ascii="黑体" w:eastAsia="黑体" w:hAnsi="黑体" w:cs="黑体" w:hint="eastAsia"/>
          <w:sz w:val="24"/>
        </w:rPr>
        <w:t>下一步改进措施</w:t>
      </w:r>
    </w:p>
    <w:p w:rsidR="002C39AC" w:rsidRDefault="00E76516">
      <w:pPr>
        <w:widowControl/>
        <w:spacing w:line="560" w:lineRule="exact"/>
        <w:ind w:firstLineChars="200" w:firstLine="480"/>
        <w:jc w:val="left"/>
        <w:rPr>
          <w:rFonts w:ascii="宋体" w:hAnsi="宋体" w:cs="宋体"/>
          <w:sz w:val="24"/>
        </w:rPr>
      </w:pPr>
      <w:r>
        <w:rPr>
          <w:rFonts w:ascii="宋体" w:hAnsi="宋体" w:cs="宋体" w:hint="eastAsia"/>
          <w:sz w:val="24"/>
        </w:rPr>
        <w:t>无</w:t>
      </w:r>
    </w:p>
    <w:p w:rsidR="002C39AC" w:rsidRDefault="00E76516">
      <w:pPr>
        <w:widowControl/>
        <w:numPr>
          <w:ilvl w:val="0"/>
          <w:numId w:val="3"/>
        </w:numPr>
        <w:spacing w:line="560" w:lineRule="exact"/>
        <w:ind w:firstLineChars="200" w:firstLine="480"/>
        <w:jc w:val="left"/>
        <w:rPr>
          <w:rFonts w:ascii="黑体" w:eastAsia="黑体" w:hAnsi="黑体" w:cs="黑体"/>
          <w:sz w:val="24"/>
        </w:rPr>
      </w:pPr>
      <w:r>
        <w:rPr>
          <w:rFonts w:ascii="黑体" w:eastAsia="黑体" w:hAnsi="黑体" w:cs="黑体" w:hint="eastAsia"/>
          <w:sz w:val="24"/>
        </w:rPr>
        <w:lastRenderedPageBreak/>
        <w:t>其他需要说明的情况</w:t>
      </w:r>
    </w:p>
    <w:p w:rsidR="002C39AC" w:rsidRDefault="00E76516">
      <w:pPr>
        <w:spacing w:line="560" w:lineRule="exact"/>
        <w:ind w:firstLineChars="200" w:firstLine="480"/>
      </w:pPr>
      <w:r>
        <w:rPr>
          <w:rFonts w:ascii="宋体" w:hAnsi="宋体" w:cs="宋体" w:hint="eastAsia"/>
          <w:sz w:val="24"/>
        </w:rPr>
        <w:t>无</w:t>
      </w:r>
    </w:p>
    <w:sectPr w:rsidR="002C39AC" w:rsidSect="002C39A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33D8" w:rsidRDefault="00C433D8" w:rsidP="00E76516">
      <w:r>
        <w:separator/>
      </w:r>
    </w:p>
  </w:endnote>
  <w:endnote w:type="continuationSeparator" w:id="1">
    <w:p w:rsidR="00C433D8" w:rsidRDefault="00C433D8" w:rsidP="00E76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33D8" w:rsidRDefault="00C433D8" w:rsidP="00E76516">
      <w:r>
        <w:separator/>
      </w:r>
    </w:p>
  </w:footnote>
  <w:footnote w:type="continuationSeparator" w:id="1">
    <w:p w:rsidR="00C433D8" w:rsidRDefault="00C433D8" w:rsidP="00E76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BFA439"/>
    <w:multiLevelType w:val="singleLevel"/>
    <w:tmpl w:val="AEBFA439"/>
    <w:lvl w:ilvl="0">
      <w:start w:val="8"/>
      <w:numFmt w:val="chineseCounting"/>
      <w:suff w:val="nothing"/>
      <w:lvlText w:val="%1、"/>
      <w:lvlJc w:val="left"/>
      <w:rPr>
        <w:rFonts w:hint="eastAsia"/>
      </w:rPr>
    </w:lvl>
  </w:abstractNum>
  <w:abstractNum w:abstractNumId="1">
    <w:nsid w:val="DA3F23D7"/>
    <w:multiLevelType w:val="singleLevel"/>
    <w:tmpl w:val="DA3F23D7"/>
    <w:lvl w:ilvl="0">
      <w:start w:val="5"/>
      <w:numFmt w:val="chineseCounting"/>
      <w:suff w:val="nothing"/>
      <w:lvlText w:val="（%1）"/>
      <w:lvlJc w:val="left"/>
      <w:rPr>
        <w:rFonts w:hint="eastAsia"/>
      </w:rPr>
    </w:lvl>
  </w:abstractNum>
  <w:abstractNum w:abstractNumId="2">
    <w:nsid w:val="04FCC1A9"/>
    <w:multiLevelType w:val="singleLevel"/>
    <w:tmpl w:val="04FCC1A9"/>
    <w:lvl w:ilvl="0">
      <w:start w:val="3"/>
      <w:numFmt w:val="chineseCounting"/>
      <w:suff w:val="nothing"/>
      <w:lvlText w:val="%1、"/>
      <w:lvlJc w:val="left"/>
      <w:rPr>
        <w:rFonts w:hint="eastAsia"/>
      </w:rPr>
    </w:lvl>
  </w:abstractNum>
  <w:abstractNum w:abstractNumId="3">
    <w:nsid w:val="068F53FF"/>
    <w:multiLevelType w:val="singleLevel"/>
    <w:tmpl w:val="068F53FF"/>
    <w:lvl w:ilvl="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Q1MWIwYjczN2M4YzY1ZGJjZGM1YjNmNzBlZGEwYjMifQ=="/>
  </w:docVars>
  <w:rsids>
    <w:rsidRoot w:val="002C39AC"/>
    <w:rsid w:val="002C39AC"/>
    <w:rsid w:val="00806678"/>
    <w:rsid w:val="00C433D8"/>
    <w:rsid w:val="00E76516"/>
    <w:rsid w:val="4B231A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2C39A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样式 正文 首行缩进:  2 字符"/>
    <w:basedOn w:val="a"/>
    <w:uiPriority w:val="99"/>
    <w:qFormat/>
    <w:rsid w:val="002C39AC"/>
    <w:pPr>
      <w:ind w:firstLineChars="200" w:firstLine="518"/>
    </w:pPr>
  </w:style>
  <w:style w:type="paragraph" w:styleId="a3">
    <w:name w:val="List Paragraph"/>
    <w:basedOn w:val="a"/>
    <w:uiPriority w:val="99"/>
    <w:qFormat/>
    <w:rsid w:val="002C39AC"/>
    <w:pPr>
      <w:ind w:firstLineChars="200" w:firstLine="420"/>
    </w:pPr>
    <w:rPr>
      <w:rFonts w:ascii="Calibri" w:hAnsi="Calibri"/>
      <w:szCs w:val="22"/>
    </w:rPr>
  </w:style>
  <w:style w:type="paragraph" w:styleId="a4">
    <w:name w:val="header"/>
    <w:basedOn w:val="a"/>
    <w:link w:val="Char"/>
    <w:rsid w:val="00E765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76516"/>
    <w:rPr>
      <w:rFonts w:ascii="Times New Roman" w:eastAsia="宋体" w:hAnsi="Times New Roman" w:cs="Times New Roman"/>
      <w:kern w:val="2"/>
      <w:sz w:val="18"/>
      <w:szCs w:val="18"/>
    </w:rPr>
  </w:style>
  <w:style w:type="paragraph" w:styleId="a5">
    <w:name w:val="footer"/>
    <w:basedOn w:val="a"/>
    <w:link w:val="Char0"/>
    <w:rsid w:val="00E76516"/>
    <w:pPr>
      <w:tabs>
        <w:tab w:val="center" w:pos="4153"/>
        <w:tab w:val="right" w:pos="8306"/>
      </w:tabs>
      <w:snapToGrid w:val="0"/>
      <w:jc w:val="left"/>
    </w:pPr>
    <w:rPr>
      <w:sz w:val="18"/>
      <w:szCs w:val="18"/>
    </w:rPr>
  </w:style>
  <w:style w:type="character" w:customStyle="1" w:styleId="Char0">
    <w:name w:val="页脚 Char"/>
    <w:basedOn w:val="a0"/>
    <w:link w:val="a5"/>
    <w:rsid w:val="00E76516"/>
    <w:rPr>
      <w:rFonts w:ascii="Times New Roman" w:eastAsia="宋体" w:hAnsi="Times New Roman" w:cs="Times New Roman"/>
      <w:kern w:val="2"/>
      <w:sz w:val="18"/>
      <w:szCs w:val="18"/>
    </w:rPr>
  </w:style>
  <w:style w:type="paragraph" w:styleId="a6">
    <w:name w:val="Body Text"/>
    <w:basedOn w:val="a"/>
    <w:link w:val="Char1"/>
    <w:qFormat/>
    <w:rsid w:val="00806678"/>
    <w:pPr>
      <w:spacing w:after="120"/>
    </w:pPr>
    <w:rPr>
      <w:rFonts w:ascii="Calibri" w:hAnsi="Calibri"/>
      <w:szCs w:val="22"/>
    </w:rPr>
  </w:style>
  <w:style w:type="character" w:customStyle="1" w:styleId="Char1">
    <w:name w:val="正文文本 Char"/>
    <w:basedOn w:val="a0"/>
    <w:link w:val="a6"/>
    <w:rsid w:val="00806678"/>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7</Pages>
  <Words>3804</Words>
  <Characters>314</Characters>
  <Application>Microsoft Office Word</Application>
  <DocSecurity>0</DocSecurity>
  <Lines>2</Lines>
  <Paragraphs>8</Paragraphs>
  <ScaleCrop>false</ScaleCrop>
  <Company/>
  <LinksUpToDate>false</LinksUpToDate>
  <CharactersWithSpaces>4110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ysdw049</cp:lastModifiedBy>
  <cp:revision>2</cp:revision>
  <dcterms:created xsi:type="dcterms:W3CDTF">2024-05-22T06:51:00Z</dcterms:created>
  <dcterms:modified xsi:type="dcterms:W3CDTF">2025-07-01T09:43:00Z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1B7F4FF3E0AD47A7BA46B5C4750E6D2D_12</vt:lpwstr>
  </property>
</Properties>
</file>