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19012">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楷体_GB2312" w:hAnsi="仿宋" w:eastAsia="楷体_GB2312"/>
          <w:b/>
          <w:sz w:val="30"/>
          <w:szCs w:val="30"/>
        </w:rPr>
      </w:pPr>
    </w:p>
    <w:p w14:paraId="1F06C0D1">
      <w:pPr>
        <w:keepNext w:val="0"/>
        <w:keepLines w:val="0"/>
        <w:pageBreakBefore w:val="0"/>
        <w:widowControl w:val="0"/>
        <w:kinsoku/>
        <w:wordWrap/>
        <w:overflowPunct/>
        <w:topLinePunct w:val="0"/>
        <w:autoSpaceDE/>
        <w:autoSpaceDN/>
        <w:bidi w:val="0"/>
        <w:adjustRightInd/>
        <w:snapToGrid w:val="0"/>
        <w:spacing w:before="469" w:beforeLines="150" w:line="580" w:lineRule="exact"/>
        <w:ind w:firstLine="4819" w:firstLineChars="1600"/>
        <w:jc w:val="right"/>
        <w:textAlignment w:val="auto"/>
        <w:rPr>
          <w:rFonts w:ascii="楷体_GB2312" w:hAnsi="仿宋" w:eastAsia="楷体_GB2312"/>
          <w:b/>
          <w:color w:val="auto"/>
          <w:sz w:val="30"/>
          <w:szCs w:val="30"/>
          <w:highlight w:val="none"/>
        </w:rPr>
      </w:pPr>
      <w:r>
        <w:rPr>
          <w:rFonts w:hint="eastAsia" w:ascii="楷体_GB2312" w:hAnsi="仿宋" w:eastAsia="楷体_GB2312"/>
          <w:b/>
          <w:color w:val="auto"/>
          <w:sz w:val="30"/>
          <w:szCs w:val="30"/>
          <w:highlight w:val="none"/>
        </w:rPr>
        <w:t xml:space="preserve"> </w:t>
      </w:r>
      <w:r>
        <w:rPr>
          <w:rFonts w:hint="eastAsia" w:ascii="楷体_GB2312" w:hAnsi="仿宋" w:eastAsia="楷体_GB2312"/>
          <w:b/>
          <w:color w:val="auto"/>
          <w:sz w:val="30"/>
          <w:szCs w:val="30"/>
          <w:highlight w:val="none"/>
          <w:lang w:val="en-US" w:eastAsia="zh-CN"/>
        </w:rPr>
        <w:t xml:space="preserve">   </w:t>
      </w:r>
      <w:r>
        <w:rPr>
          <w:rFonts w:hint="eastAsia" w:ascii="楷体_GB2312" w:hAnsi="仿宋" w:eastAsia="楷体_GB2312"/>
          <w:b/>
          <w:color w:val="auto"/>
          <w:sz w:val="30"/>
          <w:szCs w:val="30"/>
          <w:highlight w:val="none"/>
        </w:rPr>
        <w:t>岳</w:t>
      </w:r>
      <w:r>
        <w:rPr>
          <w:rFonts w:hint="eastAsia" w:ascii="楷体_GB2312" w:hAnsi="仿宋" w:eastAsia="楷体_GB2312"/>
          <w:b/>
          <w:color w:val="auto"/>
          <w:sz w:val="30"/>
          <w:szCs w:val="30"/>
          <w:highlight w:val="none"/>
          <w:lang w:val="en-US" w:eastAsia="zh-CN"/>
        </w:rPr>
        <w:t>云</w:t>
      </w:r>
      <w:r>
        <w:rPr>
          <w:rFonts w:hint="eastAsia" w:ascii="楷体_GB2312" w:hAnsi="仿宋" w:eastAsia="楷体_GB2312"/>
          <w:b/>
          <w:color w:val="auto"/>
          <w:sz w:val="30"/>
          <w:szCs w:val="30"/>
          <w:highlight w:val="none"/>
        </w:rPr>
        <w:t>环评〔202</w:t>
      </w:r>
      <w:r>
        <w:rPr>
          <w:rFonts w:hint="eastAsia" w:ascii="楷体_GB2312" w:hAnsi="仿宋" w:eastAsia="楷体_GB2312"/>
          <w:b/>
          <w:color w:val="auto"/>
          <w:sz w:val="30"/>
          <w:szCs w:val="30"/>
          <w:highlight w:val="none"/>
          <w:lang w:val="en-US" w:eastAsia="zh-CN"/>
        </w:rPr>
        <w:t>6</w:t>
      </w:r>
      <w:r>
        <w:rPr>
          <w:rFonts w:hint="eastAsia" w:ascii="楷体_GB2312" w:hAnsi="仿宋" w:eastAsia="楷体_GB2312"/>
          <w:b/>
          <w:color w:val="auto"/>
          <w:sz w:val="30"/>
          <w:szCs w:val="30"/>
          <w:highlight w:val="none"/>
        </w:rPr>
        <w:t>〕</w:t>
      </w:r>
      <w:r>
        <w:rPr>
          <w:rFonts w:hint="eastAsia" w:ascii="楷体_GB2312" w:hAnsi="仿宋" w:eastAsia="楷体_GB2312"/>
          <w:b/>
          <w:color w:val="auto"/>
          <w:sz w:val="30"/>
          <w:szCs w:val="30"/>
          <w:highlight w:val="none"/>
          <w:lang w:val="en-US" w:eastAsia="zh-CN"/>
        </w:rPr>
        <w:t>3</w:t>
      </w:r>
      <w:r>
        <w:rPr>
          <w:rFonts w:hint="eastAsia" w:ascii="楷体_GB2312" w:hAnsi="仿宋" w:eastAsia="楷体_GB2312" w:cs="Times New Roman"/>
          <w:b/>
          <w:color w:val="auto"/>
          <w:sz w:val="30"/>
          <w:szCs w:val="30"/>
          <w:highlight w:val="none"/>
        </w:rPr>
        <w:t>号</w:t>
      </w:r>
    </w:p>
    <w:p w14:paraId="0EFC9943">
      <w:pPr>
        <w:pStyle w:val="4"/>
        <w:spacing w:before="0" w:after="156" w:afterLines="50" w:line="580" w:lineRule="exact"/>
        <w:jc w:val="center"/>
        <w:rPr>
          <w:rFonts w:hint="eastAsia" w:ascii="方正小标宋简体" w:hAnsi="方正小标宋简体" w:eastAsia="方正小标宋简体" w:cs="方正小标宋简体"/>
          <w:b w:val="0"/>
          <w:bCs/>
          <w:color w:val="auto"/>
          <w:spacing w:val="-11"/>
        </w:rPr>
      </w:pPr>
      <w:r>
        <w:rPr>
          <w:rFonts w:hint="eastAsia" w:ascii="方正小标宋简体" w:hAnsi="方正小标宋简体" w:eastAsia="方正小标宋简体" w:cs="方正小标宋简体"/>
          <w:b w:val="0"/>
          <w:bCs/>
          <w:color w:val="auto"/>
          <w:spacing w:val="-11"/>
        </w:rPr>
        <w:t>关于</w:t>
      </w:r>
      <w:r>
        <w:rPr>
          <w:rFonts w:hint="eastAsia" w:ascii="方正小标宋简体" w:hAnsi="方正小标宋简体" w:eastAsia="方正小标宋简体" w:cs="方正小标宋简体"/>
          <w:b w:val="0"/>
          <w:bCs/>
          <w:color w:val="auto"/>
          <w:spacing w:val="-11"/>
          <w:lang w:val="en-US" w:eastAsia="zh-CN"/>
        </w:rPr>
        <w:t>湖南鲲鹏祥远材料科技有限公司4万吨/年废催化裂化催化剂综合利用项目</w:t>
      </w:r>
      <w:r>
        <w:rPr>
          <w:rFonts w:hint="eastAsia" w:ascii="方正小标宋简体" w:hAnsi="方正小标宋简体" w:eastAsia="方正小标宋简体" w:cs="方正小标宋简体"/>
          <w:b w:val="0"/>
          <w:bCs/>
          <w:color w:val="auto"/>
          <w:spacing w:val="-11"/>
        </w:rPr>
        <w:t>环境影响报告表的批复</w:t>
      </w:r>
    </w:p>
    <w:p w14:paraId="7698278C">
      <w:pPr>
        <w:keepNext w:val="0"/>
        <w:keepLines w:val="0"/>
        <w:pageBreakBefore w:val="0"/>
        <w:kinsoku/>
        <w:wordWrap/>
        <w:overflowPunct/>
        <w:topLinePunct w:val="0"/>
        <w:autoSpaceDE/>
        <w:autoSpaceDN/>
        <w:bidi w:val="0"/>
        <w:adjustRightInd/>
        <w:snapToGrid/>
        <w:spacing w:line="580" w:lineRule="exac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湖南鲲鹏祥远材料科技有限公司</w:t>
      </w:r>
      <w:r>
        <w:rPr>
          <w:rFonts w:hint="eastAsia" w:ascii="仿宋_GB2312" w:hAnsi="仿宋_GB2312" w:eastAsia="仿宋_GB2312" w:cs="仿宋_GB2312"/>
          <w:color w:val="auto"/>
          <w:sz w:val="32"/>
          <w:szCs w:val="32"/>
        </w:rPr>
        <w:t>：</w:t>
      </w:r>
    </w:p>
    <w:p w14:paraId="53862F44">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你公司关于申请</w:t>
      </w:r>
      <w:r>
        <w:rPr>
          <w:rFonts w:hint="eastAsia" w:ascii="仿宋_GB2312" w:hAnsi="仿宋_GB2312" w:eastAsia="仿宋_GB2312" w:cs="仿宋_GB2312"/>
          <w:color w:val="auto"/>
          <w:kern w:val="2"/>
          <w:sz w:val="32"/>
          <w:szCs w:val="32"/>
          <w:lang w:val="en-US" w:eastAsia="zh-CN"/>
        </w:rPr>
        <w:t>湖南鲲鹏祥远材料科技有限公司4万吨/年废催化裂化催化剂综合利用项目</w:t>
      </w:r>
      <w:r>
        <w:rPr>
          <w:rFonts w:hint="eastAsia" w:ascii="仿宋_GB2312" w:hAnsi="仿宋_GB2312" w:eastAsia="仿宋_GB2312" w:cs="仿宋_GB2312"/>
          <w:color w:val="auto"/>
          <w:kern w:val="2"/>
          <w:sz w:val="32"/>
          <w:szCs w:val="32"/>
          <w:lang w:eastAsia="zh-CN"/>
        </w:rPr>
        <w:t>环境影响报告表</w:t>
      </w:r>
      <w:r>
        <w:rPr>
          <w:rFonts w:hint="eastAsia" w:ascii="仿宋_GB2312" w:hAnsi="仿宋_GB2312" w:eastAsia="仿宋_GB2312" w:cs="仿宋_GB2312"/>
          <w:color w:val="auto"/>
          <w:kern w:val="2"/>
          <w:sz w:val="32"/>
          <w:szCs w:val="32"/>
        </w:rPr>
        <w:t>批复的有关函件及附件收悉。经研究，批复如下</w:t>
      </w:r>
      <w:r>
        <w:rPr>
          <w:rFonts w:hint="eastAsia" w:ascii="仿宋_GB2312" w:hAnsi="仿宋_GB2312" w:eastAsia="仿宋_GB2312" w:cs="仿宋_GB2312"/>
          <w:color w:val="auto"/>
          <w:kern w:val="2"/>
          <w:sz w:val="32"/>
          <w:szCs w:val="32"/>
          <w:lang w:eastAsia="zh-CN"/>
        </w:rPr>
        <w:t>：</w:t>
      </w:r>
    </w:p>
    <w:p w14:paraId="69AFCCB5">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kern w:val="2"/>
          <w:sz w:val="32"/>
          <w:szCs w:val="32"/>
          <w:lang w:val="en-US" w:eastAsia="zh-CN"/>
        </w:rPr>
        <w:t>湖南鲲鹏祥远材料科技有限公司4万吨/年废催化裂化催化剂综合利用项目位于</w:t>
      </w:r>
      <w:r>
        <w:rPr>
          <w:rFonts w:hint="eastAsia" w:ascii="仿宋_GB2312" w:hAnsi="仿宋_GB2312" w:eastAsia="仿宋_GB2312" w:cs="仿宋_GB2312"/>
          <w:color w:val="auto"/>
          <w:kern w:val="2"/>
          <w:sz w:val="32"/>
          <w:szCs w:val="32"/>
          <w:lang w:eastAsia="zh-CN"/>
        </w:rPr>
        <w:t>湖南省岳阳市云溪区云溪街道湖南岳阳绿色化工高新技术产业开发区扬帆大道10号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项目总投资</w:t>
      </w:r>
      <w:r>
        <w:rPr>
          <w:rFonts w:hint="eastAsia" w:ascii="仿宋_GB2312" w:hAnsi="仿宋_GB2312" w:eastAsia="仿宋_GB2312" w:cs="仿宋_GB2312"/>
          <w:color w:val="auto"/>
          <w:sz w:val="32"/>
          <w:szCs w:val="32"/>
          <w:lang w:val="en-US" w:eastAsia="zh-CN"/>
        </w:rPr>
        <w:t>180</w:t>
      </w:r>
      <w:r>
        <w:rPr>
          <w:rFonts w:hint="eastAsia" w:ascii="仿宋_GB2312" w:hAnsi="仿宋_GB2312" w:eastAsia="仿宋_GB2312" w:cs="仿宋_GB2312"/>
          <w:color w:val="auto"/>
          <w:sz w:val="32"/>
          <w:szCs w:val="32"/>
          <w:lang w:eastAsia="zh-CN"/>
        </w:rPr>
        <w:t>万元，其中环保投资</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万元，占总投资的</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项目主要建设内容为新增一条催化裂化开工剂生产线和一条路基水稳层添加剂生产线。产品及规模为年产催化裂化开工剂11000吨和年产路基水稳层添加剂31200吨。其中，催化裂化开工剂生产线年利用废催化裂化催化剂10000吨，配套催化裂化高效助剂1000吨;路基水稳层添加剂生产线年利用废催化裂化催化剂30000吨，配套固化剂600吨、水600吨，两条生产线年综合利用废催化裂化催化剂4万吨。项目所使用的废催化裂化催化剂必须附有固废鉴定报告，明确认定为一般固废。</w:t>
      </w:r>
    </w:p>
    <w:p w14:paraId="33113231">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jc w:val="both"/>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根据长沙新智力环保科技有限责任公司编制的建设项目环境影响报告表基本内容、结论及专家评审意见，我局原则同意你司环境影响报告表中环境影响评价结论和环境保护对策措施。</w:t>
      </w:r>
    </w:p>
    <w:p w14:paraId="375013BC">
      <w:pPr>
        <w:keepNext w:val="0"/>
        <w:keepLines w:val="0"/>
        <w:pageBreakBefore w:val="0"/>
        <w:kinsoku/>
        <w:wordWrap/>
        <w:overflowPunct/>
        <w:topLinePunct w:val="0"/>
        <w:autoSpaceDE/>
        <w:autoSpaceDN/>
        <w:bidi w:val="0"/>
        <w:adjustRightInd/>
        <w:snapToGrid/>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二、项目在施工及营运期间须全面落实专家及环境影响报告表中提出的各项污染物防治措施，切实加强环境管理，确保污防设施长期稳定运行、污染物达标排放，并着重做好以下几点工作。</w:t>
      </w:r>
    </w:p>
    <w:p w14:paraId="378F7B4C">
      <w:pPr>
        <w:pStyle w:val="22"/>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lang w:val="en-US" w:eastAsia="zh-CN"/>
        </w:rPr>
        <w:t>1.落实施工期污染防治措施。</w:t>
      </w:r>
      <w:r>
        <w:rPr>
          <w:rFonts w:hint="eastAsia" w:ascii="仿宋_GB2312" w:hAnsi="仿宋_GB2312" w:eastAsia="仿宋_GB2312" w:cs="仿宋_GB2312"/>
          <w:color w:val="auto"/>
          <w:sz w:val="32"/>
          <w:szCs w:val="32"/>
          <w:highlight w:val="none"/>
        </w:rPr>
        <w:t>采取边界围挡、物料遮盖、定期</w:t>
      </w:r>
      <w:r>
        <w:rPr>
          <w:rFonts w:hint="eastAsia" w:ascii="仿宋_GB2312" w:hAnsi="仿宋_GB2312" w:eastAsia="仿宋_GB2312" w:cs="仿宋_GB2312"/>
          <w:color w:val="auto"/>
          <w:sz w:val="32"/>
          <w:szCs w:val="32"/>
          <w:highlight w:val="none"/>
          <w:lang w:val="en-US" w:eastAsia="zh-CN"/>
        </w:rPr>
        <w:t>洒</w:t>
      </w:r>
      <w:r>
        <w:rPr>
          <w:rFonts w:hint="eastAsia" w:ascii="仿宋_GB2312" w:hAnsi="仿宋_GB2312" w:eastAsia="仿宋_GB2312" w:cs="仿宋_GB2312"/>
          <w:color w:val="auto"/>
          <w:sz w:val="32"/>
          <w:szCs w:val="32"/>
          <w:highlight w:val="none"/>
        </w:rPr>
        <w:t>水等措施减少扬尘污染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选用低噪声施工设备，合理布局等措施控制声环境影响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建筑垃圾及生活垃圾</w:t>
      </w:r>
      <w:r>
        <w:rPr>
          <w:rFonts w:hint="eastAsia" w:ascii="仿宋_GB2312" w:hAnsi="仿宋_GB2312" w:eastAsia="仿宋_GB2312" w:cs="仿宋_GB2312"/>
          <w:color w:val="auto"/>
          <w:sz w:val="32"/>
          <w:szCs w:val="32"/>
          <w:highlight w:val="none"/>
          <w:lang w:val="en-US" w:eastAsia="zh-CN"/>
        </w:rPr>
        <w:t>分类堆放</w:t>
      </w:r>
      <w:r>
        <w:rPr>
          <w:rFonts w:hint="eastAsia" w:ascii="仿宋_GB2312" w:hAnsi="仿宋_GB2312" w:eastAsia="仿宋_GB2312" w:cs="仿宋_GB2312"/>
          <w:color w:val="auto"/>
          <w:sz w:val="32"/>
          <w:szCs w:val="32"/>
          <w:highlight w:val="none"/>
        </w:rPr>
        <w:t>在指定地点、妥善处置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施工期</w:t>
      </w:r>
      <w:r>
        <w:rPr>
          <w:rFonts w:hint="eastAsia" w:ascii="仿宋_GB2312" w:hAnsi="仿宋_GB2312" w:eastAsia="仿宋_GB2312" w:cs="仿宋_GB2312"/>
          <w:color w:val="auto"/>
          <w:sz w:val="32"/>
          <w:szCs w:val="32"/>
          <w:highlight w:val="none"/>
        </w:rPr>
        <w:t>各类废水应收尽收、合理处置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切实落实施工期各项环保工作，尽量缩短施工期。</w:t>
      </w:r>
    </w:p>
    <w:p w14:paraId="0787CCC3">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color w:val="auto"/>
          <w:kern w:val="2"/>
          <w:sz w:val="32"/>
          <w:szCs w:val="32"/>
          <w:highlight w:val="none"/>
          <w:lang w:val="en-US" w:eastAsia="zh-CN" w:bidi="ar"/>
        </w:rPr>
      </w:pP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rPr>
        <w:t>.加强废气污染防治工作。</w:t>
      </w:r>
      <w:r>
        <w:rPr>
          <w:rFonts w:hint="eastAsia" w:ascii="仿宋_GB2312" w:hAnsi="仿宋_GB2312" w:eastAsia="仿宋_GB2312" w:cs="仿宋_GB2312"/>
          <w:sz w:val="32"/>
          <w:szCs w:val="32"/>
        </w:rPr>
        <w:t>严格控制项目废气污染，规范建设各废气集排气系统和处理设施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加强日常监管，规范操作，物料密闭投加、输送，采取</w:t>
      </w:r>
      <w:r>
        <w:rPr>
          <w:rFonts w:hint="eastAsia" w:ascii="仿宋_GB2312" w:hAnsi="仿宋_GB2312" w:eastAsia="仿宋_GB2312" w:cs="仿宋_GB2312"/>
          <w:sz w:val="32"/>
          <w:szCs w:val="32"/>
          <w:highlight w:val="none"/>
        </w:rPr>
        <w:t>有效措施提高废气收集率，定期对生产设备、管路管线、机泵等设施进行巡检和维护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防止跑冒滴漏，最大限度减少生产过程中的废气无组织排放。</w:t>
      </w:r>
      <w:r>
        <w:rPr>
          <w:rFonts w:hint="eastAsia" w:ascii="仿宋_GB2312" w:hAnsi="仿宋_GB2312" w:eastAsia="仿宋_GB2312" w:cs="仿宋_GB2312"/>
          <w:color w:val="auto"/>
          <w:sz w:val="32"/>
          <w:szCs w:val="32"/>
          <w:highlight w:val="none"/>
        </w:rPr>
        <w:t>本项目</w:t>
      </w:r>
      <w:r>
        <w:rPr>
          <w:rFonts w:hint="eastAsia" w:ascii="仿宋_GB2312" w:hAnsi="仿宋_GB2312" w:eastAsia="仿宋_GB2312" w:cs="仿宋_GB2312"/>
          <w:color w:val="auto"/>
          <w:sz w:val="32"/>
          <w:szCs w:val="32"/>
          <w:highlight w:val="none"/>
          <w:lang w:val="en-US" w:eastAsia="zh-CN"/>
        </w:rPr>
        <w:t>生产</w:t>
      </w:r>
      <w:r>
        <w:rPr>
          <w:rFonts w:hint="eastAsia" w:ascii="仿宋_GB2312" w:hAnsi="仿宋_GB2312" w:eastAsia="仿宋_GB2312" w:cs="仿宋_GB2312"/>
          <w:color w:val="auto"/>
          <w:sz w:val="32"/>
          <w:szCs w:val="32"/>
          <w:highlight w:val="none"/>
        </w:rPr>
        <w:t>废气主要为催化裂化开工剂</w:t>
      </w:r>
      <w:r>
        <w:rPr>
          <w:rFonts w:hint="eastAsia" w:ascii="仿宋_GB2312" w:hAnsi="仿宋_GB2312" w:eastAsia="仿宋_GB2312" w:cs="仿宋_GB2312"/>
          <w:color w:val="auto"/>
          <w:sz w:val="32"/>
          <w:szCs w:val="32"/>
          <w:highlight w:val="none"/>
          <w:lang w:eastAsia="zh-CN"/>
        </w:rPr>
        <w:t>上料及混合搅拌过程中产生的粉尘。</w:t>
      </w:r>
      <w:r>
        <w:rPr>
          <w:rFonts w:hint="eastAsia" w:ascii="仿宋_GB2312" w:hAnsi="仿宋_GB2312" w:eastAsia="仿宋_GB2312" w:cs="仿宋_GB2312"/>
          <w:color w:val="auto"/>
          <w:sz w:val="32"/>
          <w:szCs w:val="32"/>
          <w:highlight w:val="none"/>
          <w:lang w:val="en-US" w:eastAsia="zh-CN"/>
        </w:rPr>
        <w:t>项目生产废气经密闭管道收集后，进入</w:t>
      </w:r>
      <w:r>
        <w:rPr>
          <w:rFonts w:hint="default" w:ascii="仿宋_GB2312" w:hAnsi="仿宋_GB2312" w:eastAsia="仿宋_GB2312" w:cs="仿宋_GB2312"/>
          <w:color w:val="auto"/>
          <w:sz w:val="32"/>
          <w:szCs w:val="32"/>
          <w:highlight w:val="none"/>
          <w:lang w:val="en-US" w:eastAsia="zh-CN"/>
        </w:rPr>
        <w:t>布袋除尘器</w:t>
      </w:r>
      <w:r>
        <w:rPr>
          <w:rFonts w:hint="eastAsia" w:ascii="仿宋_GB2312" w:hAnsi="仿宋_GB2312" w:eastAsia="仿宋_GB2312" w:cs="仿宋_GB2312"/>
          <w:color w:val="auto"/>
          <w:sz w:val="32"/>
          <w:szCs w:val="32"/>
          <w:highlight w:val="none"/>
          <w:lang w:val="en-US" w:eastAsia="zh-CN"/>
        </w:rPr>
        <w:t>装置进行处理，依托现有15米高的DA002排气筒达标排放。</w:t>
      </w:r>
      <w:r>
        <w:rPr>
          <w:rFonts w:hint="eastAsia" w:ascii="仿宋_GB2312" w:hAnsi="仿宋_GB2312" w:eastAsia="仿宋_GB2312" w:cs="仿宋_GB2312"/>
          <w:color w:val="auto"/>
          <w:kern w:val="2"/>
          <w:sz w:val="32"/>
          <w:szCs w:val="32"/>
          <w:highlight w:val="none"/>
          <w:lang w:val="en-US" w:eastAsia="zh-CN"/>
        </w:rPr>
        <w:t>项目</w:t>
      </w:r>
      <w:r>
        <w:rPr>
          <w:rFonts w:hint="eastAsia" w:ascii="仿宋_GB2312" w:hAnsi="仿宋_GB2312" w:eastAsia="仿宋_GB2312" w:cs="仿宋_GB2312"/>
          <w:color w:val="auto"/>
          <w:sz w:val="32"/>
          <w:szCs w:val="32"/>
          <w:highlight w:val="none"/>
          <w:lang w:val="en-US" w:eastAsia="zh-CN"/>
        </w:rPr>
        <w:t>有组织</w:t>
      </w:r>
      <w:r>
        <w:rPr>
          <w:rFonts w:hint="default" w:ascii="仿宋_GB2312" w:hAnsi="仿宋_GB2312" w:eastAsia="仿宋_GB2312" w:cs="仿宋_GB2312"/>
          <w:color w:val="auto"/>
          <w:sz w:val="32"/>
          <w:szCs w:val="32"/>
          <w:highlight w:val="none"/>
        </w:rPr>
        <w:t>废气</w:t>
      </w:r>
      <w:r>
        <w:rPr>
          <w:rFonts w:hint="eastAsia" w:ascii="仿宋_GB2312" w:hAnsi="仿宋_GB2312" w:eastAsia="仿宋_GB2312" w:cs="仿宋_GB2312"/>
          <w:color w:val="auto"/>
          <w:kern w:val="2"/>
          <w:sz w:val="32"/>
          <w:szCs w:val="32"/>
          <w:highlight w:val="none"/>
          <w:lang w:val="en-US" w:eastAsia="zh-CN"/>
        </w:rPr>
        <w:t>颗粒物执行《大气污染物综合排放标准》（GB16297-1996）表2二级标准排放限值要求。</w:t>
      </w:r>
      <w:r>
        <w:rPr>
          <w:rFonts w:hint="eastAsia" w:ascii="仿宋_GB2312" w:hAnsi="仿宋_GB2312" w:eastAsia="仿宋_GB2312" w:cs="仿宋_GB2312"/>
          <w:color w:val="auto"/>
          <w:kern w:val="2"/>
          <w:sz w:val="32"/>
          <w:szCs w:val="32"/>
          <w:highlight w:val="none"/>
          <w:lang w:val="en-US" w:eastAsia="zh-CN" w:bidi="ar"/>
        </w:rPr>
        <w:t>厂界无组织</w:t>
      </w:r>
      <w:r>
        <w:rPr>
          <w:rFonts w:hint="eastAsia" w:ascii="仿宋_GB2312" w:hAnsi="仿宋_GB2312" w:eastAsia="仿宋_GB2312" w:cs="仿宋_GB2312"/>
          <w:color w:val="auto"/>
          <w:kern w:val="2"/>
          <w:sz w:val="32"/>
          <w:szCs w:val="32"/>
          <w:highlight w:val="none"/>
          <w:lang w:val="en-US" w:eastAsia="zh-CN"/>
        </w:rPr>
        <w:t>废气颗粒物执</w:t>
      </w:r>
      <w:r>
        <w:rPr>
          <w:rFonts w:hint="eastAsia" w:ascii="仿宋_GB2312" w:hAnsi="仿宋_GB2312" w:eastAsia="仿宋_GB2312" w:cs="仿宋_GB2312"/>
          <w:color w:val="auto"/>
          <w:kern w:val="2"/>
          <w:sz w:val="32"/>
          <w:szCs w:val="32"/>
          <w:highlight w:val="none"/>
          <w:lang w:val="en-US" w:eastAsia="zh-CN" w:bidi="ar"/>
        </w:rPr>
        <w:t>行《大气污染物综合排放标准》（GB16297-1996）表2无组织排放监控浓度限值。</w:t>
      </w:r>
    </w:p>
    <w:p w14:paraId="12BE69BB">
      <w:pPr>
        <w:pStyle w:val="2"/>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加强废水污染防治工作。项目须严格按照“雨污分流、清污分流、污污分流”的原则完善厂区雨污水管网。本项目仅产生生活废水，不产生生产废水。生活废水依托现有工程化粪池处理后进入市政污水管网。项目外排废水满足《污水综合排放标准》（GB8978-1996）表4中的三级标准与云溪区污水处理厂纳管标准的较严值。</w:t>
      </w:r>
    </w:p>
    <w:p w14:paraId="6416EE52">
      <w:pPr>
        <w:pStyle w:val="5"/>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rPr>
      </w:pPr>
      <w:r>
        <w:rPr>
          <w:rFonts w:hint="eastAsia" w:ascii="楷体_GB2312" w:hAnsi="楷体_GB2312" w:eastAsia="楷体_GB2312" w:cs="楷体_GB2312"/>
          <w:color w:val="auto"/>
          <w:sz w:val="32"/>
          <w:szCs w:val="32"/>
          <w:lang w:val="en-US" w:eastAsia="zh-CN"/>
        </w:rPr>
        <w:t>4</w:t>
      </w:r>
      <w:r>
        <w:rPr>
          <w:rFonts w:hint="eastAsia" w:ascii="楷体_GB2312" w:hAnsi="楷体_GB2312" w:eastAsia="楷体_GB2312" w:cs="楷体_GB2312"/>
          <w:color w:val="auto"/>
          <w:sz w:val="32"/>
          <w:szCs w:val="32"/>
        </w:rPr>
        <w:t>.加</w:t>
      </w:r>
      <w:r>
        <w:rPr>
          <w:rFonts w:hint="eastAsia" w:ascii="楷体_GB2312" w:hAnsi="楷体_GB2312" w:eastAsia="楷体_GB2312" w:cs="楷体_GB2312"/>
          <w:color w:val="auto"/>
          <w:sz w:val="32"/>
          <w:szCs w:val="32"/>
          <w:highlight w:val="none"/>
        </w:rPr>
        <w:t>强固体废物污染防治工作。</w:t>
      </w:r>
      <w:r>
        <w:rPr>
          <w:rFonts w:hint="eastAsia" w:ascii="仿宋_GB2312" w:hAnsi="仿宋_GB2312" w:eastAsia="仿宋_GB2312" w:cs="仿宋_GB2312"/>
          <w:color w:val="auto"/>
          <w:sz w:val="32"/>
          <w:szCs w:val="32"/>
          <w:highlight w:val="none"/>
        </w:rPr>
        <w:t>按“无害化、减量化、资源化”原则，做好</w:t>
      </w:r>
      <w:r>
        <w:rPr>
          <w:rFonts w:hint="eastAsia" w:ascii="仿宋_GB2312" w:hAnsi="仿宋_GB2312" w:eastAsia="仿宋_GB2312" w:cs="仿宋_GB2312"/>
          <w:color w:val="auto"/>
          <w:kern w:val="2"/>
          <w:sz w:val="32"/>
          <w:szCs w:val="32"/>
          <w:highlight w:val="none"/>
          <w:lang w:val="en-US" w:eastAsia="zh-CN"/>
        </w:rPr>
        <w:t>固体废物分类收集和综合利用工作，并建立健全固体废物管理台帐。项目产生的布袋除尘器收集的粉尘和地面清扫灰等一般工业固体废物回用于生产；废矿物油、废含油手套等危险废物须按《危险废物贮存污染控制标准》（GB18597-2023）</w:t>
      </w:r>
      <w:r>
        <w:rPr>
          <w:rFonts w:hint="eastAsia" w:ascii="仿宋_GB2312" w:hAnsi="仿宋_GB2312" w:eastAsia="仿宋_GB2312" w:cs="仿宋_GB2312"/>
          <w:color w:val="auto"/>
          <w:sz w:val="32"/>
          <w:szCs w:val="32"/>
          <w:highlight w:val="none"/>
          <w:lang w:eastAsia="zh-CN"/>
        </w:rPr>
        <w:t>安全贮存、</w:t>
      </w:r>
      <w:r>
        <w:rPr>
          <w:rFonts w:hint="eastAsia" w:ascii="仿宋_GB2312" w:hAnsi="仿宋_GB2312" w:eastAsia="仿宋_GB2312" w:cs="仿宋_GB2312"/>
          <w:color w:val="auto"/>
          <w:sz w:val="32"/>
          <w:szCs w:val="32"/>
          <w:highlight w:val="none"/>
          <w:lang w:val="en-US" w:eastAsia="zh-CN"/>
        </w:rPr>
        <w:t>妥善处置。</w:t>
      </w:r>
    </w:p>
    <w:p w14:paraId="5FDE15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lang w:val="en-US" w:eastAsia="zh-CN"/>
        </w:rPr>
        <w:t>5</w:t>
      </w:r>
      <w:r>
        <w:rPr>
          <w:rFonts w:hint="eastAsia" w:ascii="楷体_GB2312" w:hAnsi="楷体_GB2312" w:eastAsia="楷体_GB2312" w:cs="楷体_GB2312"/>
          <w:color w:val="auto"/>
          <w:sz w:val="32"/>
          <w:szCs w:val="32"/>
        </w:rPr>
        <w:t>.加强噪声污染防治工作。</w:t>
      </w:r>
      <w:r>
        <w:rPr>
          <w:rFonts w:hint="eastAsia" w:ascii="仿宋_GB2312" w:hAnsi="仿宋_GB2312" w:eastAsia="仿宋_GB2312" w:cs="仿宋_GB2312"/>
          <w:color w:val="auto"/>
          <w:sz w:val="32"/>
          <w:szCs w:val="32"/>
        </w:rPr>
        <w:t>通过采用低噪声设备、合理布局，并采取隔声、</w:t>
      </w:r>
      <w:r>
        <w:rPr>
          <w:rFonts w:hint="eastAsia" w:ascii="仿宋_GB2312" w:hAnsi="仿宋_GB2312" w:eastAsia="仿宋_GB2312" w:cs="仿宋_GB2312"/>
          <w:color w:val="auto"/>
          <w:kern w:val="2"/>
          <w:sz w:val="32"/>
          <w:szCs w:val="32"/>
          <w:lang w:val="en-US" w:eastAsia="zh-CN" w:bidi="ar-SA"/>
        </w:rPr>
        <w:t>减振</w:t>
      </w:r>
      <w:r>
        <w:rPr>
          <w:rFonts w:hint="eastAsia" w:ascii="仿宋_GB2312" w:hAnsi="仿宋_GB2312" w:eastAsia="仿宋_GB2312" w:cs="仿宋_GB2312"/>
          <w:color w:val="auto"/>
          <w:sz w:val="32"/>
          <w:szCs w:val="32"/>
        </w:rPr>
        <w:t>等措施，确保厂界噪声达到《工业企业厂界环境噪声排放标准》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GB12348-2008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类标准要求。</w:t>
      </w:r>
    </w:p>
    <w:p w14:paraId="5426176F">
      <w:pPr>
        <w:keepNext w:val="0"/>
        <w:keepLines w:val="0"/>
        <w:pageBreakBefore w:val="0"/>
        <w:kinsoku/>
        <w:wordWrap/>
        <w:overflowPunct/>
        <w:topLinePunct w:val="0"/>
        <w:autoSpaceDE/>
        <w:autoSpaceDN/>
        <w:bidi w:val="0"/>
        <w:adjustRightInd/>
        <w:snapToGrid/>
        <w:spacing w:line="580" w:lineRule="exact"/>
        <w:ind w:firstLine="640"/>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lang w:val="en-US" w:eastAsia="zh-CN"/>
        </w:rPr>
        <w:t>6</w:t>
      </w:r>
      <w:r>
        <w:rPr>
          <w:rFonts w:hint="eastAsia" w:ascii="楷体_GB2312" w:hAnsi="楷体_GB2312" w:eastAsia="楷体_GB2312" w:cs="楷体_GB2312"/>
          <w:color w:val="auto"/>
          <w:sz w:val="32"/>
          <w:szCs w:val="32"/>
        </w:rPr>
        <w:t>.加强营运期风险防范。</w:t>
      </w:r>
      <w:r>
        <w:rPr>
          <w:rFonts w:hint="eastAsia" w:ascii="仿宋_GB2312" w:hAnsi="仿宋_GB2312" w:eastAsia="仿宋_GB2312" w:cs="仿宋_GB2312"/>
          <w:color w:val="auto"/>
          <w:sz w:val="32"/>
          <w:szCs w:val="32"/>
        </w:rPr>
        <w:t>严格落实报告表提出的各项环境风险防范措施；按照《突发环境事件应急管理办法》的要求</w:t>
      </w:r>
      <w:r>
        <w:rPr>
          <w:rFonts w:hint="eastAsia" w:ascii="仿宋_GB2312" w:hAnsi="仿宋_GB2312" w:eastAsia="仿宋_GB2312" w:cs="仿宋_GB2312"/>
          <w:color w:val="auto"/>
          <w:sz w:val="32"/>
          <w:szCs w:val="32"/>
          <w:lang w:val="en-US" w:eastAsia="zh-CN"/>
        </w:rPr>
        <w:t>编制</w:t>
      </w:r>
      <w:r>
        <w:rPr>
          <w:rFonts w:hint="eastAsia" w:ascii="仿宋_GB2312" w:hAnsi="仿宋_GB2312" w:eastAsia="仿宋_GB2312" w:cs="仿宋_GB2312"/>
          <w:color w:val="auto"/>
          <w:sz w:val="32"/>
          <w:szCs w:val="32"/>
        </w:rPr>
        <w:t>突发环境事件应急预案，储备风险救助物资并组织演练，杜绝环境风险事故发生。</w:t>
      </w:r>
    </w:p>
    <w:p w14:paraId="5A3C372E">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color w:val="auto"/>
          <w:kern w:val="2"/>
          <w:sz w:val="32"/>
          <w:szCs w:val="32"/>
          <w:highlight w:val="red"/>
          <w:lang w:val="en-US" w:eastAsia="zh-CN"/>
        </w:rPr>
      </w:pPr>
      <w:r>
        <w:rPr>
          <w:rFonts w:hint="eastAsia" w:ascii="楷体_GB2312" w:hAnsi="楷体_GB2312" w:eastAsia="楷体_GB2312" w:cs="楷体_GB2312"/>
          <w:color w:val="auto"/>
          <w:sz w:val="32"/>
          <w:szCs w:val="32"/>
          <w:lang w:val="en-US" w:eastAsia="zh-CN"/>
        </w:rPr>
        <w:t>6</w:t>
      </w:r>
      <w:r>
        <w:rPr>
          <w:rFonts w:hint="eastAsia" w:ascii="楷体_GB2312" w:hAnsi="楷体_GB2312" w:eastAsia="楷体_GB2312" w:cs="楷体_GB2312"/>
          <w:color w:val="auto"/>
          <w:sz w:val="32"/>
          <w:szCs w:val="32"/>
        </w:rPr>
        <w:t>.加强生态环境管理。</w:t>
      </w:r>
      <w:r>
        <w:rPr>
          <w:rFonts w:hint="eastAsia" w:ascii="仿宋_GB2312" w:hAnsi="仿宋_GB2312" w:eastAsia="仿宋_GB2312" w:cs="仿宋_GB2312"/>
          <w:color w:val="auto"/>
          <w:sz w:val="32"/>
          <w:szCs w:val="32"/>
        </w:rPr>
        <w:t>建立健全污染防治设施运行管理台账，设立专门的环保机构及环保人员，确保各项污染防治设施的正常运行，各类污染物稳定达标排放。</w:t>
      </w:r>
    </w:p>
    <w:p w14:paraId="1C77D828">
      <w:pPr>
        <w:keepNext w:val="0"/>
        <w:keepLines w:val="0"/>
        <w:pageBreakBefore w:val="0"/>
        <w:kinsoku/>
        <w:wordWrap/>
        <w:overflowPunct/>
        <w:topLinePunct w:val="0"/>
        <w:autoSpaceDE/>
        <w:autoSpaceDN/>
        <w:bidi w:val="0"/>
        <w:adjustRightInd/>
        <w:snapToGrid/>
        <w:spacing w:line="58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三、你公司自收到本批复后，应在15个工作日内将批复及批准的环评报告</w:t>
      </w:r>
      <w:r>
        <w:rPr>
          <w:rFonts w:hint="eastAsia" w:ascii="仿宋_GB2312" w:hAnsi="仿宋_GB2312" w:eastAsia="仿宋_GB2312" w:cs="仿宋_GB2312"/>
          <w:color w:val="auto"/>
          <w:sz w:val="32"/>
          <w:szCs w:val="32"/>
          <w:highlight w:val="none"/>
        </w:rPr>
        <w:t>文本送长沙新智力环保科技有限责任公司</w:t>
      </w:r>
      <w:r>
        <w:rPr>
          <w:rFonts w:hint="eastAsia" w:ascii="仿宋_GB2312" w:hAnsi="仿宋_GB2312" w:eastAsia="仿宋_GB2312" w:cs="仿宋_GB2312"/>
          <w:color w:val="auto"/>
          <w:kern w:val="2"/>
          <w:sz w:val="32"/>
          <w:szCs w:val="32"/>
          <w:highlight w:val="none"/>
          <w:lang w:val="en-US" w:eastAsia="zh-CN"/>
        </w:rPr>
        <w:t>。</w:t>
      </w:r>
    </w:p>
    <w:p w14:paraId="54B74DA9">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四、岳阳市生态环境保护综合行政执法支队云溪大队负责该项目的日常环境监管。</w:t>
      </w:r>
    </w:p>
    <w:p w14:paraId="4FA1BCA0">
      <w:pPr>
        <w:keepNext w:val="0"/>
        <w:keepLines w:val="0"/>
        <w:pageBreakBefore w:val="0"/>
        <w:kinsoku/>
        <w:wordWrap/>
        <w:overflowPunct/>
        <w:topLinePunct w:val="0"/>
        <w:autoSpaceDE/>
        <w:autoSpaceDN/>
        <w:bidi w:val="0"/>
        <w:adjustRightInd/>
        <w:snapToGrid/>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你公司如对本批复不服，可以在接到决定书之日起六十日内向岳阳市人民政府申请行政复议；或者六个月内向君山区人民法院依法提起行政诉讼。</w:t>
      </w:r>
    </w:p>
    <w:p w14:paraId="69DB5350">
      <w:pPr>
        <w:pStyle w:val="2"/>
        <w:rPr>
          <w:rFonts w:hint="eastAsia" w:ascii="仿宋_GB2312" w:hAnsi="仿宋_GB2312" w:eastAsia="仿宋_GB2312" w:cs="仿宋_GB2312"/>
          <w:color w:val="auto"/>
          <w:sz w:val="32"/>
          <w:szCs w:val="32"/>
        </w:rPr>
      </w:pPr>
    </w:p>
    <w:p w14:paraId="561208F4"/>
    <w:p w14:paraId="435CEB39">
      <w:pPr>
        <w:pStyle w:val="12"/>
        <w:keepNext w:val="0"/>
        <w:keepLines w:val="0"/>
        <w:pageBreakBefore w:val="0"/>
        <w:widowControl/>
        <w:kinsoku/>
        <w:wordWrap/>
        <w:overflowPunct/>
        <w:topLinePunct w:val="0"/>
        <w:autoSpaceDE/>
        <w:autoSpaceDN/>
        <w:bidi w:val="0"/>
        <w:adjustRightInd/>
        <w:snapToGrid/>
        <w:spacing w:beforeAutospacing="0" w:afterAutospacing="0" w:line="580" w:lineRule="exact"/>
        <w:ind w:firstLine="5120" w:firstLineChars="1600"/>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岳阳市生态环境局</w:t>
      </w:r>
    </w:p>
    <w:p w14:paraId="68F41544">
      <w:pPr>
        <w:pStyle w:val="12"/>
        <w:keepNext w:val="0"/>
        <w:keepLines w:val="0"/>
        <w:pageBreakBefore w:val="0"/>
        <w:widowControl/>
        <w:kinsoku/>
        <w:wordWrap/>
        <w:overflowPunct/>
        <w:topLinePunct w:val="0"/>
        <w:autoSpaceDE/>
        <w:autoSpaceDN/>
        <w:bidi w:val="0"/>
        <w:adjustRightInd/>
        <w:snapToGrid/>
        <w:spacing w:beforeAutospacing="0" w:afterAutospacing="0" w:line="580" w:lineRule="exact"/>
        <w:ind w:left="105" w:leftChars="50" w:firstLine="5120" w:firstLineChars="1600"/>
        <w:textAlignment w:val="auto"/>
        <w:rPr>
          <w:rFonts w:hint="eastAsia"/>
          <w:color w:val="auto"/>
          <w:highlight w:val="none"/>
        </w:rPr>
      </w:pPr>
      <w:r>
        <w:rPr>
          <w:rFonts w:hint="eastAsia" w:ascii="仿宋_GB2312" w:hAnsi="仿宋_GB2312" w:eastAsia="仿宋_GB2312" w:cs="仿宋_GB2312"/>
          <w:color w:val="auto"/>
          <w:kern w:val="2"/>
          <w:sz w:val="32"/>
          <w:szCs w:val="32"/>
          <w:highlight w:val="none"/>
        </w:rPr>
        <w:t>202</w:t>
      </w:r>
      <w:r>
        <w:rPr>
          <w:rFonts w:hint="eastAsia" w:ascii="仿宋_GB2312" w:hAnsi="仿宋_GB2312" w:eastAsia="仿宋_GB2312" w:cs="仿宋_GB2312"/>
          <w:color w:val="auto"/>
          <w:kern w:val="2"/>
          <w:sz w:val="32"/>
          <w:szCs w:val="32"/>
          <w:highlight w:val="none"/>
          <w:lang w:val="en-US" w:eastAsia="zh-CN"/>
        </w:rPr>
        <w:t>6</w:t>
      </w:r>
      <w:r>
        <w:rPr>
          <w:rFonts w:hint="eastAsia" w:ascii="仿宋_GB2312" w:hAnsi="仿宋_GB2312" w:eastAsia="仿宋_GB2312" w:cs="仿宋_GB2312"/>
          <w:color w:val="auto"/>
          <w:kern w:val="2"/>
          <w:sz w:val="32"/>
          <w:szCs w:val="32"/>
          <w:highlight w:val="none"/>
        </w:rPr>
        <w:t>年</w:t>
      </w:r>
      <w:r>
        <w:rPr>
          <w:rFonts w:hint="eastAsia" w:ascii="仿宋_GB2312" w:hAnsi="仿宋_GB2312" w:eastAsia="仿宋_GB2312" w:cs="仿宋_GB2312"/>
          <w:color w:val="auto"/>
          <w:kern w:val="2"/>
          <w:sz w:val="32"/>
          <w:szCs w:val="32"/>
          <w:highlight w:val="none"/>
          <w:lang w:val="en-US" w:eastAsia="zh-CN"/>
        </w:rPr>
        <w:t>1</w:t>
      </w:r>
      <w:r>
        <w:rPr>
          <w:rFonts w:hint="eastAsia" w:ascii="仿宋_GB2312" w:hAnsi="仿宋_GB2312" w:eastAsia="仿宋_GB2312" w:cs="仿宋_GB2312"/>
          <w:color w:val="auto"/>
          <w:kern w:val="2"/>
          <w:sz w:val="32"/>
          <w:szCs w:val="32"/>
          <w:highlight w:val="none"/>
        </w:rPr>
        <w:t>月</w:t>
      </w:r>
      <w:r>
        <w:rPr>
          <w:rFonts w:hint="eastAsia" w:ascii="仿宋_GB2312" w:hAnsi="仿宋_GB2312" w:eastAsia="仿宋_GB2312" w:cs="仿宋_GB2312"/>
          <w:color w:val="auto"/>
          <w:kern w:val="2"/>
          <w:sz w:val="32"/>
          <w:szCs w:val="32"/>
          <w:highlight w:val="none"/>
          <w:lang w:val="en-US" w:eastAsia="zh-CN"/>
        </w:rPr>
        <w:t>20</w:t>
      </w:r>
      <w:r>
        <w:rPr>
          <w:rFonts w:hint="eastAsia" w:ascii="仿宋_GB2312" w:hAnsi="仿宋_GB2312" w:eastAsia="仿宋_GB2312" w:cs="仿宋_GB2312"/>
          <w:color w:val="auto"/>
          <w:kern w:val="2"/>
          <w:sz w:val="32"/>
          <w:szCs w:val="32"/>
          <w:highlight w:val="none"/>
        </w:rPr>
        <w:t>日</w:t>
      </w:r>
      <w:bookmarkStart w:id="0" w:name="_GoBack"/>
      <w:bookmarkEnd w:id="0"/>
    </w:p>
    <w:p w14:paraId="4C385EC6">
      <w:pPr>
        <w:keepNext w:val="0"/>
        <w:keepLines w:val="0"/>
        <w:pageBreakBefore w:val="0"/>
        <w:kinsoku/>
        <w:wordWrap/>
        <w:overflowPunct/>
        <w:topLinePunct w:val="0"/>
        <w:autoSpaceDE/>
        <w:autoSpaceDN/>
        <w:bidi w:val="0"/>
        <w:adjustRightInd/>
        <w:snapToGrid/>
        <w:spacing w:line="580" w:lineRule="exact"/>
        <w:ind w:firstLine="207" w:firstLineChars="0"/>
        <w:jc w:val="left"/>
        <w:rPr>
          <w:rFonts w:hint="eastAsia"/>
          <w:color w:val="auto"/>
        </w:rPr>
      </w:pPr>
    </w:p>
    <w:sectPr>
      <w:pgSz w:w="11906" w:h="16838"/>
      <w:pgMar w:top="1701" w:right="1474"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iMGFmNDhjOGNlNzhhMmI3ZmU3NzRiNTFiYzRlMGYifQ=="/>
  </w:docVars>
  <w:rsids>
    <w:rsidRoot w:val="00E73009"/>
    <w:rsid w:val="00015E82"/>
    <w:rsid w:val="00213024"/>
    <w:rsid w:val="00417091"/>
    <w:rsid w:val="0047227D"/>
    <w:rsid w:val="00E5779C"/>
    <w:rsid w:val="00E73009"/>
    <w:rsid w:val="01073C6F"/>
    <w:rsid w:val="01BB7833"/>
    <w:rsid w:val="01C976B5"/>
    <w:rsid w:val="029F047C"/>
    <w:rsid w:val="036508C8"/>
    <w:rsid w:val="05C03260"/>
    <w:rsid w:val="05C65E05"/>
    <w:rsid w:val="07442078"/>
    <w:rsid w:val="080261BB"/>
    <w:rsid w:val="0861255B"/>
    <w:rsid w:val="0AA417AC"/>
    <w:rsid w:val="0AA479FE"/>
    <w:rsid w:val="0B5F3925"/>
    <w:rsid w:val="0B7104A4"/>
    <w:rsid w:val="0CDD313D"/>
    <w:rsid w:val="0D374B59"/>
    <w:rsid w:val="109450AB"/>
    <w:rsid w:val="11691059"/>
    <w:rsid w:val="13A72FED"/>
    <w:rsid w:val="145002AE"/>
    <w:rsid w:val="14D0319D"/>
    <w:rsid w:val="1501139B"/>
    <w:rsid w:val="15731538"/>
    <w:rsid w:val="15EE7D7F"/>
    <w:rsid w:val="16C62AAA"/>
    <w:rsid w:val="171417F2"/>
    <w:rsid w:val="18644328"/>
    <w:rsid w:val="1B2F5688"/>
    <w:rsid w:val="1BAE511A"/>
    <w:rsid w:val="1BF27E9D"/>
    <w:rsid w:val="1FB84F83"/>
    <w:rsid w:val="240B2444"/>
    <w:rsid w:val="261C4494"/>
    <w:rsid w:val="27653C19"/>
    <w:rsid w:val="28537F15"/>
    <w:rsid w:val="294F4B81"/>
    <w:rsid w:val="29665F6E"/>
    <w:rsid w:val="29DA6B40"/>
    <w:rsid w:val="2BFD5BA7"/>
    <w:rsid w:val="2C622E1D"/>
    <w:rsid w:val="2CA35285"/>
    <w:rsid w:val="2E6E5AA9"/>
    <w:rsid w:val="2EF834BE"/>
    <w:rsid w:val="31010E56"/>
    <w:rsid w:val="3140197F"/>
    <w:rsid w:val="31F34178"/>
    <w:rsid w:val="31FB58A6"/>
    <w:rsid w:val="333D7B32"/>
    <w:rsid w:val="34314BB7"/>
    <w:rsid w:val="360F1920"/>
    <w:rsid w:val="36BF3346"/>
    <w:rsid w:val="37E33064"/>
    <w:rsid w:val="38B31D07"/>
    <w:rsid w:val="38B467AE"/>
    <w:rsid w:val="3A0839DD"/>
    <w:rsid w:val="3C110C2B"/>
    <w:rsid w:val="3CDC19C8"/>
    <w:rsid w:val="3E122BEC"/>
    <w:rsid w:val="3E926B16"/>
    <w:rsid w:val="3E9457E3"/>
    <w:rsid w:val="3ED74FA5"/>
    <w:rsid w:val="3F6820A1"/>
    <w:rsid w:val="412E6ACE"/>
    <w:rsid w:val="43BD01BF"/>
    <w:rsid w:val="47484C91"/>
    <w:rsid w:val="497F79B2"/>
    <w:rsid w:val="49B6261E"/>
    <w:rsid w:val="49CE3A4B"/>
    <w:rsid w:val="4B0034A8"/>
    <w:rsid w:val="4D1F45EA"/>
    <w:rsid w:val="4DCE7F49"/>
    <w:rsid w:val="4DEA3B5D"/>
    <w:rsid w:val="4EDE412D"/>
    <w:rsid w:val="4F3D2C02"/>
    <w:rsid w:val="53514ABF"/>
    <w:rsid w:val="53E960D4"/>
    <w:rsid w:val="55920F27"/>
    <w:rsid w:val="55C909CB"/>
    <w:rsid w:val="561276A6"/>
    <w:rsid w:val="57310274"/>
    <w:rsid w:val="57C24D16"/>
    <w:rsid w:val="590429E2"/>
    <w:rsid w:val="5ADD34EB"/>
    <w:rsid w:val="5BDC37A3"/>
    <w:rsid w:val="5CE768A3"/>
    <w:rsid w:val="5D445ACA"/>
    <w:rsid w:val="5D6A0811"/>
    <w:rsid w:val="63A23524"/>
    <w:rsid w:val="66522FDF"/>
    <w:rsid w:val="66AB4968"/>
    <w:rsid w:val="68B743EF"/>
    <w:rsid w:val="70862203"/>
    <w:rsid w:val="70BF4B91"/>
    <w:rsid w:val="70EC47EA"/>
    <w:rsid w:val="718C35DE"/>
    <w:rsid w:val="71D56446"/>
    <w:rsid w:val="71E536A2"/>
    <w:rsid w:val="73443B1E"/>
    <w:rsid w:val="754433FB"/>
    <w:rsid w:val="7762504C"/>
    <w:rsid w:val="793F55DA"/>
    <w:rsid w:val="79890C31"/>
    <w:rsid w:val="7A01182B"/>
    <w:rsid w:val="7A102B3D"/>
    <w:rsid w:val="7AD32556"/>
    <w:rsid w:val="7B0B38A6"/>
    <w:rsid w:val="7C134B67"/>
    <w:rsid w:val="7C7E7FA8"/>
    <w:rsid w:val="7EBC7D7B"/>
    <w:rsid w:val="7F031BA6"/>
    <w:rsid w:val="7F1906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3"/>
    <w:basedOn w:val="1"/>
    <w:next w:val="1"/>
    <w:unhideWhenUsed/>
    <w:qFormat/>
    <w:uiPriority w:val="0"/>
    <w:pPr>
      <w:ind w:firstLine="0" w:firstLineChars="0"/>
      <w:outlineLvl w:val="2"/>
    </w:pPr>
    <w:rPr>
      <w:rFonts w:eastAsia="黑体"/>
      <w:bCs/>
      <w:snapToGrid/>
      <w:szCs w:val="32"/>
    </w:rPr>
  </w:style>
  <w:style w:type="paragraph" w:styleId="6">
    <w:name w:val="heading 4"/>
    <w:basedOn w:val="1"/>
    <w:next w:val="1"/>
    <w:qFormat/>
    <w:uiPriority w:val="0"/>
    <w:pPr>
      <w:keepNext/>
      <w:keepLines/>
      <w:spacing w:after="120" w:line="360" w:lineRule="auto"/>
      <w:ind w:firstLine="480" w:firstLineChars="200"/>
      <w:jc w:val="left"/>
      <w:outlineLvl w:val="3"/>
    </w:pPr>
    <w:rPr>
      <w:bCs/>
      <w:sz w:val="24"/>
      <w:szCs w:val="28"/>
      <w:u w:val="single"/>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2"/>
    <w:unhideWhenUsed/>
    <w:qFormat/>
    <w:uiPriority w:val="0"/>
    <w:pPr>
      <w:spacing w:after="120" w:line="276" w:lineRule="auto"/>
      <w:ind w:left="420" w:leftChars="200"/>
    </w:pPr>
    <w:rPr>
      <w:sz w:val="22"/>
    </w:rPr>
  </w:style>
  <w:style w:type="paragraph" w:styleId="7">
    <w:name w:val="table of authorities"/>
    <w:basedOn w:val="1"/>
    <w:next w:val="1"/>
    <w:qFormat/>
    <w:uiPriority w:val="0"/>
    <w:pPr>
      <w:ind w:left="420" w:leftChars="200"/>
    </w:pPr>
  </w:style>
  <w:style w:type="paragraph" w:styleId="8">
    <w:name w:val="Body Text"/>
    <w:basedOn w:val="1"/>
    <w:next w:val="9"/>
    <w:qFormat/>
    <w:uiPriority w:val="0"/>
    <w:pPr>
      <w:spacing w:before="60" w:after="160" w:line="259" w:lineRule="auto"/>
      <w:ind w:right="113"/>
    </w:pPr>
    <w:rPr>
      <w:sz w:val="18"/>
      <w:szCs w:val="20"/>
    </w:rPr>
  </w:style>
  <w:style w:type="paragraph" w:customStyle="1" w:styleId="9">
    <w:name w:val="xl27"/>
    <w:basedOn w:val="7"/>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10">
    <w:name w:val="footer"/>
    <w:basedOn w:val="1"/>
    <w:link w:val="2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8"/>
    <w:next w:val="1"/>
    <w:qFormat/>
    <w:uiPriority w:val="0"/>
    <w:pPr>
      <w:spacing w:beforeLines="50" w:line="360" w:lineRule="auto"/>
      <w:ind w:firstLine="200" w:firstLineChars="200"/>
    </w:pPr>
    <w:rPr>
      <w:sz w:val="24"/>
    </w:rPr>
  </w:style>
  <w:style w:type="paragraph" w:customStyle="1" w:styleId="16">
    <w:name w:val="S报告正文"/>
    <w:basedOn w:val="1"/>
    <w:qFormat/>
    <w:uiPriority w:val="0"/>
    <w:pPr>
      <w:adjustRightInd w:val="0"/>
      <w:snapToGrid w:val="0"/>
      <w:spacing w:line="480" w:lineRule="exact"/>
      <w:ind w:firstLine="510"/>
      <w:jc w:val="left"/>
    </w:pPr>
    <w:rPr>
      <w:sz w:val="24"/>
    </w:rPr>
  </w:style>
  <w:style w:type="paragraph" w:customStyle="1" w:styleId="17">
    <w:name w:val="+正文"/>
    <w:basedOn w:val="1"/>
    <w:qFormat/>
    <w:uiPriority w:val="39"/>
    <w:pPr>
      <w:spacing w:line="360" w:lineRule="auto"/>
      <w:ind w:firstLine="200" w:firstLineChars="200"/>
    </w:pPr>
    <w:rPr>
      <w:sz w:val="28"/>
      <w:szCs w:val="28"/>
    </w:rPr>
  </w:style>
  <w:style w:type="character" w:customStyle="1" w:styleId="18">
    <w:name w:val="C正文 字符"/>
    <w:link w:val="19"/>
    <w:qFormat/>
    <w:uiPriority w:val="0"/>
  </w:style>
  <w:style w:type="paragraph" w:customStyle="1" w:styleId="19">
    <w:name w:val="C正文"/>
    <w:basedOn w:val="1"/>
    <w:link w:val="18"/>
    <w:qFormat/>
    <w:uiPriority w:val="0"/>
    <w:pPr>
      <w:wordWrap w:val="0"/>
      <w:ind w:firstLine="480"/>
    </w:pPr>
  </w:style>
  <w:style w:type="character" w:customStyle="1" w:styleId="20">
    <w:name w:val="页眉 字符"/>
    <w:basedOn w:val="15"/>
    <w:link w:val="11"/>
    <w:qFormat/>
    <w:uiPriority w:val="0"/>
    <w:rPr>
      <w:kern w:val="2"/>
      <w:sz w:val="18"/>
      <w:szCs w:val="18"/>
    </w:rPr>
  </w:style>
  <w:style w:type="character" w:customStyle="1" w:styleId="21">
    <w:name w:val="页脚 字符"/>
    <w:basedOn w:val="15"/>
    <w:link w:val="10"/>
    <w:qFormat/>
    <w:uiPriority w:val="0"/>
    <w:rPr>
      <w:kern w:val="2"/>
      <w:sz w:val="18"/>
      <w:szCs w:val="18"/>
    </w:rPr>
  </w:style>
  <w:style w:type="paragraph" w:customStyle="1" w:styleId="22">
    <w:name w:val="0"/>
    <w:basedOn w:val="1"/>
    <w:qFormat/>
    <w:uiPriority w:val="0"/>
    <w:pPr>
      <w:widowControl/>
      <w:snapToGrid w:val="0"/>
      <w:spacing w:line="365" w:lineRule="atLeast"/>
      <w:ind w:left="1"/>
      <w:textAlignment w:val="bottom"/>
    </w:pPr>
    <w:rPr>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459369f0-2681-488e-9870-ca24294be897</errorID>
      <errorWord>:</errorWord>
      <group>L1_Format</group>
      <groupName>格式问题</groupName>
      <ability>L2_HalfPunc</ability>
      <abilityName>全半角检查</abilityName>
      <candidateList>
        <item>：</item>
      </candidateList>
      <explain>文本全半角错误。</explain>
      <paraID>53862F44</paraID>
      <start>68</start>
      <end>69</end>
      <status>modified</status>
      <modifiedWord>：</modifiedWord>
      <trackRevisions>false</trackRevisions>
    </reviewItem>
    <reviewItem>
      <errorID>103d293c-1506-4ee6-8e05-3a25b86d0686</errorID>
      <errorWord>路基</errorWord>
      <group>L1_Word</group>
      <groupName>字词问题</groupName>
      <ability>L2_Typo</ability>
      <abilityName>字词错误</abilityName>
      <candidateList>
        <item>硫基</item>
      </candidateList>
      <explain/>
      <paraID>69AFCCB5</paraID>
      <start>130</start>
      <end>132</end>
      <status>ignored</status>
      <modifiedWord/>
      <trackRevisions>false</trackRevisions>
    </reviewItem>
    <reviewItem>
      <errorID>3c5275c7-d5eb-4666-8569-6216f26a7a02</errorID>
      <errorWord>开工</errorWord>
      <group>L1_Word</group>
      <groupName>字词问题</groupName>
      <ability>L2_Typo</ability>
      <abilityName>字词错误</abilityName>
      <candidateList>
        <item>加工</item>
      </candidateList>
      <explain/>
      <paraID> 787CCC3</paraID>
      <start>145</start>
      <end>147</end>
      <status>ignored</status>
      <modifiedWord/>
      <trackRevisions>false</trackRevisions>
    </reviewItem>
    <reviewItem>
      <errorID>b0dc5e60-a609-44f9-9692-6f1d2985592b</errorID>
      <errorWord>生活废水</errorWord>
      <group>L1_Knowledge</group>
      <groupName>知识性问题</groupName>
      <ability>L2_Term</ability>
      <abilityName>专业术语</abilityName>
      <candidateList>
        <item>生活污水</item>
      </candidateList>
      <explain/>
      <paraID>12BE69BB</paraID>
      <start>55</start>
      <end>59</end>
      <status>ignored</status>
      <modifiedWord/>
      <trackRevisions>false</trackRevisions>
    </reviewItem>
    <reviewItem>
      <errorID>1fd2250a-81f5-49cd-916c-fc663df5e99e</errorID>
      <errorWord>管理台帐</errorWord>
      <group>L1_Word</group>
      <groupName>字词问题</groupName>
      <ability>L2_Alias</ability>
      <abilityName>也作/曾用词</abilityName>
      <candidateList>
        <item>管理台账</item>
      </candidateList>
      <explain>词汇[管理台帐]为不规范表述或旧称，其规范书面表述为[管理台账]。</explain>
      <paraID>6416EE52</paraID>
      <start>59</start>
      <end>63</end>
      <status>ignored</status>
      <modifiedWord/>
      <trackRevisions>false</trackRevisions>
    </reviewItem>
    <reviewItem>
      <errorID>9800e7cf-c441-46ff-b078-bfabfa5b557e</errorID>
      <errorWord>(</errorWord>
      <group>L1_Format</group>
      <groupName>格式问题</groupName>
      <ability>L2_HalfPunc</ability>
      <abilityName>全半角检查</abilityName>
      <candidateList>
        <item>（</item>
      </candidateList>
      <explain>文本全半角错误。</explain>
      <paraID>5FDE1539</paraID>
      <start>64</start>
      <end>65</end>
      <status>modified</status>
      <modifiedWord>（</modifiedWord>
      <trackRevisions>false</trackRevisions>
    </reviewItem>
    <reviewItem>
      <errorID>c1ba7060-7d9b-47dc-aaa4-97551806884d</errorID>
      <errorWord>)</errorWord>
      <group>L1_Format</group>
      <groupName>格式问题</groupName>
      <ability>L2_HalfPunc</ability>
      <abilityName>全半角检查</abilityName>
      <candidateList>
        <item>）</item>
      </candidateList>
      <explain>文本全半角错误。</explain>
      <paraID>5FDE1539</paraID>
      <start>77</start>
      <end>78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ced25fd-9666-464a-95be-d5fe3ca8d639}">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1622</Words>
  <Characters>1707</Characters>
  <Lines>102</Lines>
  <Paragraphs>101</Paragraphs>
  <TotalTime>67</TotalTime>
  <ScaleCrop>false</ScaleCrop>
  <LinksUpToDate>false</LinksUpToDate>
  <CharactersWithSpaces>1711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2025-04-08T06:04:00Z</dcterms:created>
  <dc:creator>Administrator</dc:creator>
  <cp:lastModifiedBy>poker face</cp:lastModifiedBy>
  <cp:lastPrinted>2026-01-20T01:56:05Z</cp:lastPrinted>
  <dcterms:modified xsi:type="dcterms:W3CDTF">2026-01-20T02:13:34Z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B24DFB45A05F48E88494A8355253CBF8_13</vt:lpwstr>
  </property>
  <property fmtid="{D5CDD505-2E9C-101B-9397-08002B2CF9AE}" pid="4" name="KSOTemplateDocerSaveRecord">
    <vt:lpwstr>eyJoZGlkIjoiYWNiMGFmNDhjOGNlNzhhMmI3ZmU3NzRiNTFiYzRlMGYiLCJ1c2VySWQiOiIzNDY0MTI0NTcifQ==</vt:lpwstr>
  </property>
</Properties>
</file>