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19012">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楷体_GB2312" w:hAnsi="仿宋" w:eastAsia="楷体_GB2312"/>
          <w:b/>
          <w:sz w:val="30"/>
          <w:szCs w:val="30"/>
          <w:lang w:eastAsia="zh-CN"/>
        </w:rPr>
      </w:pPr>
    </w:p>
    <w:p w14:paraId="1F06C0D1">
      <w:pPr>
        <w:keepNext w:val="0"/>
        <w:keepLines w:val="0"/>
        <w:pageBreakBefore w:val="0"/>
        <w:widowControl w:val="0"/>
        <w:kinsoku/>
        <w:wordWrap/>
        <w:overflowPunct/>
        <w:topLinePunct w:val="0"/>
        <w:autoSpaceDE/>
        <w:autoSpaceDN/>
        <w:bidi w:val="0"/>
        <w:adjustRightInd/>
        <w:snapToGrid w:val="0"/>
        <w:spacing w:before="157" w:beforeLines="50" w:line="580" w:lineRule="exact"/>
        <w:ind w:firstLine="4819" w:firstLineChars="1600"/>
        <w:jc w:val="right"/>
        <w:textAlignment w:val="auto"/>
        <w:rPr>
          <w:rFonts w:ascii="楷体_GB2312" w:hAnsi="仿宋" w:eastAsia="楷体_GB2312"/>
          <w:b/>
          <w:color w:val="auto"/>
          <w:sz w:val="30"/>
          <w:szCs w:val="30"/>
          <w:highlight w:val="none"/>
        </w:rPr>
      </w:pPr>
      <w:r>
        <w:rPr>
          <w:rFonts w:hint="eastAsia" w:ascii="楷体_GB2312" w:hAnsi="仿宋" w:eastAsia="楷体_GB2312"/>
          <w:b/>
          <w:color w:val="auto"/>
          <w:sz w:val="30"/>
          <w:szCs w:val="30"/>
          <w:highlight w:val="none"/>
        </w:rPr>
        <w:t xml:space="preserve"> </w:t>
      </w:r>
      <w:r>
        <w:rPr>
          <w:rFonts w:hint="eastAsia" w:ascii="楷体_GB2312" w:hAnsi="仿宋" w:eastAsia="楷体_GB2312"/>
          <w:b/>
          <w:color w:val="auto"/>
          <w:sz w:val="30"/>
          <w:szCs w:val="30"/>
          <w:highlight w:val="none"/>
          <w:lang w:val="en-US" w:eastAsia="zh-CN"/>
        </w:rPr>
        <w:t xml:space="preserve">   </w:t>
      </w:r>
      <w:r>
        <w:rPr>
          <w:rFonts w:hint="eastAsia" w:ascii="楷体_GB2312" w:hAnsi="仿宋" w:eastAsia="楷体_GB2312"/>
          <w:b/>
          <w:color w:val="auto"/>
          <w:sz w:val="30"/>
          <w:szCs w:val="30"/>
          <w:highlight w:val="none"/>
        </w:rPr>
        <w:t>岳</w:t>
      </w:r>
      <w:r>
        <w:rPr>
          <w:rFonts w:hint="eastAsia" w:ascii="楷体_GB2312" w:hAnsi="仿宋" w:eastAsia="楷体_GB2312"/>
          <w:b/>
          <w:color w:val="auto"/>
          <w:sz w:val="30"/>
          <w:szCs w:val="30"/>
          <w:highlight w:val="none"/>
          <w:lang w:val="en-US" w:eastAsia="zh-CN"/>
        </w:rPr>
        <w:t>云</w:t>
      </w:r>
      <w:r>
        <w:rPr>
          <w:rFonts w:hint="eastAsia" w:ascii="楷体_GB2312" w:hAnsi="仿宋" w:eastAsia="楷体_GB2312"/>
          <w:b/>
          <w:color w:val="auto"/>
          <w:sz w:val="30"/>
          <w:szCs w:val="30"/>
          <w:highlight w:val="none"/>
        </w:rPr>
        <w:t>环评〔202</w:t>
      </w:r>
      <w:r>
        <w:rPr>
          <w:rFonts w:hint="eastAsia" w:ascii="楷体_GB2312" w:hAnsi="仿宋" w:eastAsia="楷体_GB2312"/>
          <w:b/>
          <w:color w:val="auto"/>
          <w:sz w:val="30"/>
          <w:szCs w:val="30"/>
          <w:highlight w:val="none"/>
          <w:lang w:val="en-US" w:eastAsia="zh-CN"/>
        </w:rPr>
        <w:t>6</w:t>
      </w:r>
      <w:r>
        <w:rPr>
          <w:rFonts w:hint="eastAsia" w:ascii="楷体_GB2312" w:hAnsi="仿宋" w:eastAsia="楷体_GB2312"/>
          <w:b/>
          <w:color w:val="auto"/>
          <w:sz w:val="30"/>
          <w:szCs w:val="30"/>
          <w:highlight w:val="none"/>
        </w:rPr>
        <w:t>〕</w:t>
      </w:r>
      <w:r>
        <w:rPr>
          <w:rFonts w:hint="eastAsia" w:ascii="楷体_GB2312" w:hAnsi="仿宋" w:eastAsia="楷体_GB2312"/>
          <w:b/>
          <w:color w:val="auto"/>
          <w:sz w:val="30"/>
          <w:szCs w:val="30"/>
          <w:highlight w:val="none"/>
          <w:lang w:val="en-US" w:eastAsia="zh-CN"/>
        </w:rPr>
        <w:t>4</w:t>
      </w:r>
      <w:r>
        <w:rPr>
          <w:rFonts w:hint="eastAsia" w:ascii="楷体_GB2312" w:hAnsi="仿宋" w:eastAsia="楷体_GB2312" w:cs="Times New Roman"/>
          <w:b/>
          <w:color w:val="auto"/>
          <w:sz w:val="30"/>
          <w:szCs w:val="30"/>
          <w:highlight w:val="none"/>
        </w:rPr>
        <w:t>号</w:t>
      </w:r>
    </w:p>
    <w:p w14:paraId="0EFC9943">
      <w:pPr>
        <w:pStyle w:val="3"/>
        <w:spacing w:before="0" w:after="156" w:afterLines="50" w:line="580" w:lineRule="exact"/>
        <w:jc w:val="center"/>
        <w:rPr>
          <w:rFonts w:hint="eastAsia" w:ascii="方正小标宋简体" w:hAnsi="方正小标宋简体" w:eastAsia="方正小标宋简体" w:cs="方正小标宋简体"/>
          <w:b w:val="0"/>
          <w:bCs/>
          <w:color w:val="auto"/>
          <w:spacing w:val="-11"/>
        </w:rPr>
      </w:pPr>
      <w:r>
        <w:rPr>
          <w:rFonts w:hint="eastAsia" w:ascii="方正小标宋简体" w:hAnsi="方正小标宋简体" w:eastAsia="方正小标宋简体" w:cs="方正小标宋简体"/>
          <w:b w:val="0"/>
          <w:bCs/>
          <w:color w:val="auto"/>
          <w:spacing w:val="-11"/>
        </w:rPr>
        <w:t>关于</w:t>
      </w:r>
      <w:r>
        <w:rPr>
          <w:rFonts w:hint="eastAsia" w:ascii="方正小标宋简体" w:hAnsi="方正小标宋简体" w:eastAsia="方正小标宋简体" w:cs="方正小标宋简体"/>
          <w:b w:val="0"/>
          <w:bCs/>
          <w:color w:val="auto"/>
          <w:spacing w:val="-11"/>
          <w:lang w:val="en-US" w:eastAsia="zh-CN"/>
        </w:rPr>
        <w:t>岳阳云港物流园子项目岳阳市金诚清洗服务有限公司危货、普货槽罐车清洗项目</w:t>
      </w:r>
      <w:r>
        <w:rPr>
          <w:rFonts w:hint="eastAsia" w:ascii="方正小标宋简体" w:hAnsi="方正小标宋简体" w:eastAsia="方正小标宋简体" w:cs="方正小标宋简体"/>
          <w:b w:val="0"/>
          <w:bCs/>
          <w:color w:val="auto"/>
          <w:spacing w:val="-11"/>
        </w:rPr>
        <w:t>环境影响报告表的批复</w:t>
      </w:r>
    </w:p>
    <w:p w14:paraId="7698278C">
      <w:pPr>
        <w:keepNext w:val="0"/>
        <w:keepLines w:val="0"/>
        <w:pageBreakBefore w:val="0"/>
        <w:kinsoku/>
        <w:wordWrap/>
        <w:overflowPunct/>
        <w:topLinePunct w:val="0"/>
        <w:autoSpaceDE/>
        <w:autoSpaceDN/>
        <w:bidi w:val="0"/>
        <w:adjustRightInd/>
        <w:snapToGrid/>
        <w:spacing w:line="60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岳阳市金诚清洗服务有限公司</w:t>
      </w:r>
      <w:r>
        <w:rPr>
          <w:rFonts w:hint="eastAsia" w:ascii="仿宋_GB2312" w:hAnsi="仿宋_GB2312" w:eastAsia="仿宋_GB2312" w:cs="仿宋_GB2312"/>
          <w:color w:val="auto"/>
          <w:sz w:val="32"/>
          <w:szCs w:val="32"/>
        </w:rPr>
        <w:t>：</w:t>
      </w:r>
    </w:p>
    <w:p w14:paraId="53862F4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你公司关于申请</w:t>
      </w:r>
      <w:r>
        <w:rPr>
          <w:rFonts w:hint="eastAsia" w:ascii="仿宋_GB2312" w:hAnsi="仿宋_GB2312" w:eastAsia="仿宋_GB2312" w:cs="仿宋_GB2312"/>
          <w:color w:val="auto"/>
          <w:kern w:val="2"/>
          <w:sz w:val="32"/>
          <w:szCs w:val="32"/>
          <w:lang w:val="en-US" w:eastAsia="zh-CN"/>
        </w:rPr>
        <w:t>岳阳云港物流园子项目岳阳市金诚清洗服务有限公司危货、普货槽罐车清洗项目</w:t>
      </w:r>
      <w:r>
        <w:rPr>
          <w:rFonts w:hint="eastAsia" w:ascii="仿宋_GB2312" w:hAnsi="仿宋_GB2312" w:eastAsia="仿宋_GB2312" w:cs="仿宋_GB2312"/>
          <w:color w:val="auto"/>
          <w:kern w:val="2"/>
          <w:sz w:val="32"/>
          <w:szCs w:val="32"/>
          <w:lang w:eastAsia="zh-CN"/>
        </w:rPr>
        <w:t>环境影响报告表</w:t>
      </w:r>
      <w:r>
        <w:rPr>
          <w:rFonts w:hint="eastAsia" w:ascii="仿宋_GB2312" w:hAnsi="仿宋_GB2312" w:eastAsia="仿宋_GB2312" w:cs="仿宋_GB2312"/>
          <w:color w:val="auto"/>
          <w:kern w:val="2"/>
          <w:sz w:val="32"/>
          <w:szCs w:val="32"/>
        </w:rPr>
        <w:t>批复的有关函件及附件收悉。经研究，批复如下</w:t>
      </w:r>
      <w:r>
        <w:rPr>
          <w:rFonts w:hint="eastAsia" w:ascii="仿宋_GB2312" w:hAnsi="仿宋_GB2312" w:eastAsia="仿宋_GB2312" w:cs="仿宋_GB2312"/>
          <w:color w:val="auto"/>
          <w:kern w:val="2"/>
          <w:sz w:val="32"/>
          <w:szCs w:val="32"/>
          <w:lang w:eastAsia="zh-CN"/>
        </w:rPr>
        <w:t>：</w:t>
      </w:r>
    </w:p>
    <w:p w14:paraId="69AFCCB5">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kern w:val="2"/>
          <w:sz w:val="32"/>
          <w:szCs w:val="32"/>
          <w:lang w:val="en-US" w:eastAsia="zh-CN"/>
        </w:rPr>
        <w:t>岳阳云港物流园子项目岳阳市金诚清洗服务有限公司危货、普货槽罐车清洗项目位于</w:t>
      </w:r>
      <w:r>
        <w:rPr>
          <w:rFonts w:hint="eastAsia" w:ascii="仿宋_GB2312" w:hAnsi="仿宋_GB2312" w:eastAsia="仿宋_GB2312" w:cs="仿宋_GB2312"/>
          <w:color w:val="auto"/>
          <w:kern w:val="2"/>
          <w:sz w:val="32"/>
          <w:szCs w:val="32"/>
          <w:lang w:eastAsia="zh-CN"/>
        </w:rPr>
        <w:t>湖南省岳阳市云溪区云港路云溪区危货物流中心内的罐车清洗设备场地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项目总投资</w:t>
      </w:r>
      <w:r>
        <w:rPr>
          <w:rFonts w:hint="eastAsia" w:ascii="仿宋_GB2312" w:hAnsi="仿宋_GB2312" w:eastAsia="仿宋_GB2312" w:cs="仿宋_GB2312"/>
          <w:color w:val="auto"/>
          <w:sz w:val="32"/>
          <w:szCs w:val="32"/>
          <w:lang w:val="en-US" w:eastAsia="zh-CN"/>
        </w:rPr>
        <w:t>912.29</w:t>
      </w:r>
      <w:r>
        <w:rPr>
          <w:rFonts w:hint="eastAsia" w:ascii="仿宋_GB2312" w:hAnsi="仿宋_GB2312" w:eastAsia="仿宋_GB2312" w:cs="仿宋_GB2312"/>
          <w:color w:val="auto"/>
          <w:sz w:val="32"/>
          <w:szCs w:val="32"/>
          <w:lang w:eastAsia="zh-CN"/>
        </w:rPr>
        <w:t>万元，其中环保投资</w:t>
      </w:r>
      <w:r>
        <w:rPr>
          <w:rFonts w:hint="eastAsia" w:ascii="仿宋_GB2312" w:hAnsi="仿宋_GB2312" w:eastAsia="仿宋_GB2312" w:cs="仿宋_GB2312"/>
          <w:color w:val="auto"/>
          <w:sz w:val="32"/>
          <w:szCs w:val="32"/>
          <w:lang w:val="en-US" w:eastAsia="zh-CN"/>
        </w:rPr>
        <w:t>163.5</w:t>
      </w:r>
      <w:r>
        <w:rPr>
          <w:rFonts w:hint="eastAsia" w:ascii="仿宋_GB2312" w:hAnsi="仿宋_GB2312" w:eastAsia="仿宋_GB2312" w:cs="仿宋_GB2312"/>
          <w:color w:val="auto"/>
          <w:sz w:val="32"/>
          <w:szCs w:val="32"/>
          <w:lang w:eastAsia="zh-CN"/>
        </w:rPr>
        <w:t>万元，占总投资的</w:t>
      </w:r>
      <w:r>
        <w:rPr>
          <w:rFonts w:hint="eastAsia" w:ascii="仿宋_GB2312" w:hAnsi="仿宋_GB2312" w:eastAsia="仿宋_GB2312" w:cs="仿宋_GB2312"/>
          <w:color w:val="auto"/>
          <w:sz w:val="32"/>
          <w:szCs w:val="32"/>
          <w:lang w:val="en-US" w:eastAsia="zh-CN"/>
        </w:rPr>
        <w:t>17.92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本项目的主要建设内容为：拆除原有钢结构厂房1栋，新建危货槽罐车清洗中心600平方米、普货车清洗中心200平方米，购置槽罐车清洗设备设施2套，建设废气、废水处理设施，配套建设清洗中心给排水、供电等公用工程。槽罐车清洗规模4500辆/年，其中危货槽罐车清洗规模3000辆、普货槽罐车清洗规模1500辆</w:t>
      </w:r>
      <w:r>
        <w:rPr>
          <w:rFonts w:hint="eastAsia" w:eastAsia="宋体"/>
          <w:lang w:eastAsia="zh-CN"/>
        </w:rPr>
        <w:t>，</w:t>
      </w:r>
      <w:r>
        <w:rPr>
          <w:rFonts w:hint="eastAsia" w:ascii="仿宋_GB2312" w:hAnsi="仿宋_GB2312" w:eastAsia="仿宋_GB2312" w:cs="仿宋_GB2312"/>
          <w:color w:val="auto"/>
          <w:sz w:val="32"/>
          <w:szCs w:val="32"/>
          <w:highlight w:val="none"/>
          <w:lang w:val="en-US" w:eastAsia="zh-CN"/>
        </w:rPr>
        <w:t>具体为汽油槽罐车清洗约140辆，柴油槽罐车清洗约860辆，乙醇槽罐车清洗约580辆，甲醇槽罐车清洗约420辆，芳烃油、正庚醇、1,4-丁二醇（BDO）、丙酮、醋酸乙酯、醋酸乙烯、聚四氢呋喃（PTMEG）、二苯基甲烷二异氰酸酯（MDI）、甘氨酸、醋酸酐、醋酸、白油等槽罐车清洗各125辆、苯槽罐车清洗约730辆，甲苯槽罐车清洗约170辆，二甲苯（邻-二甲苯、对-二甲苯、间-二甲苯）清洗约100辆。岳阳绿色化工高新技术产业开发区污水管网投用前不得清洗苯、甲苯、二甲苯类槽罐车。</w:t>
      </w:r>
    </w:p>
    <w:p w14:paraId="3311323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w:t>
      </w:r>
      <w:r>
        <w:rPr>
          <w:rFonts w:hint="eastAsia" w:ascii="仿宋_GB2312" w:hAnsi="仿宋_GB2312" w:eastAsia="仿宋_GB2312" w:cs="仿宋_GB2312"/>
          <w:color w:val="auto"/>
          <w:kern w:val="2"/>
          <w:sz w:val="32"/>
          <w:szCs w:val="32"/>
          <w:lang w:val="en-US" w:eastAsia="zh-CN"/>
        </w:rPr>
        <w:t>湖南九湘环保科技有限</w:t>
      </w:r>
      <w:r>
        <w:rPr>
          <w:rFonts w:hint="eastAsia" w:ascii="仿宋_GB2312" w:hAnsi="仿宋_GB2312" w:eastAsia="仿宋_GB2312" w:cs="仿宋_GB2312"/>
          <w:color w:val="auto"/>
          <w:kern w:val="2"/>
          <w:sz w:val="32"/>
          <w:szCs w:val="32"/>
        </w:rPr>
        <w:t>公司编制的建设项目环境影响报告表基本内容、结论及专家评审意见，我局原则同意你司环境影响报告表中环境影响评价结论和环境保护对策措施。</w:t>
      </w:r>
    </w:p>
    <w:p w14:paraId="375013BC">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二、项目在施工及营运期间须全面落实专家及环境影响报告表中提出的各项污染物防治措施，切实加强环境管理，确保污防设施长期稳定运行、污染物达标排放，并着重做好以下几点工作。</w:t>
      </w:r>
    </w:p>
    <w:p w14:paraId="378F7B4C">
      <w:pPr>
        <w:pStyle w:val="9"/>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highlight w:val="none"/>
        </w:rPr>
      </w:pPr>
      <w:bookmarkStart w:id="0" w:name="_GoBack"/>
      <w:r>
        <w:rPr>
          <w:rFonts w:hint="eastAsia" w:ascii="楷体_GB2312" w:hAnsi="楷体_GB2312" w:eastAsia="楷体_GB2312" w:cs="楷体_GB2312"/>
          <w:color w:val="auto"/>
          <w:sz w:val="32"/>
          <w:szCs w:val="32"/>
          <w:highlight w:val="none"/>
          <w:lang w:val="en-US" w:eastAsia="zh-CN"/>
        </w:rPr>
        <w:t>1.落实施工期污染防治措施。</w:t>
      </w:r>
      <w:r>
        <w:rPr>
          <w:rFonts w:hint="eastAsia" w:ascii="仿宋_GB2312" w:hAnsi="仿宋_GB2312" w:eastAsia="仿宋_GB2312" w:cs="仿宋_GB2312"/>
          <w:color w:val="auto"/>
          <w:sz w:val="32"/>
          <w:szCs w:val="32"/>
          <w:highlight w:val="none"/>
        </w:rPr>
        <w:t>采取边界围挡、物料遮盖、定期</w:t>
      </w:r>
      <w:r>
        <w:rPr>
          <w:rFonts w:hint="eastAsia" w:ascii="仿宋_GB2312" w:hAnsi="仿宋_GB2312" w:eastAsia="仿宋_GB2312" w:cs="仿宋_GB2312"/>
          <w:color w:val="auto"/>
          <w:sz w:val="32"/>
          <w:szCs w:val="32"/>
          <w:highlight w:val="none"/>
          <w:lang w:val="en-US" w:eastAsia="zh-CN"/>
        </w:rPr>
        <w:t>洒</w:t>
      </w:r>
      <w:r>
        <w:rPr>
          <w:rFonts w:hint="eastAsia" w:ascii="仿宋_GB2312" w:hAnsi="仿宋_GB2312" w:eastAsia="仿宋_GB2312" w:cs="仿宋_GB2312"/>
          <w:color w:val="auto"/>
          <w:sz w:val="32"/>
          <w:szCs w:val="32"/>
          <w:highlight w:val="none"/>
        </w:rPr>
        <w:t>水等措施减少扬尘污染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选用低噪声施工设备，合理布局等措施控制声环境影响</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rPr>
        <w:t>建筑垃圾及生活垃圾</w:t>
      </w:r>
      <w:r>
        <w:rPr>
          <w:rFonts w:hint="eastAsia" w:ascii="仿宋_GB2312" w:hAnsi="仿宋_GB2312" w:eastAsia="仿宋_GB2312" w:cs="仿宋_GB2312"/>
          <w:color w:val="auto"/>
          <w:sz w:val="32"/>
          <w:szCs w:val="32"/>
          <w:highlight w:val="none"/>
          <w:lang w:val="en-US" w:eastAsia="zh-CN"/>
        </w:rPr>
        <w:t>分类堆放</w:t>
      </w:r>
      <w:r>
        <w:rPr>
          <w:rFonts w:hint="eastAsia" w:ascii="仿宋_GB2312" w:hAnsi="仿宋_GB2312" w:eastAsia="仿宋_GB2312" w:cs="仿宋_GB2312"/>
          <w:color w:val="auto"/>
          <w:sz w:val="32"/>
          <w:szCs w:val="32"/>
          <w:highlight w:val="none"/>
        </w:rPr>
        <w:t>在指定地点、妥善处置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施工期</w:t>
      </w:r>
      <w:r>
        <w:rPr>
          <w:rFonts w:hint="eastAsia" w:ascii="仿宋_GB2312" w:hAnsi="仿宋_GB2312" w:eastAsia="仿宋_GB2312" w:cs="仿宋_GB2312"/>
          <w:color w:val="auto"/>
          <w:sz w:val="32"/>
          <w:szCs w:val="32"/>
          <w:highlight w:val="none"/>
        </w:rPr>
        <w:t>各类废水应收尽收、合理处置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切实落实施工期各项环保工作，尽量缩短施工期。</w:t>
      </w:r>
    </w:p>
    <w:p w14:paraId="0787CCC3">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kern w:val="2"/>
          <w:sz w:val="32"/>
          <w:szCs w:val="32"/>
          <w:highlight w:val="none"/>
          <w:lang w:val="en-US" w:eastAsia="zh-CN" w:bidi="ar"/>
        </w:rPr>
      </w:pP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.加强废气污染防治工作。</w:t>
      </w:r>
      <w:r>
        <w:rPr>
          <w:rFonts w:hint="eastAsia" w:ascii="仿宋_GB2312" w:hAnsi="仿宋_GB2312" w:eastAsia="仿宋_GB2312" w:cs="仿宋_GB2312"/>
          <w:sz w:val="32"/>
          <w:szCs w:val="32"/>
          <w:highlight w:val="none"/>
        </w:rPr>
        <w:t>严格控制项目废气污染，规范建设各废气集排气系统和处理设施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加强日常监管，规范操作。定期对生产设备、管路管线、机泵等设施进行巡检和维护，防止跑冒滴漏，最大限度减少生产过程中的废气无组织排放。</w:t>
      </w: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废气主要为</w:t>
      </w:r>
      <w:r>
        <w:rPr>
          <w:rFonts w:hint="eastAsia" w:ascii="仿宋_GB2312" w:hAnsi="仿宋_GB2312" w:eastAsia="仿宋_GB2312" w:cs="仿宋_GB2312"/>
          <w:color w:val="auto"/>
          <w:sz w:val="32"/>
          <w:szCs w:val="32"/>
          <w:highlight w:val="none"/>
          <w:lang w:val="en-US" w:eastAsia="zh-CN"/>
        </w:rPr>
        <w:t>槽罐车内残留的有机废气、自建污水站运行产生的恶臭废气、柴油蒸汽发生器废气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项目槽罐车内残留的有机废气、自建污水站运行产生的恶臭废气在密闭负压的厂房内经集气罩收集后与</w:t>
      </w:r>
      <w:r>
        <w:rPr>
          <w:rFonts w:hint="eastAsia" w:ascii="仿宋_GB2312" w:hAnsi="仿宋_GB2312" w:eastAsia="仿宋_GB2312" w:cs="仿宋_GB2312"/>
          <w:sz w:val="32"/>
          <w:szCs w:val="32"/>
          <w:lang w:val="en-US" w:eastAsia="zh-CN"/>
        </w:rPr>
        <w:t>柴油蒸汽发生器尾气排口收集的废气一起</w:t>
      </w:r>
      <w:r>
        <w:rPr>
          <w:rFonts w:hint="eastAsia" w:ascii="仿宋_GB2312" w:hAnsi="仿宋_GB2312" w:eastAsia="仿宋_GB2312" w:cs="仿宋_GB2312"/>
          <w:color w:val="auto"/>
          <w:sz w:val="32"/>
          <w:szCs w:val="32"/>
          <w:highlight w:val="none"/>
          <w:lang w:val="en-US" w:eastAsia="zh-CN"/>
        </w:rPr>
        <w:t>进入</w:t>
      </w:r>
      <w:r>
        <w:rPr>
          <w:rFonts w:hint="default" w:ascii="仿宋_GB2312" w:hAnsi="仿宋_GB2312" w:eastAsia="仿宋_GB2312" w:cs="仿宋_GB2312"/>
          <w:color w:val="auto"/>
          <w:sz w:val="32"/>
          <w:szCs w:val="32"/>
          <w:highlight w:val="none"/>
          <w:lang w:val="en-US" w:eastAsia="zh-CN"/>
        </w:rPr>
        <w:t>“气旋洗涤吸收塔+干燥箱+二级活性炭+水喷淋”处理装置”</w:t>
      </w:r>
      <w:r>
        <w:rPr>
          <w:rFonts w:hint="eastAsia" w:ascii="仿宋_GB2312" w:hAnsi="仿宋_GB2312" w:eastAsia="仿宋_GB2312" w:cs="仿宋_GB2312"/>
          <w:color w:val="auto"/>
          <w:sz w:val="32"/>
          <w:szCs w:val="32"/>
          <w:highlight w:val="none"/>
          <w:lang w:val="en-US" w:eastAsia="zh-CN"/>
        </w:rPr>
        <w:t>装置进行处理，处理后经15米高的DA001排气筒达标排放。</w:t>
      </w:r>
      <w:r>
        <w:rPr>
          <w:rFonts w:hint="eastAsia" w:ascii="仿宋_GB2312" w:hAnsi="仿宋_GB2312" w:eastAsia="仿宋_GB2312" w:cs="仿宋_GB2312"/>
          <w:color w:val="auto"/>
          <w:kern w:val="2"/>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有组织</w:t>
      </w:r>
      <w:r>
        <w:rPr>
          <w:rFonts w:hint="default" w:ascii="仿宋_GB2312" w:hAnsi="仿宋_GB2312" w:eastAsia="仿宋_GB2312" w:cs="仿宋_GB2312"/>
          <w:color w:val="auto"/>
          <w:sz w:val="32"/>
          <w:szCs w:val="32"/>
          <w:highlight w:val="none"/>
        </w:rPr>
        <w:t>废气</w:t>
      </w:r>
      <w:r>
        <w:rPr>
          <w:rFonts w:hint="eastAsia" w:ascii="仿宋_GB2312" w:hAnsi="仿宋_GB2312" w:eastAsia="仿宋_GB2312" w:cs="仿宋_GB2312"/>
          <w:color w:val="auto"/>
          <w:kern w:val="2"/>
          <w:sz w:val="32"/>
          <w:szCs w:val="32"/>
          <w:highlight w:val="none"/>
          <w:lang w:val="en-US" w:eastAsia="zh-CN"/>
        </w:rPr>
        <w:t>甲醇、苯、甲苯、二甲苯、非甲烷总烃执行《大气污染物综合排放标准》（GB16297-1996）表2二级标准排放限值要求；颗粒物、二氧化硫、氮氧化物执行《锅炉大气污染物排放标准》（GB 13271-2014）表3大气污染物特别排放限值要求；臭气浓度、硫化氢和氨执行《恶臭污染物排放标准》表2恶臭污染物排放标准值要求。</w:t>
      </w:r>
      <w:r>
        <w:rPr>
          <w:rFonts w:hint="eastAsia" w:ascii="仿宋_GB2312" w:hAnsi="仿宋_GB2312" w:eastAsia="仿宋_GB2312" w:cs="仿宋_GB2312"/>
          <w:color w:val="auto"/>
          <w:kern w:val="2"/>
          <w:sz w:val="32"/>
          <w:szCs w:val="32"/>
          <w:highlight w:val="none"/>
          <w:lang w:val="en-US" w:eastAsia="zh-CN" w:bidi="ar"/>
        </w:rPr>
        <w:t>厂界无组织</w:t>
      </w:r>
      <w:r>
        <w:rPr>
          <w:rFonts w:hint="eastAsia" w:ascii="仿宋_GB2312" w:hAnsi="仿宋_GB2312" w:eastAsia="仿宋_GB2312" w:cs="仿宋_GB2312"/>
          <w:color w:val="auto"/>
          <w:kern w:val="2"/>
          <w:sz w:val="32"/>
          <w:szCs w:val="32"/>
          <w:highlight w:val="none"/>
          <w:lang w:val="en-US" w:eastAsia="zh-CN"/>
        </w:rPr>
        <w:t>废气甲醇、苯、甲苯、二甲苯、非甲烷总烃执</w:t>
      </w:r>
      <w:r>
        <w:rPr>
          <w:rFonts w:hint="eastAsia" w:ascii="仿宋_GB2312" w:hAnsi="仿宋_GB2312" w:eastAsia="仿宋_GB2312" w:cs="仿宋_GB2312"/>
          <w:color w:val="auto"/>
          <w:kern w:val="2"/>
          <w:sz w:val="32"/>
          <w:szCs w:val="32"/>
          <w:highlight w:val="none"/>
          <w:lang w:val="en-US" w:eastAsia="zh-CN" w:bidi="ar"/>
        </w:rPr>
        <w:t>行《大气污染物综合排放标准》（GB16297-1996）表2无组织排放监控浓度限值；氨、硫化氢、臭气浓度执行《恶臭污染物排放标准》表1恶臭污染物厂界标准值。岳阳绿色化工高新技术产业开发区蒸汽管道投用后项目不得使用蒸汽发生器。</w:t>
      </w:r>
    </w:p>
    <w:p w14:paraId="6CFBD26F">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加强废水污染防治工作。项目须严格按照“雨污分流、清污分流、污污分流”的原则完善厂区雨污水管网。项目运营期废水主要有生活污水和生产废水。员工生活污水依托云溪区危货物流中心的化粪池处理后经市政污水管网排入云溪区污水处理厂处理。岳阳绿色化工高新技术产业开发区污水管网投用前，综合生产废水经污水收纳池收集后与初期雨水池收集初期雨水一起，委托湖南润诚物流有限公司转运到岳阳水上绿色航运环保有限责任公司陆域污水站处置，处理达标后进入湖南城陵矶临港产业新区污水处理厂深度处理；后期岳阳绿色化工高新技术产业开发区污水管网投用后，初期雨水经初期雨水池收集处理后与综合生产废水一并经厂内自建污水站预处理达标后经独立管道接入云溪区污水处理厂。员工生活污水外排满足《污水综合排放标准》（GB8978-1996）表4中的三级标准与云溪区污水处理厂纳管标准的较严值。在岳阳绿色化工高新技术产业开发区污水管网投用前，综合生产废水、初期雨水满足岳阳水上绿色航运环保有限责任公司陆域污水处理站接纳标准。在岳阳绿色化工高新技术产业开发区污水管网投用后，项目综合生产废水、初期雨水满足《污水综合排放标准》（GB8978-1996）表4中的三级标准与云溪区污水处理厂纳管标准的较严值。</w:t>
      </w:r>
    </w:p>
    <w:p w14:paraId="6416EE5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kern w:val="2"/>
          <w:sz w:val="32"/>
          <w:szCs w:val="32"/>
          <w:highlight w:val="none"/>
          <w:lang w:val="en-US" w:eastAsia="zh-CN"/>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.加</w:t>
      </w:r>
      <w:r>
        <w:rPr>
          <w:rFonts w:hint="eastAsia" w:ascii="楷体_GB2312" w:hAnsi="楷体_GB2312" w:eastAsia="楷体_GB2312" w:cs="楷体_GB2312"/>
          <w:color w:val="auto"/>
          <w:sz w:val="32"/>
          <w:szCs w:val="32"/>
          <w:highlight w:val="none"/>
        </w:rPr>
        <w:t>强固体废物污染防治工作。</w:t>
      </w:r>
      <w:r>
        <w:rPr>
          <w:rFonts w:hint="eastAsia" w:ascii="仿宋_GB2312" w:hAnsi="仿宋_GB2312" w:eastAsia="仿宋_GB2312" w:cs="仿宋_GB2312"/>
          <w:color w:val="auto"/>
          <w:sz w:val="32"/>
          <w:szCs w:val="32"/>
          <w:highlight w:val="none"/>
        </w:rPr>
        <w:t>按“无害化、减量化、资源化”原则，做好</w:t>
      </w:r>
      <w:r>
        <w:rPr>
          <w:rFonts w:hint="eastAsia" w:ascii="仿宋_GB2312" w:hAnsi="仿宋_GB2312" w:eastAsia="仿宋_GB2312" w:cs="仿宋_GB2312"/>
          <w:color w:val="auto"/>
          <w:kern w:val="2"/>
          <w:sz w:val="32"/>
          <w:szCs w:val="32"/>
          <w:highlight w:val="none"/>
          <w:lang w:val="en-US" w:eastAsia="zh-CN"/>
        </w:rPr>
        <w:t>固体废物分类收集和综合利用工作，并建立健全固体废物管理台帐。项目产生废水设施浮油、废水暂存、处理设施污泥及喷淋塔沉渣、沾染性废包装物（沾染氢氧化钠、煤油、柴油等）、槽罐残留液、废泥、废活性炭、废过滤棉、废抹布及手套、废煤油、废柴油等危险废物须按《危险废物贮存污染控制标准》（GB18597-2023）</w:t>
      </w:r>
      <w:r>
        <w:rPr>
          <w:rFonts w:hint="eastAsia" w:ascii="仿宋_GB2312" w:hAnsi="仿宋_GB2312" w:eastAsia="仿宋_GB2312" w:cs="仿宋_GB2312"/>
          <w:color w:val="auto"/>
          <w:sz w:val="32"/>
          <w:szCs w:val="32"/>
          <w:highlight w:val="none"/>
          <w:lang w:eastAsia="zh-CN"/>
        </w:rPr>
        <w:t>安全贮存、</w:t>
      </w:r>
      <w:r>
        <w:rPr>
          <w:rFonts w:hint="eastAsia" w:ascii="仿宋_GB2312" w:hAnsi="仿宋_GB2312" w:eastAsia="仿宋_GB2312" w:cs="仿宋_GB2312"/>
          <w:color w:val="auto"/>
          <w:sz w:val="32"/>
          <w:szCs w:val="32"/>
          <w:highlight w:val="none"/>
          <w:lang w:val="en-US" w:eastAsia="zh-CN"/>
        </w:rPr>
        <w:t>妥善处置；项目生活垃圾及一般外包装收集后交由环卫部门统一收集处理。</w:t>
      </w:r>
    </w:p>
    <w:p w14:paraId="5FDE153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.加强噪声污染防治工作。</w:t>
      </w:r>
      <w:r>
        <w:rPr>
          <w:rFonts w:hint="eastAsia" w:ascii="仿宋_GB2312" w:hAnsi="仿宋_GB2312" w:eastAsia="仿宋_GB2312" w:cs="仿宋_GB2312"/>
          <w:color w:val="auto"/>
          <w:sz w:val="32"/>
          <w:szCs w:val="32"/>
        </w:rPr>
        <w:t>通过采用低噪声设备、合理布局，并采取隔声、</w:t>
      </w:r>
      <w:r>
        <w:rPr>
          <w:rFonts w:hint="eastAsia" w:ascii="仿宋_GB2312" w:hAnsi="仿宋_GB2312" w:eastAsia="仿宋_GB2312" w:cs="仿宋_GB2312"/>
          <w:color w:val="auto"/>
          <w:kern w:val="2"/>
          <w:sz w:val="32"/>
          <w:szCs w:val="32"/>
          <w:lang w:val="en-US" w:eastAsia="zh-CN" w:bidi="ar-SA"/>
        </w:rPr>
        <w:t>减振</w:t>
      </w:r>
      <w:r>
        <w:rPr>
          <w:rFonts w:hint="eastAsia" w:ascii="仿宋_GB2312" w:hAnsi="仿宋_GB2312" w:eastAsia="仿宋_GB2312" w:cs="仿宋_GB2312"/>
          <w:color w:val="auto"/>
          <w:sz w:val="32"/>
          <w:szCs w:val="32"/>
        </w:rPr>
        <w:t>等措施，确保厂界噪声达到《工业企业厂界环境噪声排放标准》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GB12348-2008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类标准要求。</w:t>
      </w:r>
    </w:p>
    <w:p w14:paraId="5426176F">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rPr>
        <w:t>.加强营运期风险防范。</w:t>
      </w:r>
      <w:r>
        <w:rPr>
          <w:rFonts w:hint="eastAsia" w:ascii="仿宋_GB2312" w:hAnsi="仿宋_GB2312" w:eastAsia="仿宋_GB2312" w:cs="仿宋_GB2312"/>
          <w:color w:val="auto"/>
          <w:sz w:val="32"/>
          <w:szCs w:val="32"/>
        </w:rPr>
        <w:t>严格落实报告表提出的各项环境风险防范措施；按照《突发环境事件应急管理办法》的要求</w:t>
      </w:r>
      <w:r>
        <w:rPr>
          <w:rFonts w:hint="eastAsia" w:ascii="仿宋_GB2312" w:hAnsi="仿宋_GB2312" w:eastAsia="仿宋_GB2312" w:cs="仿宋_GB2312"/>
          <w:color w:val="auto"/>
          <w:sz w:val="32"/>
          <w:szCs w:val="32"/>
          <w:lang w:val="en-US" w:eastAsia="zh-CN"/>
        </w:rPr>
        <w:t>编制</w:t>
      </w:r>
      <w:r>
        <w:rPr>
          <w:rFonts w:hint="eastAsia" w:ascii="仿宋_GB2312" w:hAnsi="仿宋_GB2312" w:eastAsia="仿宋_GB2312" w:cs="仿宋_GB2312"/>
          <w:color w:val="auto"/>
          <w:sz w:val="32"/>
          <w:szCs w:val="32"/>
        </w:rPr>
        <w:t>突发环境事件应急预案，储备风险救助物资并组织演练，杜绝环境风险事故发生。</w:t>
      </w:r>
    </w:p>
    <w:p w14:paraId="5A3C372E">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color w:val="auto"/>
          <w:sz w:val="32"/>
          <w:szCs w:val="32"/>
          <w:lang w:val="en-US" w:eastAsia="zh-CN"/>
        </w:rPr>
        <w:t>7</w:t>
      </w:r>
      <w:r>
        <w:rPr>
          <w:rFonts w:hint="eastAsia" w:ascii="楷体_GB2312" w:hAnsi="楷体_GB2312" w:eastAsia="楷体_GB2312" w:cs="楷体_GB2312"/>
          <w:color w:val="auto"/>
          <w:sz w:val="32"/>
          <w:szCs w:val="32"/>
        </w:rPr>
        <w:t>.加强生态环境管理。</w:t>
      </w:r>
      <w:r>
        <w:rPr>
          <w:rFonts w:hint="eastAsia" w:ascii="仿宋_GB2312" w:hAnsi="仿宋_GB2312" w:eastAsia="仿宋_GB2312" w:cs="仿宋_GB2312"/>
          <w:color w:val="auto"/>
          <w:sz w:val="32"/>
          <w:szCs w:val="32"/>
        </w:rPr>
        <w:t>建立健全污染防治设施运行管理台账，设立专门的环保机构及环保人员，确保各项污染防治设施的正常运行，各类污染物稳定达标排放。</w:t>
      </w:r>
      <w:bookmarkEnd w:id="0"/>
    </w:p>
    <w:p w14:paraId="1C77D828">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三、你公司自收到本批复后，应在15个工作日内将批复及批准的环评报告</w:t>
      </w:r>
      <w:r>
        <w:rPr>
          <w:rFonts w:hint="eastAsia" w:ascii="仿宋_GB2312" w:hAnsi="仿宋_GB2312" w:eastAsia="仿宋_GB2312" w:cs="仿宋_GB2312"/>
          <w:color w:val="auto"/>
          <w:sz w:val="32"/>
          <w:szCs w:val="32"/>
          <w:highlight w:val="none"/>
        </w:rPr>
        <w:t>文本送湖南九湘环保科技有限公司</w:t>
      </w:r>
      <w:r>
        <w:rPr>
          <w:rFonts w:hint="eastAsia" w:ascii="仿宋_GB2312" w:hAnsi="仿宋_GB2312" w:eastAsia="仿宋_GB2312" w:cs="仿宋_GB2312"/>
          <w:color w:val="auto"/>
          <w:kern w:val="2"/>
          <w:sz w:val="32"/>
          <w:szCs w:val="32"/>
          <w:highlight w:val="none"/>
          <w:lang w:val="en-US" w:eastAsia="zh-CN"/>
        </w:rPr>
        <w:t>。</w:t>
      </w:r>
    </w:p>
    <w:p w14:paraId="54B74DA9">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四、岳阳市生态环境保护综合行政执法支队云溪大队负责该项目的日常环境监管。</w:t>
      </w:r>
    </w:p>
    <w:p w14:paraId="4FA1BCA0">
      <w:pPr>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你公司如对本批复不服，可以在接到决定书之日起六十日内向岳阳市人民政府申请行政复议；或者六个月内向君山区人民法院依法提起行政诉讼。</w:t>
      </w:r>
    </w:p>
    <w:p w14:paraId="561208F4">
      <w:pPr>
        <w:keepNext w:val="0"/>
        <w:keepLines w:val="0"/>
        <w:pageBreakBefore w:val="0"/>
        <w:kinsoku/>
        <w:wordWrap/>
        <w:overflowPunct/>
        <w:topLinePunct w:val="0"/>
        <w:autoSpaceDE/>
        <w:autoSpaceDN/>
        <w:bidi w:val="0"/>
        <w:adjustRightInd/>
        <w:snapToGrid/>
        <w:spacing w:line="600" w:lineRule="exact"/>
      </w:pPr>
    </w:p>
    <w:p w14:paraId="3813B9DD">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120" w:firstLineChars="16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岳阳市生态环境局</w:t>
      </w:r>
    </w:p>
    <w:p w14:paraId="4AC5631A">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left="105" w:leftChars="50" w:firstLine="5120" w:firstLineChars="1600"/>
        <w:textAlignment w:val="auto"/>
      </w:pP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10</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94F06"/>
    <w:rsid w:val="320250C0"/>
    <w:rsid w:val="392528A0"/>
    <w:rsid w:val="3BB86A62"/>
    <w:rsid w:val="507C6354"/>
    <w:rsid w:val="73794F06"/>
    <w:rsid w:val="79C40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4"/>
      <w:lang w:val="en-US" w:eastAsia="zh-CN" w:bidi="ar-SA"/>
    </w:rPr>
  </w:style>
  <w:style w:type="paragraph" w:styleId="4">
    <w:name w:val="heading 3"/>
    <w:next w:val="1"/>
    <w:unhideWhenUsed/>
    <w:qFormat/>
    <w:uiPriority w:val="0"/>
    <w:pPr>
      <w:widowControl w:val="0"/>
      <w:ind w:firstLine="0" w:firstLineChars="0"/>
      <w:jc w:val="both"/>
      <w:outlineLvl w:val="2"/>
    </w:pPr>
    <w:rPr>
      <w:rFonts w:ascii="Times New Roman" w:hAnsi="Times New Roman" w:eastAsia="黑体" w:cs="Times New Roman"/>
      <w:bCs/>
      <w:snapToGrid/>
      <w:kern w:val="2"/>
      <w:sz w:val="21"/>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after="120" w:line="276" w:lineRule="auto"/>
      <w:ind w:left="420" w:leftChars="200" w:firstLine="420"/>
      <w:jc w:val="both"/>
    </w:pPr>
    <w:rPr>
      <w:rFonts w:ascii="Times New Roman" w:hAnsi="Times New Roman" w:eastAsia="宋体" w:cs="Times New Roman"/>
      <w:kern w:val="2"/>
      <w:sz w:val="22"/>
      <w:szCs w:val="24"/>
      <w:lang w:val="en-US" w:eastAsia="zh-CN" w:bidi="ar-SA"/>
    </w:rPr>
  </w:style>
  <w:style w:type="paragraph" w:styleId="5">
    <w:name w:val="Body Text Indent"/>
    <w:next w:val="2"/>
    <w:unhideWhenUsed/>
    <w:qFormat/>
    <w:uiPriority w:val="0"/>
    <w:pPr>
      <w:widowControl w:val="0"/>
      <w:spacing w:after="120" w:line="276" w:lineRule="auto"/>
      <w:ind w:left="420" w:leftChars="200"/>
      <w:jc w:val="both"/>
    </w:pPr>
    <w:rPr>
      <w:rFonts w:ascii="Times New Roman" w:hAnsi="Times New Roman" w:eastAsia="宋体" w:cs="Times New Roman"/>
      <w:kern w:val="2"/>
      <w:sz w:val="22"/>
      <w:szCs w:val="24"/>
      <w:lang w:val="en-US" w:eastAsia="zh-CN" w:bidi="ar-SA"/>
    </w:rPr>
  </w:style>
  <w:style w:type="paragraph" w:styleId="6">
    <w:name w:val="Normal (Web)"/>
    <w:qFormat/>
    <w:uiPriority w:val="0"/>
    <w:pPr>
      <w:widowControl w:val="0"/>
      <w:spacing w:beforeAutospacing="1" w:afterAutospacing="1"/>
      <w:jc w:val="left"/>
    </w:pPr>
    <w:rPr>
      <w:rFonts w:ascii="Times New Roman" w:hAnsi="Times New Roman" w:eastAsia="宋体" w:cs="Times New Roman"/>
      <w:kern w:val="0"/>
      <w:sz w:val="24"/>
      <w:szCs w:val="24"/>
      <w:lang w:val="en-US" w:eastAsia="zh-CN" w:bidi="ar-SA"/>
    </w:rPr>
  </w:style>
  <w:style w:type="paragraph" w:customStyle="1" w:styleId="9">
    <w:name w:val="0"/>
    <w:qFormat/>
    <w:uiPriority w:val="0"/>
    <w:pPr>
      <w:widowControl/>
      <w:snapToGrid w:val="0"/>
      <w:spacing w:line="365" w:lineRule="atLeast"/>
      <w:ind w:left="1"/>
      <w:jc w:val="both"/>
      <w:textAlignment w:val="bottom"/>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9779f5e8-06cf-4b43-b0ca-25983beef9d7</errorID>
      <errorWord>处置的</errorWord>
      <group>L1_Word</group>
      <groupName>字词问题</groupName>
      <ability>L2_Typo</ability>
      <abilityName>字词错误</abilityName>
      <candidateList>
        <item>处置</item>
      </candidateList>
      <explain>〈动〉❶处理：～失当｜～得宜。❷发落；惩治：依法～。</explain>
      <paraID>69AFCCB5</paraID>
      <start>247</start>
      <end>249</end>
      <status>modified</status>
      <modifiedWord>处置</modifiedWord>
      <trackRevisions>false</trackRevisions>
    </reviewItem>
    <reviewItem>
      <errorID>aa8bce05-ffe3-4d59-9c14-bef3083196bc</errorID>
      <errorWord>1,4-丁二醇</errorWord>
      <group>L1_Word</group>
      <groupName>字词问题</groupName>
      <ability>L2_Typo</ability>
      <abilityName>字词错误</abilityName>
      <candidateList/>
      <explain>【违禁内容】句中涉及国家法律明令禁止的违禁内容，请注意甄别。</explain>
      <paraID>69AFCCB5</paraID>
      <start>296</start>
      <end>303</end>
      <status>ignored</status>
      <modifiedWord/>
      <trackRevisions>false</trackRevisions>
    </reviewItem>
    <reviewItem>
      <errorID>eb1dcc37-1fa6-4426-b273-35d4fbc829d0</errorID>
      <errorWord>-</errorWord>
      <group>L1_Format</group>
      <groupName>格式问题</groupName>
      <ability>L2_HalfPunc</ability>
      <abilityName>全半角检查</abilityName>
      <candidateList>
        <item>－</item>
      </candidateList>
      <explain>文本全半角错误。</explain>
      <paraID>69AFCCB5</paraID>
      <start>435</start>
      <end>436</end>
      <status>modified</status>
      <modifiedWord>－</modifiedWord>
      <trackRevisions>false</trackRevisions>
    </reviewItem>
    <reviewItem>
      <errorID>9874ee57-c8b6-4cff-b4d5-3733897a5028</errorID>
      <errorWord>-</errorWord>
      <group>L1_Format</group>
      <groupName>格式问题</groupName>
      <ability>L2_HalfPunc</ability>
      <abilityName>全半角检查</abilityName>
      <candidateList>
        <item>－</item>
      </candidateList>
      <explain>文本全半角错误。</explain>
      <paraID>69AFCCB5</paraID>
      <start>441</start>
      <end>442</end>
      <status>modified</status>
      <modifiedWord>－</modifiedWord>
      <trackRevisions>false</trackRevisions>
    </reviewItem>
    <reviewItem>
      <errorID>1a57c81e-ed8b-43d2-ab51-6fc255f98c50</errorID>
      <errorWord>-</errorWord>
      <group>L1_Format</group>
      <groupName>格式问题</groupName>
      <ability>L2_HalfPunc</ability>
      <abilityName>全半角检查</abilityName>
      <candidateList>
        <item>－</item>
      </candidateList>
      <explain>文本全半角错误。</explain>
      <paraID>69AFCCB5</paraID>
      <start>447</start>
      <end>448</end>
      <status>modified</status>
      <modifiedWord>－</modifiedWord>
      <trackRevisions>false</trackRevisions>
    </reviewItem>
    <reviewItem>
      <errorID>5bc5852b-635a-431e-b206-5721b3de9c27</errorID>
      <errorWord>1,4-丁二醇</errorWord>
      <group>L1_Word</group>
      <groupName>字词问题</groupName>
      <ability>L2_Typo</ability>
      <abilityName>字词错误</abilityName>
      <candidateList/>
      <explain>【违禁内容】句中涉及国家法律明令禁止的违禁内容，请注意甄别。</explain>
      <paraID>69AFCCB5</paraID>
      <start>461</start>
      <end>468</end>
      <status>ignored</status>
      <modifiedWord/>
      <trackRevisions>false</trackRevisions>
    </reviewItem>
    <reviewItem>
      <errorID>c2ee3a3c-cbe4-42d8-a285-bb993afd5e09</errorID>
      <errorWord>；</errorWord>
      <group>L1_Word</group>
      <groupName>字词问题</groupName>
      <ability>L2_Typo</ability>
      <abilityName>字词错误</abilityName>
      <candidateList>
        <item>；将</item>
      </candidateList>
      <explain/>
      <paraID>378F7B4C</paraID>
      <start>64</start>
      <end>66</end>
      <status>modified</status>
      <modifiedWord>；将</modifiedWord>
      <trackRevisions>false</trackRevisions>
    </reviewItem>
    <reviewItem>
      <errorID>7ba7ece4-6028-41b8-91ee-e20e08a98656</errorID>
      <errorWord>-</errorWord>
      <group>L1_Format</group>
      <groupName>格式问题</groupName>
      <ability>L2_HalfPunc</ability>
      <abilityName>全半角检查</abilityName>
      <candidateList>
        <item>－</item>
      </candidateList>
      <explain>文本全半角错误。</explain>
      <paraID> 787CCC3</paraID>
      <start>704</start>
      <end>705</end>
      <status>modified</status>
      <modifiedWord>－</modifiedWord>
      <trackRevisions>false</trackRevisions>
    </reviewItem>
    <reviewItem>
      <errorID>ed0d9384-08d5-4c9e-a533-5534f13a7e0e</errorID>
      <errorWord>-</errorWord>
      <group>L1_Format</group>
      <groupName>格式问题</groupName>
      <ability>L2_HalfPunc</ability>
      <abilityName>全半角检查</abilityName>
      <candidateList>
        <item>－</item>
      </candidateList>
      <explain>文本全半角错误。</explain>
      <paraID> 787CCC3</paraID>
      <start>710</start>
      <end>711</end>
      <status>modified</status>
      <modifiedWord>－</modifiedWord>
      <trackRevisions>false</trackRevisions>
    </reviewItem>
    <reviewItem>
      <errorID>a5d2cc0d-23fa-441d-b667-407221c3f47c</errorID>
      <errorWord>管理台帐</errorWord>
      <group>L1_Word</group>
      <groupName>字词问题</groupName>
      <ability>L2_Alias</ability>
      <abilityName>也作/曾用词</abilityName>
      <candidateList>
        <item>管理台账</item>
      </candidateList>
      <explain>词汇[管理台帐]为不规范表述或旧称，其规范书面表述为[管理台账]。</explain>
      <paraID>6416EE52</paraID>
      <start>59</start>
      <end>63</end>
      <status>ignored</status>
      <modifiedWord/>
      <trackRevisions>false</trackRevisions>
    </reviewItem>
  </reviewItems>
  <config/>
</contractReview>
</file>

<file path=customXml/itemProps1.xml><?xml version="1.0" encoding="utf-8"?>
<ds:datastoreItem xmlns:ds="http://schemas.openxmlformats.org/officeDocument/2006/customXml" ds:itemID="{d719c370-5e57-45e7-892f-e6aa1ac05a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2518</Words>
  <Characters>2666</Characters>
  <Lines>0</Lines>
  <Paragraphs>0</Paragraphs>
  <TotalTime>50</TotalTime>
  <ScaleCrop>false</ScaleCrop>
  <LinksUpToDate>false</LinksUpToDate>
  <CharactersWithSpaces>2672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2026-02-09T06:17:00Z</dcterms:created>
  <dc:creator>poker face</dc:creator>
  <cp:lastModifiedBy>poker face</cp:lastModifiedBy>
  <cp:lastPrinted>2026-03-05T01:25:15Z</cp:lastPrinted>
  <dcterms:modified xsi:type="dcterms:W3CDTF">2026-03-05T01:25:32Z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C10009420786439898B1FA473D4B8CDE_13</vt:lpwstr>
  </property>
  <property fmtid="{D5CDD505-2E9C-101B-9397-08002B2CF9AE}" pid="4" name="KSOTemplateDocerSaveRecord">
    <vt:lpwstr>eyJoZGlkIjoiYWNiMGFmNDhjOGNlNzhhMmI3ZmU3NzRiNTFiYzRlMGYiLCJ1c2VySWQiOiIzNDY0MTI0NTcifQ==</vt:lpwstr>
  </property>
</Properties>
</file>