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8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岳阳市202</w:t>
      </w:r>
      <w:r>
        <w:rPr>
          <w:rFonts w:hint="eastAsia" w:ascii="宋体" w:hAnsi="宋体" w:cs="宋体"/>
          <w:b/>
          <w:bCs w:val="0"/>
          <w:sz w:val="44"/>
          <w:szCs w:val="44"/>
          <w:lang w:val="en-US" w:eastAsia="zh-CN"/>
        </w:rPr>
        <w:t>1</w:t>
      </w:r>
      <w:r>
        <w:rPr>
          <w:rFonts w:hint="eastAsia" w:ascii="宋体" w:hAnsi="宋体" w:eastAsia="宋体" w:cs="宋体"/>
          <w:b/>
          <w:bCs w:val="0"/>
          <w:sz w:val="44"/>
          <w:szCs w:val="44"/>
        </w:rPr>
        <w:t>年度部门整体支出</w:t>
      </w:r>
    </w:p>
    <w:p>
      <w:pPr>
        <w:spacing w:line="8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绩效评价自评报告</w:t>
      </w:r>
    </w:p>
    <w:p>
      <w:pPr>
        <w:rPr>
          <w:rFonts w:eastAsia="仿宋_GB2312"/>
          <w:b/>
          <w:sz w:val="44"/>
          <w:szCs w:val="44"/>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岳阳市供销合作联社</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305001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14</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90"/>
        <w:gridCol w:w="139"/>
        <w:gridCol w:w="1006"/>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联系人</w:t>
            </w:r>
          </w:p>
        </w:tc>
        <w:tc>
          <w:tcPr>
            <w:tcW w:w="3561" w:type="dxa"/>
            <w:gridSpan w:val="6"/>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钟珊珊</w:t>
            </w:r>
          </w:p>
        </w:tc>
        <w:tc>
          <w:tcPr>
            <w:tcW w:w="1479" w:type="dxa"/>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联络电话</w:t>
            </w:r>
          </w:p>
        </w:tc>
        <w:tc>
          <w:tcPr>
            <w:tcW w:w="3106" w:type="dxa"/>
            <w:gridSpan w:val="8"/>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0730-3103358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人员编制</w:t>
            </w:r>
          </w:p>
        </w:tc>
        <w:tc>
          <w:tcPr>
            <w:tcW w:w="3561" w:type="dxa"/>
            <w:gridSpan w:val="6"/>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38</w:t>
            </w:r>
          </w:p>
        </w:tc>
        <w:tc>
          <w:tcPr>
            <w:tcW w:w="1479" w:type="dxa"/>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实有人数</w:t>
            </w:r>
          </w:p>
        </w:tc>
        <w:tc>
          <w:tcPr>
            <w:tcW w:w="3106" w:type="dxa"/>
            <w:gridSpan w:val="8"/>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职能职责概述</w:t>
            </w:r>
          </w:p>
        </w:tc>
        <w:tc>
          <w:tcPr>
            <w:tcW w:w="8146" w:type="dxa"/>
            <w:gridSpan w:val="15"/>
            <w:vAlign w:val="center"/>
          </w:tcPr>
          <w:p>
            <w:pPr>
              <w:keepNext w:val="0"/>
              <w:keepLines w:val="0"/>
              <w:pageBreakBefore w:val="0"/>
              <w:widowControl w:val="0"/>
              <w:numPr>
                <w:ilvl w:val="0"/>
                <w:numId w:val="2"/>
              </w:numPr>
              <w:kinsoku/>
              <w:wordWrap/>
              <w:overflowPunct/>
              <w:topLinePunct w:val="0"/>
              <w:autoSpaceDE/>
              <w:autoSpaceDN/>
              <w:bidi w:val="0"/>
              <w:adjustRightInd/>
              <w:snapToGrid/>
              <w:spacing w:after="240" w:afterAutospacing="0" w:line="4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宣传、贯彻党和政府及上级供销社有关农村经济工作的方针、政策、法规和《社章》</w:t>
            </w:r>
            <w:r>
              <w:rPr>
                <w:rFonts w:hint="eastAsia" w:ascii="仿宋" w:hAnsi="仿宋" w:eastAsia="仿宋" w:cs="仿宋"/>
                <w:sz w:val="32"/>
                <w:szCs w:val="32"/>
                <w:lang w:eastAsia="zh-CN"/>
              </w:rPr>
              <w:t>。</w:t>
            </w:r>
          </w:p>
          <w:p>
            <w:pPr>
              <w:numPr>
                <w:ilvl w:val="0"/>
                <w:numId w:val="0"/>
              </w:numPr>
              <w:spacing w:after="240" w:afterAutospacing="0"/>
              <w:rPr>
                <w:rFonts w:hint="eastAsia" w:ascii="仿宋" w:hAnsi="仿宋" w:eastAsia="仿宋" w:cs="仿宋"/>
                <w:sz w:val="32"/>
                <w:szCs w:val="32"/>
                <w:lang w:eastAsia="zh-CN"/>
              </w:rPr>
            </w:pPr>
            <w:r>
              <w:rPr>
                <w:rFonts w:hint="eastAsia" w:ascii="仿宋" w:hAnsi="仿宋" w:eastAsia="仿宋" w:cs="仿宋"/>
                <w:sz w:val="32"/>
                <w:szCs w:val="32"/>
              </w:rPr>
              <w:t>2、负贵综合分析供销社经济发展状况，研究制订全市供销社的发展战略和规划，指导全市供销社的发展与改革。</w:t>
            </w:r>
          </w:p>
          <w:p>
            <w:pPr>
              <w:spacing w:after="240" w:afterAutospacing="0"/>
              <w:rPr>
                <w:rFonts w:hint="eastAsia" w:ascii="仿宋" w:hAnsi="仿宋" w:eastAsia="仿宋" w:cs="仿宋"/>
                <w:sz w:val="32"/>
                <w:szCs w:val="32"/>
                <w:lang w:eastAsia="zh-CN"/>
              </w:rPr>
            </w:pPr>
            <w:r>
              <w:rPr>
                <w:rFonts w:hint="eastAsia" w:ascii="仿宋" w:hAnsi="仿宋" w:eastAsia="仿宋" w:cs="仿宋"/>
                <w:sz w:val="32"/>
                <w:szCs w:val="32"/>
              </w:rPr>
              <w:t>3、按照政府授权和市场经济的要求，对重要农业生产资料和农副产品经营进行组织、协调、管理。</w:t>
            </w:r>
          </w:p>
          <w:p>
            <w:pPr>
              <w:spacing w:after="240" w:afterAutospacing="0"/>
              <w:rPr>
                <w:rFonts w:hint="eastAsia" w:ascii="仿宋" w:hAnsi="仿宋" w:eastAsia="仿宋" w:cs="仿宋"/>
                <w:sz w:val="32"/>
                <w:szCs w:val="32"/>
                <w:lang w:eastAsia="zh-CN"/>
              </w:rPr>
            </w:pPr>
            <w:r>
              <w:rPr>
                <w:rFonts w:hint="eastAsia" w:ascii="仿宋" w:hAnsi="仿宋" w:eastAsia="仿宋" w:cs="仿宋"/>
                <w:sz w:val="32"/>
                <w:szCs w:val="32"/>
              </w:rPr>
              <w:t>4、指导各级供销社的业务活动，促进全市城乡物资交流，建立和完善农业社会化服务体系。</w:t>
            </w:r>
          </w:p>
          <w:p>
            <w:pPr>
              <w:spacing w:after="240" w:afterAutospacing="0"/>
              <w:rPr>
                <w:rFonts w:hint="eastAsia" w:ascii="仿宋" w:hAnsi="仿宋" w:eastAsia="仿宋" w:cs="仿宋"/>
                <w:sz w:val="32"/>
                <w:szCs w:val="32"/>
                <w:lang w:eastAsia="zh-CN"/>
              </w:rPr>
            </w:pPr>
            <w:r>
              <w:rPr>
                <w:rFonts w:hint="eastAsia" w:ascii="仿宋" w:hAnsi="仿宋" w:eastAsia="仿宋" w:cs="仿宋"/>
                <w:sz w:val="32"/>
                <w:szCs w:val="32"/>
              </w:rPr>
              <w:t>5、围浇农业、农村、农民的需要，组织实施以农产品加工为主的社办工业体系建设。</w:t>
            </w:r>
          </w:p>
          <w:p>
            <w:pPr>
              <w:spacing w:after="240" w:afterAutospacing="0"/>
              <w:rPr>
                <w:rFonts w:hint="eastAsia" w:ascii="仿宋" w:hAnsi="仿宋" w:eastAsia="仿宋" w:cs="仿宋"/>
                <w:sz w:val="32"/>
                <w:szCs w:val="32"/>
              </w:rPr>
            </w:pPr>
            <w:r>
              <w:rPr>
                <w:rFonts w:hint="eastAsia" w:ascii="仿宋" w:hAnsi="仿宋" w:eastAsia="仿宋" w:cs="仿宋"/>
                <w:sz w:val="32"/>
                <w:szCs w:val="32"/>
              </w:rPr>
              <w:t>6、对市直供销社企业行使主管职能，并按照资产保值增值的要求，对社有资产进行监督管理。</w:t>
            </w:r>
          </w:p>
          <w:p>
            <w:pPr>
              <w:spacing w:after="240" w:afterAutospacing="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组织全市供销社</w:t>
            </w:r>
            <w:r>
              <w:rPr>
                <w:rFonts w:hint="eastAsia" w:ascii="仿宋" w:hAnsi="仿宋" w:eastAsia="仿宋" w:cs="仿宋"/>
                <w:sz w:val="32"/>
                <w:szCs w:val="32"/>
                <w:lang w:val="en-US" w:eastAsia="zh-CN"/>
              </w:rPr>
              <w:t>干</w:t>
            </w:r>
            <w:r>
              <w:rPr>
                <w:rFonts w:hint="eastAsia" w:ascii="仿宋" w:hAnsi="仿宋" w:eastAsia="仿宋" w:cs="仿宋"/>
                <w:sz w:val="32"/>
                <w:szCs w:val="32"/>
              </w:rPr>
              <w:t>部、职工业务培训;检查、</w:t>
            </w:r>
            <w:r>
              <w:rPr>
                <w:rFonts w:hint="eastAsia" w:ascii="仿宋" w:hAnsi="仿宋" w:eastAsia="仿宋" w:cs="仿宋"/>
                <w:sz w:val="32"/>
                <w:szCs w:val="32"/>
                <w:lang w:val="en-US" w:eastAsia="zh-CN"/>
              </w:rPr>
              <w:t>指</w:t>
            </w:r>
            <w:r>
              <w:rPr>
                <w:rFonts w:hint="eastAsia" w:ascii="仿宋" w:hAnsi="仿宋" w:eastAsia="仿宋" w:cs="仿宋"/>
                <w:sz w:val="32"/>
                <w:szCs w:val="32"/>
              </w:rPr>
              <w:t>导本系统的队伍建设。</w:t>
            </w:r>
          </w:p>
          <w:p>
            <w:pPr>
              <w:spacing w:after="240" w:afterAutospacing="0"/>
              <w:rPr>
                <w:rFonts w:hint="eastAsia" w:ascii="仿宋" w:hAnsi="仿宋" w:eastAsia="仿宋" w:cs="仿宋"/>
                <w:sz w:val="32"/>
                <w:szCs w:val="32"/>
                <w:lang w:val="en-US" w:eastAsia="zh-CN"/>
              </w:rPr>
            </w:pPr>
            <w:r>
              <w:rPr>
                <w:rFonts w:hint="eastAsia" w:ascii="仿宋" w:hAnsi="仿宋" w:eastAsia="仿宋" w:cs="仿宋"/>
                <w:sz w:val="32"/>
                <w:szCs w:val="32"/>
              </w:rPr>
              <w:t>8、承办市委、市政府和上级供销社交办的其他工</w:t>
            </w:r>
            <w:r>
              <w:rPr>
                <w:rFonts w:hint="eastAsia" w:ascii="仿宋" w:hAnsi="仿宋" w:eastAsia="仿宋" w:cs="仿宋"/>
                <w:sz w:val="32"/>
                <w:szCs w:val="32"/>
                <w:lang w:val="en-US" w:eastAsia="zh-CN"/>
              </w:rPr>
              <w:t>作。</w:t>
            </w:r>
          </w:p>
          <w:p>
            <w:pPr>
              <w:autoSpaceDN w:val="0"/>
              <w:spacing w:line="320" w:lineRule="exact"/>
              <w:jc w:val="left"/>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44"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年度主要</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工作内容</w:t>
            </w:r>
          </w:p>
        </w:tc>
        <w:tc>
          <w:tcPr>
            <w:tcW w:w="8146" w:type="dxa"/>
            <w:gridSpan w:val="15"/>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任务1、提质系统基础建设。</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任务2、提升系统服务能力。</w:t>
            </w:r>
          </w:p>
          <w:p>
            <w:pPr>
              <w:rPr>
                <w:rFonts w:hint="eastAsia" w:ascii="仿宋" w:hAnsi="仿宋" w:eastAsia="仿宋" w:cs="仿宋"/>
                <w:color w:val="000000"/>
                <w:sz w:val="32"/>
                <w:szCs w:val="32"/>
                <w:lang w:val="en-US"/>
              </w:rPr>
            </w:pPr>
            <w:r>
              <w:rPr>
                <w:rFonts w:hint="eastAsia" w:ascii="仿宋" w:hAnsi="仿宋" w:eastAsia="仿宋" w:cs="仿宋"/>
                <w:sz w:val="32"/>
                <w:szCs w:val="32"/>
                <w:lang w:val="en-US" w:eastAsia="zh-CN"/>
              </w:rPr>
              <w:t>任务3、扎实做好牵头消费帮扶工作。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58"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年度部门（单位）总体运行情况及取得的成绩</w:t>
            </w:r>
          </w:p>
        </w:tc>
        <w:tc>
          <w:tcPr>
            <w:tcW w:w="8146" w:type="dxa"/>
            <w:gridSpan w:val="15"/>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2021年度部门（单位）总体运行情况及取得的成绩：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kern w:val="0"/>
                <w:sz w:val="32"/>
                <w:szCs w:val="32"/>
                <w:lang w:val="en-US" w:eastAsia="zh-CN"/>
              </w:rPr>
              <w:t>1.</w:t>
            </w:r>
            <w:r>
              <w:rPr>
                <w:rFonts w:hint="eastAsia" w:ascii="仿宋" w:hAnsi="仿宋" w:eastAsia="仿宋" w:cs="仿宋"/>
                <w:sz w:val="32"/>
                <w:szCs w:val="32"/>
                <w:lang w:val="en-US" w:eastAsia="zh-CN"/>
              </w:rPr>
              <w:t>提质系统基础建设</w:t>
            </w:r>
            <w:r>
              <w:rPr>
                <w:rFonts w:hint="eastAsia" w:ascii="仿宋" w:hAnsi="仿宋" w:eastAsia="仿宋" w:cs="仿宋"/>
                <w:kern w:val="0"/>
                <w:sz w:val="32"/>
                <w:szCs w:val="32"/>
                <w:lang w:val="en-US" w:eastAsia="zh-CN"/>
              </w:rPr>
              <w:t>。2021年建设乡镇为农服务综合体10家，改造升级薄弱基层社11家，创建国家级农民专业合作社示范社12家，新建村级</w:t>
            </w:r>
            <w:r>
              <w:rPr>
                <w:rFonts w:hint="eastAsia" w:ascii="仿宋" w:hAnsi="仿宋" w:eastAsia="仿宋" w:cs="仿宋"/>
                <w:sz w:val="32"/>
                <w:szCs w:val="32"/>
                <w:lang w:eastAsia="zh-CN" w:bidi="ar"/>
              </w:rPr>
              <w:t>供销社</w:t>
            </w:r>
            <w:r>
              <w:rPr>
                <w:rFonts w:hint="eastAsia" w:ascii="仿宋" w:hAnsi="仿宋" w:eastAsia="仿宋" w:cs="仿宋"/>
                <w:sz w:val="32"/>
                <w:szCs w:val="32"/>
                <w:lang w:val="en-US" w:eastAsia="zh-CN" w:bidi="ar"/>
              </w:rPr>
              <w:t>8家，</w:t>
            </w:r>
            <w:r>
              <w:rPr>
                <w:rFonts w:hint="eastAsia" w:ascii="仿宋" w:hAnsi="仿宋" w:eastAsia="仿宋" w:cs="仿宋"/>
                <w:kern w:val="0"/>
                <w:sz w:val="32"/>
                <w:szCs w:val="32"/>
              </w:rPr>
              <w:t>培育</w:t>
            </w:r>
            <w:r>
              <w:rPr>
                <w:rFonts w:hint="eastAsia" w:ascii="仿宋" w:hAnsi="仿宋" w:eastAsia="仿宋" w:cs="仿宋"/>
                <w:kern w:val="0"/>
                <w:sz w:val="32"/>
                <w:szCs w:val="32"/>
                <w:lang w:eastAsia="zh-CN"/>
              </w:rPr>
              <w:t>了</w:t>
            </w:r>
            <w:r>
              <w:rPr>
                <w:rFonts w:hint="eastAsia" w:ascii="仿宋" w:hAnsi="仿宋" w:eastAsia="仿宋" w:cs="仿宋"/>
                <w:kern w:val="0"/>
                <w:sz w:val="32"/>
                <w:szCs w:val="32"/>
              </w:rPr>
              <w:t>一批三星级、四星级村级综合服务社</w:t>
            </w:r>
            <w:r>
              <w:rPr>
                <w:rFonts w:hint="eastAsia" w:ascii="仿宋" w:hAnsi="仿宋" w:eastAsia="仿宋" w:cs="仿宋"/>
                <w:kern w:val="0"/>
                <w:sz w:val="32"/>
                <w:szCs w:val="32"/>
                <w:lang w:eastAsia="zh-CN"/>
              </w:rPr>
              <w:t>，领办创办专业合作社</w:t>
            </w:r>
            <w:r>
              <w:rPr>
                <w:rFonts w:hint="eastAsia" w:ascii="仿宋" w:hAnsi="仿宋" w:eastAsia="仿宋" w:cs="仿宋"/>
                <w:kern w:val="0"/>
                <w:sz w:val="32"/>
                <w:szCs w:val="32"/>
                <w:lang w:val="en-US" w:eastAsia="zh-CN"/>
              </w:rPr>
              <w:t>26家，为农服务的组织化程度及合作化程度显著提高，联结社员15.6万人。创新服务方式，大力开展全程农业社会化服务，全市系统2021年全程土地托管面积113万亩，农业社会化服务面积505万亩次。</w:t>
            </w:r>
            <w:r>
              <w:rPr>
                <w:rFonts w:hint="eastAsia" w:ascii="仿宋" w:hAnsi="仿宋" w:eastAsia="仿宋" w:cs="仿宋"/>
                <w:sz w:val="32"/>
                <w:szCs w:val="32"/>
                <w:lang w:eastAsia="zh-CN" w:bidi="ar"/>
              </w:rPr>
              <w:t>积极组织各县市区供销社申报</w:t>
            </w:r>
            <w:r>
              <w:rPr>
                <w:rFonts w:hint="eastAsia" w:ascii="仿宋" w:hAnsi="仿宋" w:eastAsia="仿宋" w:cs="仿宋"/>
                <w:sz w:val="32"/>
                <w:szCs w:val="32"/>
                <w:lang w:val="en-US" w:eastAsia="zh-CN" w:bidi="ar"/>
              </w:rPr>
              <w:t>商业流通发展专项资金项目，</w:t>
            </w:r>
            <w:r>
              <w:rPr>
                <w:rFonts w:hint="eastAsia" w:ascii="仿宋" w:hAnsi="仿宋" w:eastAsia="仿宋" w:cs="仿宋"/>
                <w:sz w:val="32"/>
                <w:szCs w:val="32"/>
                <w:lang w:eastAsia="zh-CN" w:bidi="ar"/>
              </w:rPr>
              <w:t>岳阳县供销社成功申报公田惠农服务有限公司37万元生猪屠宰及农产品预冷冷链建设项目。</w:t>
            </w:r>
            <w:r>
              <w:rPr>
                <w:rFonts w:hint="eastAsia" w:ascii="仿宋" w:hAnsi="仿宋" w:eastAsia="仿宋" w:cs="仿宋"/>
                <w:sz w:val="32"/>
                <w:szCs w:val="32"/>
                <w:lang w:val="en-US" w:eastAsia="zh-CN" w:bidi="ar"/>
              </w:rPr>
              <w:t>发挥系统稳岗就业作用，全市供销系统提供固定性就业岗位7600多个，季节性就业岗位3万多个。</w:t>
            </w:r>
          </w:p>
          <w:p>
            <w:pPr>
              <w:ind w:firstLine="640" w:firstLineChars="200"/>
              <w:rPr>
                <w:rFonts w:hint="eastAsia" w:ascii="仿宋" w:hAnsi="仿宋" w:eastAsia="仿宋" w:cs="仿宋"/>
                <w:kern w:val="44"/>
                <w:sz w:val="32"/>
                <w:szCs w:val="32"/>
                <w:lang w:val="en-US" w:eastAsia="zh-CN" w:bidi="ar"/>
              </w:rPr>
            </w:pPr>
            <w:r>
              <w:rPr>
                <w:rFonts w:hint="eastAsia" w:ascii="仿宋" w:hAnsi="仿宋" w:eastAsia="仿宋" w:cs="仿宋"/>
                <w:sz w:val="32"/>
                <w:szCs w:val="32"/>
                <w:lang w:val="en-US" w:eastAsia="zh-CN"/>
              </w:rPr>
              <w:t>2.提升系统服务能力。</w:t>
            </w:r>
            <w:r>
              <w:rPr>
                <w:rFonts w:hint="eastAsia" w:ascii="仿宋" w:hAnsi="仿宋" w:eastAsia="仿宋" w:cs="仿宋"/>
                <w:kern w:val="44"/>
                <w:sz w:val="32"/>
                <w:szCs w:val="32"/>
                <w:lang w:val="en-US" w:eastAsia="zh-CN" w:bidi="ar"/>
              </w:rPr>
              <w:t>积极申报全省生产、供销、信用“三位一体”试点市，持续推动社有企业“三驾马车”发展壮大。岳阳市惠农供销农服公司稳步增强市场占有额，组织供销系统淡储化肥近3万吨，对市场价格起到了抑制缓冲作用；积极对接中华全国总社供销集团，与君山区签订土地购购买协议，启动建设2万平方米的湖南岳阳现代农</w:t>
            </w:r>
            <w:r>
              <w:rPr>
                <w:rFonts w:hint="eastAsia" w:ascii="仿宋" w:hAnsi="仿宋" w:eastAsia="仿宋" w:cs="仿宋"/>
                <w:sz w:val="32"/>
                <w:szCs w:val="32"/>
                <w:lang w:val="en-US" w:eastAsia="zh-CN"/>
              </w:rPr>
              <w:t>业服务中心，</w:t>
            </w:r>
            <w:r>
              <w:rPr>
                <w:rFonts w:hint="eastAsia" w:ascii="仿宋" w:hAnsi="仿宋" w:eastAsia="仿宋" w:cs="仿宋"/>
                <w:kern w:val="44"/>
                <w:sz w:val="32"/>
                <w:szCs w:val="32"/>
                <w:lang w:val="en-US" w:eastAsia="zh-CN" w:bidi="ar"/>
              </w:rPr>
              <w:t>扩大行业影响力；推进绿色农资，</w:t>
            </w:r>
            <w:r>
              <w:rPr>
                <w:rFonts w:hint="eastAsia" w:ascii="仿宋" w:hAnsi="仿宋" w:eastAsia="仿宋" w:cs="仿宋"/>
                <w:sz w:val="32"/>
                <w:szCs w:val="32"/>
              </w:rPr>
              <w:t>推广</w:t>
            </w:r>
            <w:r>
              <w:rPr>
                <w:rFonts w:hint="eastAsia" w:ascii="仿宋" w:hAnsi="仿宋" w:eastAsia="仿宋" w:cs="仿宋"/>
                <w:kern w:val="44"/>
                <w:sz w:val="32"/>
                <w:szCs w:val="32"/>
                <w:lang w:val="en-US" w:eastAsia="zh-CN" w:bidi="ar"/>
              </w:rPr>
              <w:t>以茶果蔬有机肥替代化肥</w:t>
            </w:r>
            <w:r>
              <w:rPr>
                <w:rFonts w:hint="eastAsia" w:ascii="仿宋" w:hAnsi="仿宋" w:eastAsia="仿宋" w:cs="仿宋"/>
                <w:sz w:val="32"/>
                <w:szCs w:val="32"/>
                <w:lang w:val="en-US" w:eastAsia="zh-CN"/>
              </w:rPr>
              <w:t>3.1</w:t>
            </w:r>
            <w:r>
              <w:rPr>
                <w:rFonts w:hint="eastAsia" w:ascii="仿宋" w:hAnsi="仿宋" w:eastAsia="仿宋" w:cs="仿宋"/>
                <w:sz w:val="32"/>
                <w:szCs w:val="32"/>
              </w:rPr>
              <w:t>万吨</w:t>
            </w:r>
            <w:r>
              <w:rPr>
                <w:rFonts w:hint="eastAsia" w:ascii="仿宋" w:hAnsi="仿宋" w:eastAsia="仿宋" w:cs="仿宋"/>
                <w:sz w:val="32"/>
                <w:szCs w:val="32"/>
                <w:lang w:val="en-US" w:eastAsia="zh-CN"/>
              </w:rPr>
              <w:t>，实施化肥农药用</w:t>
            </w:r>
            <w:r>
              <w:rPr>
                <w:rFonts w:hint="eastAsia" w:ascii="仿宋" w:hAnsi="仿宋" w:eastAsia="仿宋" w:cs="仿宋"/>
                <w:sz w:val="32"/>
                <w:szCs w:val="32"/>
                <w:lang w:eastAsia="zh-CN"/>
              </w:rPr>
              <w:t>量“双减”，为守护“一江一湖”作贡献</w:t>
            </w:r>
            <w:r>
              <w:rPr>
                <w:rFonts w:hint="eastAsia" w:ascii="仿宋" w:hAnsi="仿宋" w:eastAsia="仿宋" w:cs="仿宋"/>
                <w:sz w:val="32"/>
                <w:szCs w:val="32"/>
                <w:lang w:val="en-US" w:eastAsia="zh-CN"/>
              </w:rPr>
              <w:t>。积极推进智慧岳阳“岳</w:t>
            </w:r>
            <w:r>
              <w:rPr>
                <w:rFonts w:hint="eastAsia" w:ascii="仿宋" w:hAnsi="仿宋" w:eastAsia="仿宋" w:cs="仿宋"/>
                <w:sz w:val="32"/>
                <w:szCs w:val="32"/>
                <w:lang w:eastAsia="zh-CN"/>
              </w:rPr>
              <w:t>阳市农村电商平台”项目以及</w:t>
            </w:r>
            <w:r>
              <w:rPr>
                <w:rFonts w:hint="eastAsia" w:ascii="仿宋" w:hAnsi="仿宋" w:eastAsia="仿宋" w:cs="仿宋"/>
                <w:sz w:val="32"/>
                <w:szCs w:val="32"/>
                <w:lang w:val="en-US" w:eastAsia="zh-CN"/>
              </w:rPr>
              <w:t>大美湖区优质农产品展示交易中心建设，项目落成，将会更好发挥线上线下双轮驱动作用，为全市农产品上行建设两条快速通道</w:t>
            </w:r>
            <w:r>
              <w:rPr>
                <w:rFonts w:hint="eastAsia" w:ascii="仿宋" w:hAnsi="仿宋" w:eastAsia="仿宋" w:cs="仿宋"/>
                <w:sz w:val="32"/>
                <w:szCs w:val="32"/>
                <w:lang w:eastAsia="zh-CN"/>
              </w:rPr>
              <w:t>。促进供销信用体系建设，</w:t>
            </w:r>
            <w:r>
              <w:rPr>
                <w:rFonts w:hint="eastAsia" w:ascii="仿宋" w:hAnsi="仿宋" w:eastAsia="仿宋" w:cs="仿宋"/>
                <w:sz w:val="32"/>
                <w:szCs w:val="32"/>
                <w:lang w:val="en-US" w:eastAsia="zh-CN"/>
              </w:rPr>
              <w:t>深化</w:t>
            </w:r>
            <w:r>
              <w:rPr>
                <w:rFonts w:hint="eastAsia" w:ascii="仿宋" w:hAnsi="仿宋" w:eastAsia="仿宋" w:cs="仿宋"/>
                <w:sz w:val="32"/>
                <w:szCs w:val="32"/>
                <w:lang w:eastAsia="zh-CN"/>
              </w:rPr>
              <w:t>与省农信担保公司合作，推动社、担、银、企联手合作，在出新品、减流程、提效率上着力，解决农业发展“源头活水”的问题，</w:t>
            </w:r>
            <w:r>
              <w:rPr>
                <w:rFonts w:hint="eastAsia" w:ascii="仿宋" w:hAnsi="仿宋" w:eastAsia="仿宋" w:cs="仿宋"/>
                <w:kern w:val="44"/>
                <w:sz w:val="32"/>
                <w:szCs w:val="32"/>
                <w:lang w:val="en-US" w:eastAsia="zh-CN" w:bidi="ar"/>
              </w:rPr>
              <w:t>全市系统推荐贷款金额累计已突破1.6亿元，现有在保余额6000万元，推荐贷款不良率为零，市供销系统信用合作得到了相关机构和农业新型经营主体的认可。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3.扎实做好牵头消费帮扶工作。协调出台全市消费帮扶政策性文件，指导全市市直各部门、各县市区开展食堂采购和工会采购帮扶产品。</w:t>
            </w:r>
            <w:r>
              <w:rPr>
                <w:rFonts w:hint="eastAsia" w:ascii="仿宋" w:hAnsi="仿宋" w:eastAsia="仿宋" w:cs="仿宋"/>
                <w:kern w:val="44"/>
                <w:sz w:val="32"/>
                <w:szCs w:val="32"/>
                <w:lang w:val="en-US" w:eastAsia="zh-CN" w:bidi="ar"/>
              </w:rPr>
              <w:t>市供销电商公司“岳阳消费帮扶网”链接全市300多家帮扶企业1000多款帮扶产品，帮销产品1200多万元；派人赴保靖县实地走访12个乡镇对接30多家企业，精选帮扶产品40余种，帮销产品500余万元。</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b/>
                <w:bCs/>
                <w:color w:val="000000"/>
                <w:sz w:val="32"/>
                <w:szCs w:val="32"/>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机构名称</w:t>
            </w:r>
          </w:p>
        </w:tc>
        <w:tc>
          <w:tcPr>
            <w:tcW w:w="1429"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收入合计</w:t>
            </w:r>
          </w:p>
        </w:tc>
        <w:tc>
          <w:tcPr>
            <w:tcW w:w="6671"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429"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06"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上年结转</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公共财</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政拨款</w:t>
            </w:r>
          </w:p>
        </w:tc>
        <w:tc>
          <w:tcPr>
            <w:tcW w:w="1705"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政府基金拨款</w:t>
            </w:r>
          </w:p>
        </w:tc>
        <w:tc>
          <w:tcPr>
            <w:tcW w:w="1800" w:type="dxa"/>
            <w:gridSpan w:val="4"/>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纳入专户管理的非税收入拨款</w:t>
            </w:r>
          </w:p>
        </w:tc>
        <w:tc>
          <w:tcPr>
            <w:tcW w:w="1080" w:type="dxa"/>
            <w:gridSpan w:val="3"/>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其他</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市供销社</w:t>
            </w:r>
          </w:p>
        </w:tc>
        <w:tc>
          <w:tcPr>
            <w:tcW w:w="1429"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784.33</w:t>
            </w:r>
          </w:p>
        </w:tc>
        <w:tc>
          <w:tcPr>
            <w:tcW w:w="1006"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44.85</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739.26</w:t>
            </w:r>
          </w:p>
        </w:tc>
        <w:tc>
          <w:tcPr>
            <w:tcW w:w="1705"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800" w:type="dxa"/>
            <w:gridSpan w:val="4"/>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80" w:type="dxa"/>
            <w:gridSpan w:val="3"/>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b/>
                <w:bCs/>
                <w:color w:val="000000"/>
                <w:sz w:val="32"/>
                <w:szCs w:val="32"/>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 w:hAnsi="仿宋" w:eastAsia="仿宋" w:cs="仿宋"/>
                <w:sz w:val="32"/>
                <w:szCs w:val="32"/>
              </w:rPr>
            </w:pPr>
            <w:r>
              <w:rPr>
                <w:rFonts w:hint="eastAsia" w:ascii="仿宋" w:hAnsi="仿宋" w:eastAsia="仿宋" w:cs="仿宋"/>
                <w:sz w:val="32"/>
                <w:szCs w:val="32"/>
              </w:rPr>
              <w:t>机构名称</w:t>
            </w:r>
          </w:p>
        </w:tc>
        <w:tc>
          <w:tcPr>
            <w:tcW w:w="1429"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支出合计</w:t>
            </w:r>
          </w:p>
        </w:tc>
        <w:tc>
          <w:tcPr>
            <w:tcW w:w="5326"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32"/>
                <w:szCs w:val="32"/>
              </w:rPr>
            </w:pPr>
          </w:p>
        </w:tc>
        <w:tc>
          <w:tcPr>
            <w:tcW w:w="1429"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06"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32"/>
                <w:szCs w:val="32"/>
              </w:rPr>
            </w:pPr>
          </w:p>
        </w:tc>
        <w:tc>
          <w:tcPr>
            <w:tcW w:w="1429"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06"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人员支出</w:t>
            </w:r>
          </w:p>
        </w:tc>
        <w:tc>
          <w:tcPr>
            <w:tcW w:w="2160" w:type="dxa"/>
            <w:gridSpan w:val="4"/>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4" w:hRule="atLeast"/>
          <w:jc w:val="center"/>
        </w:trPr>
        <w:tc>
          <w:tcPr>
            <w:tcW w:w="1700" w:type="dxa"/>
            <w:gridSpan w:val="3"/>
            <w:vAlign w:val="center"/>
          </w:tcPr>
          <w:p>
            <w:pPr>
              <w:spacing w:line="320" w:lineRule="exact"/>
              <w:jc w:val="lef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市供销社</w:t>
            </w:r>
          </w:p>
        </w:tc>
        <w:tc>
          <w:tcPr>
            <w:tcW w:w="1429"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784.21</w:t>
            </w:r>
          </w:p>
        </w:tc>
        <w:tc>
          <w:tcPr>
            <w:tcW w:w="1006"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639.21</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552.68</w:t>
            </w:r>
          </w:p>
        </w:tc>
        <w:tc>
          <w:tcPr>
            <w:tcW w:w="2160" w:type="dxa"/>
            <w:gridSpan w:val="4"/>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86.53</w:t>
            </w:r>
          </w:p>
        </w:tc>
        <w:tc>
          <w:tcPr>
            <w:tcW w:w="1080" w:type="dxa"/>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145</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0.12</w:t>
            </w:r>
          </w:p>
        </w:tc>
        <w:tc>
          <w:tcPr>
            <w:tcW w:w="62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32"/>
                <w:szCs w:val="32"/>
              </w:rPr>
            </w:pPr>
            <w:r>
              <w:rPr>
                <w:rFonts w:hint="eastAsia" w:ascii="仿宋" w:hAnsi="仿宋" w:eastAsia="仿宋" w:cs="仿宋"/>
                <w:sz w:val="32"/>
                <w:szCs w:val="32"/>
              </w:rPr>
              <w:t>机构名称</w:t>
            </w:r>
          </w:p>
        </w:tc>
        <w:tc>
          <w:tcPr>
            <w:tcW w:w="1429"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三公经费</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合计</w:t>
            </w:r>
          </w:p>
        </w:tc>
        <w:tc>
          <w:tcPr>
            <w:tcW w:w="6671"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0" w:hRule="atLeast"/>
          <w:jc w:val="center"/>
        </w:trPr>
        <w:tc>
          <w:tcPr>
            <w:tcW w:w="1700" w:type="dxa"/>
            <w:gridSpan w:val="3"/>
            <w:vMerge w:val="continue"/>
            <w:vAlign w:val="center"/>
          </w:tcPr>
          <w:p>
            <w:pPr>
              <w:spacing w:line="320" w:lineRule="exact"/>
              <w:jc w:val="center"/>
              <w:rPr>
                <w:rFonts w:hint="eastAsia" w:ascii="仿宋" w:hAnsi="仿宋" w:eastAsia="仿宋" w:cs="仿宋"/>
                <w:sz w:val="32"/>
                <w:szCs w:val="32"/>
              </w:rPr>
            </w:pPr>
          </w:p>
        </w:tc>
        <w:tc>
          <w:tcPr>
            <w:tcW w:w="1429"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1006"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公务接待费</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公务用车运维费</w:t>
            </w:r>
          </w:p>
        </w:tc>
        <w:tc>
          <w:tcPr>
            <w:tcW w:w="2160" w:type="dxa"/>
            <w:gridSpan w:val="4"/>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公务用车购置费</w:t>
            </w:r>
          </w:p>
        </w:tc>
        <w:tc>
          <w:tcPr>
            <w:tcW w:w="2425" w:type="dxa"/>
            <w:gridSpan w:val="5"/>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市供销社</w:t>
            </w:r>
          </w:p>
        </w:tc>
        <w:tc>
          <w:tcPr>
            <w:tcW w:w="1429"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5.29</w:t>
            </w:r>
          </w:p>
        </w:tc>
        <w:tc>
          <w:tcPr>
            <w:tcW w:w="1006"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2.99</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2.30</w:t>
            </w:r>
          </w:p>
        </w:tc>
        <w:tc>
          <w:tcPr>
            <w:tcW w:w="2160" w:type="dxa"/>
            <w:gridSpan w:val="4"/>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425" w:type="dxa"/>
            <w:gridSpan w:val="5"/>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32"/>
                <w:szCs w:val="32"/>
              </w:rPr>
            </w:pPr>
            <w:r>
              <w:rPr>
                <w:rFonts w:hint="eastAsia" w:ascii="仿宋" w:hAnsi="仿宋" w:eastAsia="仿宋" w:cs="仿宋"/>
                <w:sz w:val="32"/>
                <w:szCs w:val="32"/>
              </w:rPr>
              <w:t>机构名称</w:t>
            </w:r>
          </w:p>
        </w:tc>
        <w:tc>
          <w:tcPr>
            <w:tcW w:w="1429"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固定资产</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合计</w:t>
            </w:r>
          </w:p>
        </w:tc>
        <w:tc>
          <w:tcPr>
            <w:tcW w:w="5730"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54" w:hRule="atLeast"/>
          <w:jc w:val="center"/>
        </w:trPr>
        <w:tc>
          <w:tcPr>
            <w:tcW w:w="1700" w:type="dxa"/>
            <w:gridSpan w:val="3"/>
            <w:vMerge w:val="continue"/>
            <w:vAlign w:val="center"/>
          </w:tcPr>
          <w:p>
            <w:pPr>
              <w:spacing w:line="320" w:lineRule="exact"/>
              <w:jc w:val="center"/>
              <w:rPr>
                <w:rFonts w:hint="eastAsia" w:ascii="仿宋" w:hAnsi="仿宋" w:eastAsia="仿宋" w:cs="仿宋"/>
                <w:sz w:val="32"/>
                <w:szCs w:val="32"/>
              </w:rPr>
            </w:pPr>
          </w:p>
        </w:tc>
        <w:tc>
          <w:tcPr>
            <w:tcW w:w="1429"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c>
          <w:tcPr>
            <w:tcW w:w="2086"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vAlign w:val="center"/>
          </w:tcPr>
          <w:p>
            <w:pPr>
              <w:spacing w:line="320" w:lineRule="exact"/>
              <w:jc w:val="lef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市供销社</w:t>
            </w:r>
          </w:p>
        </w:tc>
        <w:tc>
          <w:tcPr>
            <w:tcW w:w="1429"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517.57</w:t>
            </w:r>
          </w:p>
        </w:tc>
        <w:tc>
          <w:tcPr>
            <w:tcW w:w="2086"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517.57</w:t>
            </w:r>
          </w:p>
        </w:tc>
        <w:tc>
          <w:tcPr>
            <w:tcW w:w="3644" w:type="dxa"/>
            <w:gridSpan w:val="7"/>
            <w:vAlign w:val="center"/>
          </w:tcPr>
          <w:p>
            <w:pPr>
              <w:autoSpaceDN w:val="0"/>
              <w:spacing w:line="320" w:lineRule="exact"/>
              <w:jc w:val="center"/>
              <w:textAlignment w:val="center"/>
              <w:rPr>
                <w:rFonts w:hint="eastAsia"/>
              </w:rPr>
            </w:pPr>
          </w:p>
          <w:p>
            <w:pPr>
              <w:pStyle w:val="3"/>
              <w:rPr>
                <w:rFonts w:hint="eastAsia" w:ascii="仿宋" w:hAnsi="仿宋" w:eastAsia="仿宋" w:cs="仿宋"/>
                <w:color w:val="000000"/>
                <w:sz w:val="32"/>
                <w:szCs w:val="32"/>
              </w:rPr>
            </w:pPr>
          </w:p>
          <w:p>
            <w:pPr>
              <w:pStyle w:val="3"/>
              <w:rPr>
                <w:rFonts w:hint="eastAsia" w:ascii="仿宋" w:hAnsi="仿宋" w:eastAsia="仿宋" w:cs="仿宋"/>
                <w:color w:val="000000"/>
                <w:sz w:val="32"/>
                <w:szCs w:val="32"/>
              </w:rPr>
            </w:pPr>
          </w:p>
        </w:tc>
        <w:tc>
          <w:tcPr>
            <w:tcW w:w="941" w:type="dxa"/>
            <w:gridSpan w:val="2"/>
            <w:vAlign w:val="center"/>
          </w:tcPr>
          <w:p>
            <w:pPr>
              <w:autoSpaceDN w:val="0"/>
              <w:spacing w:line="320" w:lineRule="exact"/>
              <w:jc w:val="center"/>
              <w:textAlignment w:val="center"/>
              <w:rPr>
                <w:rFonts w:hint="eastAsia" w:ascii="仿宋" w:hAnsi="仿宋" w:eastAsia="仿宋"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auto"/>
                <w:sz w:val="32"/>
                <w:szCs w:val="32"/>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预期目标</w:t>
            </w:r>
          </w:p>
        </w:tc>
        <w:tc>
          <w:tcPr>
            <w:tcW w:w="4585" w:type="dxa"/>
            <w:gridSpan w:val="9"/>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3774" w:type="dxa"/>
            <w:gridSpan w:val="7"/>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目标1：供销系统基础设施建设逐步完善</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目标2：拓宽服务内容，提升服务能力和服务质量</w:t>
            </w:r>
          </w:p>
          <w:p>
            <w:pPr>
              <w:rPr>
                <w:rFonts w:hint="eastAsia" w:ascii="仿宋" w:hAnsi="仿宋" w:eastAsia="仿宋" w:cs="仿宋"/>
                <w:sz w:val="24"/>
                <w:szCs w:val="24"/>
                <w:lang w:val="en-US" w:eastAsia="zh-CN"/>
              </w:rPr>
            </w:pPr>
          </w:p>
          <w:p>
            <w:pPr>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目标3：牵头做好消费帮扶工作</w:t>
            </w:r>
          </w:p>
        </w:tc>
        <w:tc>
          <w:tcPr>
            <w:tcW w:w="4585" w:type="dxa"/>
            <w:gridSpan w:val="9"/>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1、建设乡镇为农服务综合体10家，改造升级薄弱基层社11家，创建国家级农民专业合作社示范社12家，新建村级供销社8家，培育了一批三星级、四星级村级综合服务社，基础设施建设得到巩固。</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2、初步建立健全了农资供应和农化服务体系，提高了服务能力，平抑了农资价格，促进农民增收</w:t>
            </w:r>
          </w:p>
          <w:p>
            <w:pPr>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3.协调出台了全市消费帮扶政策性文件，指导全市市直各部门、各县市区开展食堂采购和工会采购帮扶产品。</w:t>
            </w:r>
            <w:r>
              <w:rPr>
                <w:rFonts w:hint="eastAsia" w:ascii="仿宋" w:hAnsi="仿宋" w:eastAsia="仿宋" w:cs="仿宋"/>
                <w:kern w:val="44"/>
                <w:sz w:val="24"/>
                <w:szCs w:val="24"/>
                <w:lang w:val="en-US" w:eastAsia="zh-CN" w:bidi="ar"/>
              </w:rPr>
              <w:t>市供销电商公司“岳阳消费</w:t>
            </w:r>
            <w:r>
              <w:rPr>
                <w:rFonts w:hint="eastAsia" w:ascii="仿宋" w:hAnsi="仿宋" w:eastAsia="仿宋" w:cs="仿宋"/>
                <w:sz w:val="24"/>
                <w:szCs w:val="24"/>
                <w:lang w:val="en-US" w:eastAsia="zh-CN"/>
              </w:rPr>
              <w:t>帮扶网”在帮扶企业、帮扶产品、帮销产品中发挥了积极的引领作用。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3"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整体支出</w:t>
            </w:r>
          </w:p>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auto"/>
                <w:sz w:val="32"/>
                <w:szCs w:val="32"/>
              </w:rPr>
              <w:t>绩效定量目标及实施计划完成情况</w:t>
            </w:r>
          </w:p>
        </w:tc>
        <w:tc>
          <w:tcPr>
            <w:tcW w:w="296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评价内容</w:t>
            </w:r>
          </w:p>
        </w:tc>
        <w:tc>
          <w:tcPr>
            <w:tcW w:w="2709" w:type="dxa"/>
            <w:gridSpan w:val="4"/>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绩效目标</w:t>
            </w:r>
          </w:p>
        </w:tc>
        <w:tc>
          <w:tcPr>
            <w:tcW w:w="2684"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产出目标</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（部门工作实绩，包含上级部门和市委市政府布置的重点工作、实事任务等，根据部门实际进行调整细化）</w:t>
            </w:r>
          </w:p>
        </w:tc>
        <w:tc>
          <w:tcPr>
            <w:tcW w:w="1417" w:type="dxa"/>
            <w:gridSpan w:val="3"/>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709" w:type="dxa"/>
            <w:gridSpan w:val="4"/>
            <w:vAlign w:val="center"/>
          </w:tcPr>
          <w:p>
            <w:pPr>
              <w:keepNext w:val="0"/>
              <w:keepLines w:val="0"/>
              <w:widowControl/>
              <w:suppressLineNumbers w:val="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1、全国基层社标杆社通过全国供销合作总社审核批准。</w:t>
            </w:r>
          </w:p>
        </w:tc>
        <w:tc>
          <w:tcPr>
            <w:tcW w:w="2684" w:type="dxa"/>
            <w:gridSpan w:val="6"/>
            <w:vAlign w:val="center"/>
          </w:tcPr>
          <w:p>
            <w:pPr>
              <w:autoSpaceDN w:val="0"/>
              <w:spacing w:line="320" w:lineRule="exact"/>
              <w:jc w:val="both"/>
              <w:textAlignment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eastAsia="zh-CN"/>
              </w:rPr>
              <w:t>已通过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keepNext w:val="0"/>
              <w:keepLines w:val="0"/>
              <w:widowControl/>
              <w:suppressLineNumbers w:val="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村级基层社在人口规模大、经济基础好的中心村，探索县社领办、村社共建、农民主办的村级基层社，发展壮大集体经济，带领村民开展生产合作、生活合作</w:t>
            </w:r>
            <w:r>
              <w:rPr>
                <w:rFonts w:hint="eastAsia" w:ascii="仿宋" w:hAnsi="仿宋" w:eastAsia="仿宋" w:cs="仿宋"/>
                <w:color w:val="000000"/>
                <w:sz w:val="24"/>
                <w:szCs w:val="24"/>
                <w:lang w:eastAsia="zh-CN"/>
              </w:rPr>
              <w:t>。</w:t>
            </w:r>
          </w:p>
        </w:tc>
        <w:tc>
          <w:tcPr>
            <w:tcW w:w="2684" w:type="dxa"/>
            <w:gridSpan w:val="6"/>
            <w:vAlign w:val="center"/>
          </w:tcPr>
          <w:p>
            <w:pPr>
              <w:autoSpaceDN w:val="0"/>
              <w:spacing w:line="320" w:lineRule="exact"/>
              <w:jc w:val="both"/>
              <w:textAlignment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eastAsia="zh-CN"/>
              </w:rPr>
              <w:t>已完成，指导县市区供销社建设村级基层社，逐步打通农民综合服务“最后一公里”。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keepNext w:val="0"/>
              <w:keepLines w:val="0"/>
              <w:widowControl/>
              <w:suppressLineNumbers w:val="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3、土地托管，合作社通过综合性的农业服务，种粮成本降低。</w:t>
            </w:r>
          </w:p>
        </w:tc>
        <w:tc>
          <w:tcPr>
            <w:tcW w:w="2684" w:type="dxa"/>
            <w:gridSpan w:val="6"/>
            <w:vAlign w:val="center"/>
          </w:tcPr>
          <w:p>
            <w:pPr>
              <w:autoSpaceDN w:val="0"/>
              <w:spacing w:line="320" w:lineRule="exact"/>
              <w:jc w:val="both"/>
              <w:textAlignment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eastAsia="zh-CN"/>
              </w:rPr>
              <w:t>已完成，专业合作社提供菜单式、保姆式土地托管服务，大大降低农民种粮成本。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spacing w:line="320" w:lineRule="exact"/>
              <w:rPr>
                <w:rFonts w:hint="eastAsia" w:ascii="仿宋" w:hAnsi="仿宋" w:eastAsia="仿宋" w:cs="仿宋"/>
                <w:color w:val="000000"/>
                <w:sz w:val="24"/>
                <w:szCs w:val="24"/>
              </w:rPr>
            </w:pPr>
          </w:p>
        </w:tc>
        <w:tc>
          <w:tcPr>
            <w:tcW w:w="2709" w:type="dxa"/>
            <w:gridSpan w:val="4"/>
            <w:vAlign w:val="center"/>
          </w:tcPr>
          <w:p>
            <w:pPr>
              <w:keepNext w:val="0"/>
              <w:keepLines w:val="0"/>
              <w:widowControl/>
              <w:numPr>
                <w:ilvl w:val="0"/>
                <w:numId w:val="3"/>
              </w:numPr>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资供应和农化服务体系，以农资供应、土地托管、测土配方、统防统治、农技下乡、庄稼医院等为主要内容，农资保质保价保供，降低农资、农化服务成本，为三农提供全方位、全过程、全覆盖的农业社会化服务。</w:t>
            </w:r>
          </w:p>
          <w:p>
            <w:pPr>
              <w:pStyle w:val="2"/>
              <w:numPr>
                <w:ilvl w:val="0"/>
                <w:numId w:val="0"/>
              </w:numPr>
              <w:ind w:right="0" w:rightChars="0"/>
              <w:outlineLvl w:val="0"/>
              <w:rPr>
                <w:rFonts w:hint="eastAsia" w:ascii="仿宋" w:hAnsi="仿宋" w:eastAsia="仿宋" w:cs="仿宋"/>
                <w:sz w:val="24"/>
                <w:szCs w:val="24"/>
                <w:lang w:val="en-US" w:eastAsia="zh-CN"/>
              </w:rPr>
            </w:pPr>
          </w:p>
        </w:tc>
        <w:tc>
          <w:tcPr>
            <w:tcW w:w="2684" w:type="dxa"/>
            <w:gridSpan w:val="6"/>
            <w:vAlign w:val="center"/>
          </w:tcPr>
          <w:p>
            <w:pPr>
              <w:autoSpaceDN w:val="0"/>
              <w:spacing w:line="320" w:lineRule="exact"/>
              <w:jc w:val="both"/>
              <w:textAlignment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已完成。供销社以各级惠农服务平台为依托，进行联采联储，克服美元通胀、能源原料供应紧张、疫情反复、限采限电限排等多重因素带来的肥料农药等农业生产资料价格持续上涨不利局面，积极承担农资淡季储备主体责任，确保了全市系统农资供应质优、量足、价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keepNext w:val="0"/>
              <w:keepLines w:val="0"/>
              <w:widowControl/>
              <w:numPr>
                <w:ilvl w:val="0"/>
                <w:numId w:val="3"/>
              </w:numPr>
              <w:suppressLineNumbers w:val="0"/>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优化干部职工队伍</w:t>
            </w:r>
            <w:r>
              <w:rPr>
                <w:rFonts w:hint="eastAsia" w:ascii="仿宋" w:hAnsi="仿宋" w:eastAsia="仿宋" w:cs="仿宋"/>
                <w:sz w:val="24"/>
                <w:szCs w:val="24"/>
                <w:lang w:eastAsia="zh-CN"/>
              </w:rPr>
              <w:t>，选举中无违规、违法、出现负面舆情</w:t>
            </w:r>
          </w:p>
          <w:p>
            <w:pPr>
              <w:pStyle w:val="2"/>
              <w:numPr>
                <w:ilvl w:val="0"/>
                <w:numId w:val="0"/>
              </w:numPr>
              <w:ind w:leftChars="0" w:right="0" w:rightChars="0"/>
              <w:outlineLvl w:val="0"/>
              <w:rPr>
                <w:rFonts w:hint="eastAsia" w:ascii="仿宋" w:hAnsi="仿宋" w:eastAsia="仿宋" w:cs="仿宋"/>
                <w:sz w:val="24"/>
                <w:szCs w:val="24"/>
                <w:lang w:val="en-US" w:eastAsia="zh-CN"/>
              </w:rPr>
            </w:pP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选举中无违规、违法、出现负面舆情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restart"/>
            <w:vAlign w:val="center"/>
          </w:tcPr>
          <w:p>
            <w:pPr>
              <w:autoSpaceDN w:val="0"/>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数量指标</w:t>
            </w:r>
          </w:p>
        </w:tc>
        <w:tc>
          <w:tcPr>
            <w:tcW w:w="2709" w:type="dxa"/>
            <w:gridSpan w:val="4"/>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1、创建2家全国基层社标杆社</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已创建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2709" w:type="dxa"/>
            <w:gridSpan w:val="4"/>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新建</w:t>
            </w:r>
            <w:r>
              <w:rPr>
                <w:rFonts w:hint="eastAsia" w:ascii="仿宋" w:hAnsi="仿宋" w:eastAsia="仿宋" w:cs="仿宋"/>
                <w:b w:val="0"/>
                <w:bCs w:val="0"/>
                <w:color w:val="000000"/>
                <w:sz w:val="24"/>
                <w:szCs w:val="24"/>
                <w:lang w:val="en-US" w:eastAsia="zh-CN"/>
              </w:rPr>
              <w:t>6</w:t>
            </w:r>
            <w:r>
              <w:rPr>
                <w:rFonts w:hint="eastAsia" w:ascii="仿宋" w:hAnsi="仿宋" w:eastAsia="仿宋" w:cs="仿宋"/>
                <w:b w:val="0"/>
                <w:bCs w:val="0"/>
                <w:color w:val="000000"/>
                <w:sz w:val="24"/>
                <w:szCs w:val="24"/>
              </w:rPr>
              <w:t>个村级基层社</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2709" w:type="dxa"/>
            <w:gridSpan w:val="4"/>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3、牵头开展的土地托管，面积达到160万亩。</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3"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Merge w:val="continue"/>
            <w:vAlign w:val="center"/>
          </w:tcPr>
          <w:p>
            <w:pPr>
              <w:autoSpaceDN w:val="0"/>
              <w:spacing w:line="320" w:lineRule="exact"/>
              <w:jc w:val="center"/>
              <w:textAlignment w:val="center"/>
              <w:rPr>
                <w:rFonts w:hint="eastAsia" w:ascii="仿宋" w:hAnsi="仿宋" w:eastAsia="仿宋" w:cs="仿宋"/>
                <w:sz w:val="24"/>
                <w:szCs w:val="24"/>
              </w:rPr>
            </w:pPr>
          </w:p>
        </w:tc>
        <w:tc>
          <w:tcPr>
            <w:tcW w:w="2709" w:type="dxa"/>
            <w:gridSpan w:val="4"/>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4、初步建立健全农资供应和农化服务体系</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初步建立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709" w:type="dxa"/>
            <w:gridSpan w:val="4"/>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按计划时间完成任务</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已按计划完成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continue"/>
            <w:vAlign w:val="center"/>
          </w:tcPr>
          <w:p>
            <w:pPr>
              <w:autoSpaceDN w:val="0"/>
              <w:spacing w:line="320" w:lineRule="exact"/>
              <w:rPr>
                <w:rFonts w:hint="eastAsia" w:ascii="仿宋" w:hAnsi="仿宋" w:eastAsia="仿宋" w:cs="仿宋"/>
                <w:color w:val="000000"/>
                <w:sz w:val="24"/>
                <w:szCs w:val="24"/>
              </w:rPr>
            </w:pP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709" w:type="dxa"/>
            <w:gridSpan w:val="4"/>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完成任务支出不超过预算批复金额</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9" w:hRule="atLeast"/>
          <w:jc w:val="center"/>
        </w:trPr>
        <w:tc>
          <w:tcPr>
            <w:tcW w:w="1441" w:type="dxa"/>
            <w:vMerge w:val="continue"/>
            <w:vAlign w:val="center"/>
          </w:tcPr>
          <w:p>
            <w:pPr>
              <w:spacing w:line="320" w:lineRule="exact"/>
              <w:rPr>
                <w:rFonts w:hint="eastAsia" w:ascii="仿宋" w:hAnsi="仿宋" w:eastAsia="仿宋" w:cs="仿宋"/>
                <w:sz w:val="32"/>
                <w:szCs w:val="32"/>
              </w:rPr>
            </w:pPr>
          </w:p>
        </w:tc>
        <w:tc>
          <w:tcPr>
            <w:tcW w:w="1549" w:type="dxa"/>
            <w:gridSpan w:val="3"/>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效益目标</w:t>
            </w:r>
          </w:p>
          <w:p>
            <w:pPr>
              <w:autoSpaceDN w:val="0"/>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（预期实现的效益）</w:t>
            </w: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tc>
        <w:tc>
          <w:tcPr>
            <w:tcW w:w="2709" w:type="dxa"/>
            <w:gridSpan w:val="4"/>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农资经营惠及全市农民群众，为老百姓生活提供便利</w:t>
            </w:r>
            <w:r>
              <w:rPr>
                <w:rFonts w:hint="eastAsia" w:ascii="仿宋" w:hAnsi="仿宋" w:eastAsia="仿宋" w:cs="仿宋"/>
                <w:b w:val="0"/>
                <w:bCs w:val="0"/>
                <w:color w:val="000000"/>
                <w:sz w:val="24"/>
                <w:szCs w:val="24"/>
                <w:lang w:val="en-US" w:eastAsia="zh-CN"/>
              </w:rPr>
              <w:t>生活便利、有特色、助力乡村振兴、人民生活水平提高，社会稳定。</w:t>
            </w:r>
          </w:p>
        </w:tc>
        <w:tc>
          <w:tcPr>
            <w:tcW w:w="2684" w:type="dxa"/>
            <w:gridSpan w:val="6"/>
            <w:vAlign w:val="center"/>
          </w:tcPr>
          <w:p>
            <w:pPr>
              <w:autoSpaceDN w:val="0"/>
              <w:spacing w:line="32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生活便利、有特色、助力乡村振兴、人民生活水平提高，社会稳定。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65" w:hRule="atLeast"/>
          <w:jc w:val="center"/>
        </w:trPr>
        <w:tc>
          <w:tcPr>
            <w:tcW w:w="1441" w:type="dxa"/>
            <w:vMerge w:val="continue"/>
            <w:vAlign w:val="center"/>
          </w:tcPr>
          <w:p>
            <w:pPr>
              <w:spacing w:line="320" w:lineRule="exact"/>
              <w:rPr>
                <w:rFonts w:hint="eastAsia" w:ascii="仿宋" w:hAnsi="仿宋" w:eastAsia="仿宋" w:cs="仿宋"/>
                <w:color w:val="000000"/>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w:t>
            </w:r>
          </w:p>
        </w:tc>
        <w:tc>
          <w:tcPr>
            <w:tcW w:w="2709" w:type="dxa"/>
            <w:gridSpan w:val="4"/>
            <w:vAlign w:val="center"/>
          </w:tcPr>
          <w:p>
            <w:pPr>
              <w:autoSpaceDN w:val="0"/>
              <w:spacing w:line="320" w:lineRule="exact"/>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全市经营服务网络体系基本建成、土地托管、黄茶产业建设，为农业生产降低成本，为农村、农民增收、增效发挥更大的作用</w:t>
            </w:r>
          </w:p>
          <w:p>
            <w:pPr>
              <w:autoSpaceDN w:val="0"/>
              <w:spacing w:line="320" w:lineRule="exact"/>
              <w:jc w:val="center"/>
              <w:textAlignment w:val="center"/>
              <w:rPr>
                <w:rFonts w:hint="eastAsia" w:ascii="仿宋" w:hAnsi="仿宋" w:eastAsia="仿宋" w:cs="仿宋"/>
                <w:b w:val="0"/>
                <w:bCs w:val="0"/>
                <w:kern w:val="2"/>
                <w:sz w:val="24"/>
                <w:szCs w:val="24"/>
                <w:lang w:val="en-US" w:eastAsia="zh-CN" w:bidi="ar-SA"/>
              </w:rPr>
            </w:pPr>
          </w:p>
        </w:tc>
        <w:tc>
          <w:tcPr>
            <w:tcW w:w="2684" w:type="dxa"/>
            <w:gridSpan w:val="6"/>
            <w:vAlign w:val="center"/>
          </w:tcPr>
          <w:p>
            <w:pPr>
              <w:autoSpaceDN w:val="0"/>
              <w:spacing w:line="320" w:lineRule="exact"/>
              <w:ind w:firstLine="240" w:firstLineChars="10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成本降低、效益提高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spacing w:line="320" w:lineRule="exact"/>
              <w:rPr>
                <w:rFonts w:hint="eastAsia" w:ascii="仿宋" w:hAnsi="仿宋" w:eastAsia="仿宋" w:cs="仿宋"/>
                <w:color w:val="000000"/>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w:t>
            </w:r>
          </w:p>
        </w:tc>
        <w:tc>
          <w:tcPr>
            <w:tcW w:w="2709" w:type="dxa"/>
            <w:gridSpan w:val="4"/>
            <w:vAlign w:val="center"/>
          </w:tcPr>
          <w:p>
            <w:pPr>
              <w:autoSpaceDN w:val="0"/>
              <w:spacing w:line="32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无明显环境效益</w:t>
            </w:r>
          </w:p>
        </w:tc>
        <w:tc>
          <w:tcPr>
            <w:tcW w:w="2684" w:type="dxa"/>
            <w:gridSpan w:val="6"/>
            <w:vAlign w:val="center"/>
          </w:tcPr>
          <w:p>
            <w:pPr>
              <w:autoSpaceDN w:val="0"/>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无明显环境效益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Align w:val="center"/>
          </w:tcPr>
          <w:p>
            <w:pPr>
              <w:spacing w:line="320" w:lineRule="exact"/>
              <w:rPr>
                <w:rFonts w:hint="eastAsia" w:ascii="仿宋" w:hAnsi="仿宋" w:eastAsia="仿宋" w:cs="仿宋"/>
                <w:color w:val="000000"/>
                <w:sz w:val="32"/>
                <w:szCs w:val="32"/>
              </w:rPr>
            </w:pPr>
          </w:p>
        </w:tc>
        <w:tc>
          <w:tcPr>
            <w:tcW w:w="1549" w:type="dxa"/>
            <w:gridSpan w:val="3"/>
            <w:vMerge w:val="continue"/>
            <w:vAlign w:val="center"/>
          </w:tcPr>
          <w:p>
            <w:pPr>
              <w:autoSpaceDN w:val="0"/>
              <w:spacing w:line="320" w:lineRule="exact"/>
              <w:rPr>
                <w:rFonts w:hint="eastAsia" w:ascii="仿宋" w:hAnsi="仿宋" w:eastAsia="仿宋" w:cs="仿宋"/>
                <w:sz w:val="24"/>
                <w:szCs w:val="24"/>
              </w:rPr>
            </w:pPr>
          </w:p>
        </w:tc>
        <w:tc>
          <w:tcPr>
            <w:tcW w:w="1417" w:type="dxa"/>
            <w:gridSpan w:val="3"/>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服务对象满意度</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问卷调查群众满意度≥95%</w:t>
            </w:r>
          </w:p>
        </w:tc>
        <w:tc>
          <w:tcPr>
            <w:tcW w:w="2684" w:type="dxa"/>
            <w:gridSpan w:val="6"/>
            <w:vAlign w:val="center"/>
          </w:tcPr>
          <w:p>
            <w:pPr>
              <w:autoSpaceDN w:val="0"/>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left"/>
              <w:textAlignment w:val="center"/>
              <w:rPr>
                <w:rFonts w:hint="eastAsia" w:ascii="仿宋" w:hAnsi="仿宋" w:eastAsia="仿宋" w:cs="仿宋"/>
                <w:sz w:val="32"/>
                <w:szCs w:val="32"/>
              </w:rPr>
            </w:pPr>
            <w:r>
              <w:rPr>
                <w:rFonts w:hint="eastAsia" w:ascii="仿宋" w:hAnsi="仿宋" w:eastAsia="仿宋" w:cs="仿宋"/>
                <w:color w:val="000000"/>
                <w:sz w:val="32"/>
                <w:szCs w:val="32"/>
              </w:rPr>
              <w:t>绩效自评综合得分</w:t>
            </w:r>
          </w:p>
        </w:tc>
        <w:tc>
          <w:tcPr>
            <w:tcW w:w="8146" w:type="dxa"/>
            <w:gridSpan w:val="15"/>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left"/>
              <w:textAlignment w:val="center"/>
              <w:rPr>
                <w:rFonts w:hint="eastAsia" w:ascii="仿宋" w:hAnsi="仿宋" w:eastAsia="仿宋" w:cs="仿宋"/>
                <w:sz w:val="32"/>
                <w:szCs w:val="32"/>
              </w:rPr>
            </w:pPr>
            <w:r>
              <w:rPr>
                <w:rFonts w:hint="eastAsia" w:ascii="仿宋" w:hAnsi="仿宋" w:eastAsia="仿宋" w:cs="仿宋"/>
                <w:color w:val="000000"/>
                <w:sz w:val="32"/>
                <w:szCs w:val="32"/>
              </w:rPr>
              <w:t>评价等次</w:t>
            </w:r>
          </w:p>
        </w:tc>
        <w:tc>
          <w:tcPr>
            <w:tcW w:w="8146" w:type="dxa"/>
            <w:gridSpan w:val="15"/>
            <w:vAlign w:val="center"/>
          </w:tcPr>
          <w:p>
            <w:pPr>
              <w:autoSpaceDN w:val="0"/>
              <w:spacing w:line="320" w:lineRule="exact"/>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9800" w:type="dxa"/>
            <w:gridSpan w:val="17"/>
            <w:vAlign w:val="center"/>
          </w:tcPr>
          <w:p>
            <w:pPr>
              <w:autoSpaceDN w:val="0"/>
              <w:spacing w:line="32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4" w:hRule="atLeast"/>
          <w:jc w:val="center"/>
        </w:trPr>
        <w:tc>
          <w:tcPr>
            <w:tcW w:w="1654" w:type="dxa"/>
            <w:gridSpan w:val="2"/>
            <w:vAlign w:val="center"/>
          </w:tcPr>
          <w:p>
            <w:pPr>
              <w:autoSpaceDN w:val="0"/>
              <w:spacing w:line="240" w:lineRule="auto"/>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姓  名</w:t>
            </w:r>
          </w:p>
        </w:tc>
        <w:tc>
          <w:tcPr>
            <w:tcW w:w="3561" w:type="dxa"/>
            <w:gridSpan w:val="6"/>
            <w:vAlign w:val="center"/>
          </w:tcPr>
          <w:p>
            <w:pPr>
              <w:autoSpaceDN w:val="0"/>
              <w:spacing w:line="240" w:lineRule="auto"/>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职务/职称</w:t>
            </w:r>
          </w:p>
        </w:tc>
        <w:tc>
          <w:tcPr>
            <w:tcW w:w="1479" w:type="dxa"/>
            <w:vAlign w:val="center"/>
          </w:tcPr>
          <w:p>
            <w:pPr>
              <w:autoSpaceDN w:val="0"/>
              <w:spacing w:line="240" w:lineRule="auto"/>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单  位</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周传龙</w:t>
            </w:r>
          </w:p>
        </w:tc>
        <w:tc>
          <w:tcPr>
            <w:tcW w:w="3561" w:type="dxa"/>
            <w:gridSpan w:val="6"/>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理事会副主任</w:t>
            </w:r>
          </w:p>
        </w:tc>
        <w:tc>
          <w:tcPr>
            <w:tcW w:w="1479" w:type="dxa"/>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岳阳市供销合作联社</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1654" w:type="dxa"/>
            <w:gridSpan w:val="2"/>
            <w:vAlign w:val="center"/>
          </w:tcPr>
          <w:p>
            <w:pPr>
              <w:autoSpaceDN w:val="0"/>
              <w:spacing w:line="24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周傲文</w:t>
            </w:r>
          </w:p>
        </w:tc>
        <w:tc>
          <w:tcPr>
            <w:tcW w:w="3561" w:type="dxa"/>
            <w:gridSpan w:val="6"/>
            <w:vAlign w:val="center"/>
          </w:tcPr>
          <w:p>
            <w:pPr>
              <w:autoSpaceDN w:val="0"/>
              <w:spacing w:line="24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理事会副主任</w:t>
            </w:r>
          </w:p>
        </w:tc>
        <w:tc>
          <w:tcPr>
            <w:tcW w:w="1479" w:type="dxa"/>
            <w:vAlign w:val="center"/>
          </w:tcPr>
          <w:p>
            <w:pPr>
              <w:autoSpaceDN w:val="0"/>
              <w:spacing w:line="24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岳阳市供销合作联社</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0" w:hRule="atLeast"/>
          <w:jc w:val="center"/>
        </w:trPr>
        <w:tc>
          <w:tcPr>
            <w:tcW w:w="1654" w:type="dxa"/>
            <w:gridSpan w:val="2"/>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刘江波</w:t>
            </w:r>
          </w:p>
        </w:tc>
        <w:tc>
          <w:tcPr>
            <w:tcW w:w="3561" w:type="dxa"/>
            <w:gridSpan w:val="6"/>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办公室主任</w:t>
            </w:r>
          </w:p>
        </w:tc>
        <w:tc>
          <w:tcPr>
            <w:tcW w:w="1479" w:type="dxa"/>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岳阳市供销合作联社</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5" w:hRule="atLeast"/>
          <w:jc w:val="center"/>
        </w:trPr>
        <w:tc>
          <w:tcPr>
            <w:tcW w:w="1654" w:type="dxa"/>
            <w:gridSpan w:val="2"/>
            <w:vAlign w:val="center"/>
          </w:tcPr>
          <w:p>
            <w:pPr>
              <w:autoSpaceDN w:val="0"/>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朱炜</w:t>
            </w:r>
          </w:p>
        </w:tc>
        <w:tc>
          <w:tcPr>
            <w:tcW w:w="3561" w:type="dxa"/>
            <w:gridSpan w:val="6"/>
            <w:vAlign w:val="center"/>
          </w:tcPr>
          <w:p>
            <w:pPr>
              <w:autoSpaceDN w:val="0"/>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财计科科长</w:t>
            </w:r>
          </w:p>
        </w:tc>
        <w:tc>
          <w:tcPr>
            <w:tcW w:w="1479" w:type="dxa"/>
            <w:vAlign w:val="center"/>
          </w:tcPr>
          <w:p>
            <w:pPr>
              <w:autoSpaceDN w:val="0"/>
              <w:spacing w:line="24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岳阳市供销合作联社</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5" w:hRule="atLeast"/>
          <w:jc w:val="center"/>
        </w:trPr>
        <w:tc>
          <w:tcPr>
            <w:tcW w:w="1654" w:type="dxa"/>
            <w:gridSpan w:val="2"/>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杨婕敏</w:t>
            </w:r>
          </w:p>
        </w:tc>
        <w:tc>
          <w:tcPr>
            <w:tcW w:w="3561" w:type="dxa"/>
            <w:gridSpan w:val="6"/>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合作指导科科长</w:t>
            </w:r>
          </w:p>
        </w:tc>
        <w:tc>
          <w:tcPr>
            <w:tcW w:w="1479" w:type="dxa"/>
            <w:vAlign w:val="center"/>
          </w:tcPr>
          <w:p>
            <w:pPr>
              <w:autoSpaceDN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岳阳市供销合作联社</w:t>
            </w:r>
          </w:p>
        </w:tc>
        <w:tc>
          <w:tcPr>
            <w:tcW w:w="3106" w:type="dxa"/>
            <w:gridSpan w:val="8"/>
            <w:vAlign w:val="center"/>
          </w:tcPr>
          <w:p>
            <w:pPr>
              <w:autoSpaceDN w:val="0"/>
              <w:spacing w:line="240" w:lineRule="auto"/>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90" w:hRule="atLeast"/>
          <w:jc w:val="center"/>
        </w:trPr>
        <w:tc>
          <w:tcPr>
            <w:tcW w:w="9800" w:type="dxa"/>
            <w:gridSpan w:val="17"/>
            <w:vAlign w:val="center"/>
          </w:tcPr>
          <w:p>
            <w:pPr>
              <w:autoSpaceDN w:val="0"/>
              <w:spacing w:line="320" w:lineRule="exact"/>
              <w:jc w:val="left"/>
              <w:textAlignment w:val="center"/>
              <w:rPr>
                <w:rFonts w:hint="eastAsia" w:ascii="仿宋" w:hAnsi="仿宋" w:eastAsia="仿宋" w:cs="仿宋"/>
                <w:sz w:val="32"/>
                <w:szCs w:val="32"/>
              </w:rPr>
            </w:pPr>
            <w:r>
              <w:rPr>
                <w:rFonts w:hint="eastAsia" w:ascii="仿宋" w:hAnsi="仿宋" w:eastAsia="仿宋" w:cs="仿宋"/>
                <w:sz w:val="32"/>
                <w:szCs w:val="32"/>
              </w:rPr>
              <w:t>评价组组长（签字）：</w:t>
            </w:r>
          </w:p>
          <w:p>
            <w:pPr>
              <w:pStyle w:val="2"/>
              <w:rPr>
                <w:rFonts w:hint="eastAsia"/>
              </w:rPr>
            </w:pPr>
          </w:p>
          <w:p>
            <w:pPr>
              <w:autoSpaceDN w:val="0"/>
              <w:spacing w:line="320" w:lineRule="exact"/>
              <w:jc w:val="left"/>
              <w:textAlignment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44" w:hRule="atLeast"/>
          <w:jc w:val="center"/>
        </w:trPr>
        <w:tc>
          <w:tcPr>
            <w:tcW w:w="9800" w:type="dxa"/>
            <w:gridSpan w:val="17"/>
            <w:vAlign w:val="center"/>
          </w:tcPr>
          <w:p>
            <w:pPr>
              <w:autoSpaceDN w:val="0"/>
              <w:spacing w:line="32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部门（单位）意见：</w:t>
            </w:r>
          </w:p>
          <w:p>
            <w:pPr>
              <w:autoSpaceDN w:val="0"/>
              <w:spacing w:line="320" w:lineRule="exact"/>
              <w:jc w:val="left"/>
              <w:textAlignment w:val="center"/>
              <w:rPr>
                <w:rFonts w:hint="eastAsia" w:ascii="仿宋" w:hAnsi="仿宋" w:eastAsia="仿宋" w:cs="仿宋"/>
                <w:color w:val="000000"/>
                <w:sz w:val="32"/>
                <w:szCs w:val="32"/>
              </w:rPr>
            </w:pPr>
          </w:p>
          <w:p>
            <w:pPr>
              <w:autoSpaceDN w:val="0"/>
              <w:spacing w:line="320" w:lineRule="exact"/>
              <w:jc w:val="left"/>
              <w:textAlignment w:val="center"/>
              <w:rPr>
                <w:rFonts w:hint="eastAsia" w:ascii="仿宋" w:hAnsi="仿宋" w:eastAsia="仿宋" w:cs="仿宋"/>
                <w:color w:val="000000"/>
                <w:sz w:val="32"/>
                <w:szCs w:val="32"/>
              </w:rPr>
            </w:pPr>
          </w:p>
          <w:p>
            <w:pPr>
              <w:autoSpaceDN w:val="0"/>
              <w:spacing w:line="320" w:lineRule="exact"/>
              <w:jc w:val="left"/>
              <w:textAlignment w:val="center"/>
              <w:rPr>
                <w:rFonts w:hint="eastAsia" w:ascii="仿宋" w:hAnsi="仿宋" w:eastAsia="仿宋" w:cs="仿宋"/>
                <w:color w:val="000000"/>
                <w:sz w:val="32"/>
                <w:szCs w:val="32"/>
              </w:rPr>
            </w:pPr>
          </w:p>
          <w:p>
            <w:pPr>
              <w:autoSpaceDN w:val="0"/>
              <w:spacing w:line="320" w:lineRule="exact"/>
              <w:ind w:firstLine="2240" w:firstLineChars="7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部门（单位）负责人（签章）：</w:t>
            </w:r>
          </w:p>
          <w:p>
            <w:pPr>
              <w:pStyle w:val="2"/>
              <w:rPr>
                <w:rFonts w:hint="eastAsia"/>
              </w:rPr>
            </w:pPr>
          </w:p>
          <w:p>
            <w:pPr>
              <w:autoSpaceDN w:val="0"/>
              <w:spacing w:line="32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autoSpaceDN w:val="0"/>
              <w:spacing w:line="320" w:lineRule="exact"/>
              <w:ind w:firstLine="4800" w:firstLineChars="15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年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25" w:hRule="atLeast"/>
          <w:jc w:val="center"/>
        </w:trPr>
        <w:tc>
          <w:tcPr>
            <w:tcW w:w="9800" w:type="dxa"/>
            <w:gridSpan w:val="17"/>
            <w:vAlign w:val="center"/>
          </w:tcPr>
          <w:p>
            <w:pPr>
              <w:spacing w:line="320" w:lineRule="exact"/>
              <w:rPr>
                <w:rFonts w:hint="eastAsia" w:ascii="仿宋" w:hAnsi="仿宋" w:eastAsia="仿宋" w:cs="仿宋"/>
                <w:sz w:val="32"/>
                <w:szCs w:val="32"/>
              </w:rPr>
            </w:pPr>
            <w:r>
              <w:rPr>
                <w:rFonts w:hint="eastAsia" w:ascii="仿宋" w:hAnsi="仿宋" w:eastAsia="仿宋" w:cs="仿宋"/>
                <w:sz w:val="32"/>
                <w:szCs w:val="32"/>
              </w:rPr>
              <w:t>财政部门归口业务科室意见：</w:t>
            </w:r>
          </w:p>
          <w:p>
            <w:pPr>
              <w:pStyle w:val="2"/>
              <w:rPr>
                <w:rFonts w:hint="eastAsia"/>
              </w:rPr>
            </w:pPr>
          </w:p>
          <w:p>
            <w:pPr>
              <w:spacing w:line="320" w:lineRule="exact"/>
              <w:ind w:firstLine="640" w:firstLineChars="200"/>
              <w:rPr>
                <w:rFonts w:hint="eastAsia" w:ascii="仿宋" w:hAnsi="仿宋" w:eastAsia="仿宋" w:cs="仿宋"/>
                <w:sz w:val="32"/>
                <w:szCs w:val="32"/>
                <w:lang w:val="en-US" w:eastAsia="zh-CN"/>
              </w:rPr>
            </w:pPr>
          </w:p>
          <w:p>
            <w:pPr>
              <w:spacing w:line="320" w:lineRule="exact"/>
              <w:ind w:firstLine="640" w:firstLineChars="200"/>
              <w:rPr>
                <w:rFonts w:hint="eastAsia" w:ascii="仿宋" w:hAnsi="仿宋" w:eastAsia="仿宋" w:cs="仿宋"/>
                <w:sz w:val="32"/>
                <w:szCs w:val="32"/>
                <w:lang w:val="en-US" w:eastAsia="zh-CN"/>
              </w:rPr>
            </w:pPr>
          </w:p>
          <w:p>
            <w:pPr>
              <w:spacing w:line="320" w:lineRule="exact"/>
              <w:ind w:firstLine="640" w:firstLineChars="200"/>
              <w:rPr>
                <w:rFonts w:hint="eastAsia" w:ascii="仿宋" w:hAnsi="仿宋" w:eastAsia="仿宋" w:cs="仿宋"/>
                <w:sz w:val="32"/>
                <w:szCs w:val="32"/>
                <w:lang w:val="en-US" w:eastAsia="zh-CN"/>
              </w:rPr>
            </w:pPr>
          </w:p>
          <w:p>
            <w:pPr>
              <w:spacing w:line="3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财政部门归口业务科室负责人（签章）：</w:t>
            </w:r>
          </w:p>
          <w:p>
            <w:pPr>
              <w:autoSpaceDN w:val="0"/>
              <w:spacing w:line="320" w:lineRule="exact"/>
              <w:jc w:val="left"/>
              <w:textAlignment w:val="center"/>
              <w:rPr>
                <w:rFonts w:hint="eastAsia" w:ascii="仿宋" w:hAnsi="仿宋" w:eastAsia="仿宋" w:cs="仿宋"/>
                <w:sz w:val="32"/>
                <w:szCs w:val="32"/>
              </w:rPr>
            </w:pPr>
            <w:r>
              <w:rPr>
                <w:rFonts w:hint="eastAsia" w:ascii="仿宋" w:hAnsi="仿宋" w:eastAsia="仿宋" w:cs="仿宋"/>
                <w:sz w:val="32"/>
                <w:szCs w:val="32"/>
              </w:rPr>
              <w:t xml:space="preserve">                                                    </w:t>
            </w:r>
          </w:p>
          <w:p>
            <w:pPr>
              <w:autoSpaceDN w:val="0"/>
              <w:spacing w:line="320" w:lineRule="exact"/>
              <w:ind w:firstLine="6080" w:firstLineChars="1900"/>
              <w:jc w:val="left"/>
              <w:textAlignment w:val="center"/>
              <w:rPr>
                <w:rFonts w:hint="eastAsia" w:ascii="仿宋" w:hAnsi="仿宋" w:eastAsia="仿宋" w:cs="仿宋"/>
                <w:color w:val="000000"/>
                <w:sz w:val="32"/>
                <w:szCs w:val="32"/>
              </w:rPr>
            </w:pPr>
            <w:r>
              <w:rPr>
                <w:rFonts w:hint="eastAsia" w:ascii="仿宋" w:hAnsi="仿宋" w:eastAsia="仿宋" w:cs="仿宋"/>
                <w:sz w:val="32"/>
                <w:szCs w:val="32"/>
              </w:rPr>
              <w:t xml:space="preserve"> 年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32"/>
                <w:szCs w:val="32"/>
              </w:rPr>
            </w:pPr>
            <w:r>
              <w:rPr>
                <w:rFonts w:hint="eastAsia" w:ascii="黑体" w:hAnsi="黑体" w:eastAsia="黑体" w:cs="黑体"/>
                <w:bCs/>
                <w:sz w:val="32"/>
                <w:szCs w:val="32"/>
              </w:rPr>
              <w:t>五、评价报告综述</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numPr>
                <w:ilvl w:val="0"/>
                <w:numId w:val="0"/>
              </w:numPr>
              <w:kinsoku/>
              <w:wordWrap/>
              <w:overflowPunct/>
              <w:topLinePunct w:val="0"/>
              <w:autoSpaceDE/>
              <w:autoSpaceDN/>
              <w:bidi w:val="0"/>
              <w:adjustRightInd/>
              <w:spacing w:line="360" w:lineRule="auto"/>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（一）单位基本概况</w:t>
            </w:r>
          </w:p>
          <w:p>
            <w:pPr>
              <w:keepNext w:val="0"/>
              <w:keepLines w:val="0"/>
              <w:pageBreakBefore w:val="0"/>
              <w:kinsoku/>
              <w:wordWrap/>
              <w:overflowPunct/>
              <w:topLinePunct w:val="0"/>
              <w:autoSpaceDE/>
              <w:autoSpaceDN/>
              <w:bidi w:val="0"/>
              <w:adjustRightInd/>
              <w:spacing w:line="36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岳阳市供销合作联社是具有行政职能的正处级全额拨款参照公务员法管理事业单位。</w:t>
            </w:r>
            <w:r>
              <w:rPr>
                <w:rFonts w:hint="eastAsia" w:ascii="仿宋" w:hAnsi="仿宋" w:eastAsia="仿宋" w:cs="仿宋"/>
                <w:sz w:val="32"/>
                <w:szCs w:val="32"/>
                <w:lang w:val="en-US" w:eastAsia="zh-CN"/>
              </w:rPr>
              <w:t>本单位内设11个科室，内设科室分别是：办公室、财计科、人事科、合作指导科、宣教科、审计科、老干科、安监科、机关党委、机关纪委、机关工会；</w:t>
            </w:r>
            <w:r>
              <w:rPr>
                <w:rFonts w:hint="eastAsia" w:ascii="仿宋" w:hAnsi="仿宋" w:eastAsia="仿宋" w:cs="仿宋"/>
                <w:sz w:val="32"/>
                <w:szCs w:val="32"/>
              </w:rPr>
              <w:t>全额拨款</w:t>
            </w:r>
            <w:r>
              <w:rPr>
                <w:rFonts w:hint="eastAsia" w:ascii="仿宋" w:hAnsi="仿宋" w:eastAsia="仿宋" w:cs="仿宋"/>
                <w:sz w:val="32"/>
                <w:szCs w:val="32"/>
                <w:lang w:val="en-US" w:eastAsia="zh-CN"/>
              </w:rPr>
              <w:t>二级机构1个（岳阳市供销社新农村服务网络中心）</w:t>
            </w:r>
          </w:p>
          <w:p>
            <w:pPr>
              <w:keepNext w:val="0"/>
              <w:keepLines w:val="0"/>
              <w:pageBreakBefore w:val="0"/>
              <w:kinsoku/>
              <w:wordWrap/>
              <w:overflowPunct/>
              <w:topLinePunct w:val="0"/>
              <w:autoSpaceDE/>
              <w:autoSpaceDN/>
              <w:bidi w:val="0"/>
              <w:adjustRightInd/>
              <w:spacing w:line="360" w:lineRule="auto"/>
              <w:ind w:firstLine="320" w:firstLineChars="1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）单位整体支出规模、使用方向和主要内容、涉及范围等</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_GB2312" w:hAnsi="仿宋_GB2312" w:eastAsia="仿宋_GB2312" w:cs="仿宋_GB2312"/>
                <w:bCs/>
                <w:sz w:val="28"/>
                <w:szCs w:val="28"/>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度机关（含岳阳市供销社新农村服务网络中心）</w:t>
            </w:r>
            <w:r>
              <w:rPr>
                <w:rFonts w:hint="eastAsia" w:ascii="仿宋" w:hAnsi="仿宋" w:eastAsia="仿宋" w:cs="仿宋"/>
                <w:sz w:val="32"/>
                <w:szCs w:val="32"/>
              </w:rPr>
              <w:t>整体总支出</w:t>
            </w:r>
            <w:r>
              <w:rPr>
                <w:rFonts w:hint="eastAsia" w:ascii="仿宋" w:hAnsi="仿宋" w:eastAsia="仿宋" w:cs="仿宋"/>
                <w:sz w:val="32"/>
                <w:szCs w:val="32"/>
                <w:lang w:val="en-US" w:eastAsia="zh-CN"/>
              </w:rPr>
              <w:t>784.21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639.21</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81.51%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18.49%</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基本支出主要用于保障职工工资福利和单位的正常运行，</w:t>
            </w:r>
            <w:r>
              <w:rPr>
                <w:rFonts w:hint="eastAsia" w:ascii="仿宋" w:hAnsi="仿宋" w:eastAsia="仿宋" w:cs="仿宋"/>
                <w:sz w:val="32"/>
                <w:szCs w:val="32"/>
              </w:rPr>
              <w:t>基本支出中人员支出为</w:t>
            </w:r>
            <w:r>
              <w:rPr>
                <w:rFonts w:hint="eastAsia" w:ascii="仿宋" w:hAnsi="仿宋" w:eastAsia="仿宋" w:cs="仿宋"/>
                <w:sz w:val="32"/>
                <w:szCs w:val="32"/>
                <w:lang w:val="en-US" w:eastAsia="zh-CN"/>
              </w:rPr>
              <w:t>552.68</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86.53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2"/>
              <w:rPr>
                <w:rFonts w:hint="default"/>
                <w:lang w:val="en-US" w:eastAsia="zh-CN"/>
              </w:rPr>
            </w:pPr>
            <w:r>
              <w:rPr>
                <w:rFonts w:hint="eastAsia" w:ascii="仿宋" w:hAnsi="仿宋" w:eastAsia="仿宋" w:cs="仿宋"/>
                <w:sz w:val="32"/>
                <w:szCs w:val="32"/>
                <w:lang w:val="en-US" w:eastAsia="zh-CN"/>
              </w:rPr>
              <w:t xml:space="preserve">    项目支出主要用于大化肥农资淡储项目。</w:t>
            </w:r>
          </w:p>
          <w:p>
            <w:pPr>
              <w:keepNext w:val="0"/>
              <w:keepLines w:val="0"/>
              <w:pageBreakBefore w:val="0"/>
              <w:numPr>
                <w:ilvl w:val="0"/>
                <w:numId w:val="4"/>
              </w:numPr>
              <w:kinsoku/>
              <w:wordWrap/>
              <w:overflowPunct/>
              <w:topLinePunct w:val="0"/>
              <w:autoSpaceDE/>
              <w:autoSpaceDN/>
              <w:bidi w:val="0"/>
              <w:adjustRightInd/>
              <w:spacing w:line="360" w:lineRule="auto"/>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部门（单位）整体支出管理及使用情况</w:t>
            </w:r>
          </w:p>
          <w:p>
            <w:pPr>
              <w:keepNext w:val="0"/>
              <w:keepLines w:val="0"/>
              <w:pageBreakBefore w:val="0"/>
              <w:numPr>
                <w:ilvl w:val="0"/>
                <w:numId w:val="5"/>
              </w:numPr>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2021年度</w:t>
            </w:r>
            <w:r>
              <w:rPr>
                <w:rFonts w:hint="eastAsia" w:ascii="仿宋" w:hAnsi="仿宋" w:eastAsia="仿宋" w:cs="仿宋"/>
                <w:sz w:val="32"/>
                <w:szCs w:val="32"/>
                <w:lang w:val="en-US" w:eastAsia="zh-CN"/>
              </w:rPr>
              <w:t>机关</w:t>
            </w:r>
            <w:r>
              <w:rPr>
                <w:rFonts w:hint="eastAsia" w:ascii="仿宋" w:hAnsi="仿宋" w:eastAsia="仿宋" w:cs="仿宋"/>
                <w:sz w:val="32"/>
                <w:szCs w:val="32"/>
              </w:rPr>
              <w:t>基本支出</w:t>
            </w:r>
            <w:r>
              <w:rPr>
                <w:rFonts w:hint="eastAsia" w:ascii="仿宋" w:hAnsi="仿宋" w:eastAsia="仿宋" w:cs="仿宋"/>
                <w:sz w:val="32"/>
                <w:szCs w:val="32"/>
                <w:lang w:val="en-US" w:eastAsia="zh-CN"/>
              </w:rPr>
              <w:t>639.21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w:t>
            </w:r>
            <w:r>
              <w:rPr>
                <w:rFonts w:hint="eastAsia" w:ascii="仿宋" w:hAnsi="仿宋" w:eastAsia="仿宋" w:cs="仿宋"/>
                <w:sz w:val="32"/>
                <w:szCs w:val="32"/>
              </w:rPr>
              <w:t>人员经费和日常公用经费</w:t>
            </w:r>
            <w:r>
              <w:rPr>
                <w:rFonts w:hint="eastAsia" w:ascii="仿宋" w:hAnsi="仿宋" w:eastAsia="仿宋" w:cs="仿宋"/>
                <w:sz w:val="32"/>
                <w:szCs w:val="32"/>
                <w:lang w:val="en-US" w:eastAsia="zh-CN"/>
              </w:rPr>
              <w:t>支出</w:t>
            </w:r>
            <w:r>
              <w:rPr>
                <w:rFonts w:hint="eastAsia" w:ascii="仿宋" w:hAnsi="仿宋" w:eastAsia="仿宋" w:cs="仿宋"/>
                <w:sz w:val="32"/>
                <w:szCs w:val="32"/>
              </w:rPr>
              <w:t>。其中人员经费支出</w:t>
            </w:r>
            <w:r>
              <w:rPr>
                <w:rFonts w:hint="eastAsia" w:ascii="仿宋" w:hAnsi="仿宋" w:eastAsia="仿宋" w:cs="仿宋"/>
                <w:sz w:val="32"/>
                <w:szCs w:val="32"/>
                <w:lang w:val="en-US" w:eastAsia="zh-CN"/>
              </w:rPr>
              <w:t>552.68</w:t>
            </w:r>
            <w:r>
              <w:rPr>
                <w:rFonts w:hint="eastAsia" w:ascii="仿宋" w:hAnsi="仿宋" w:eastAsia="仿宋" w:cs="仿宋"/>
                <w:sz w:val="32"/>
                <w:szCs w:val="32"/>
              </w:rPr>
              <w:t>万元，</w:t>
            </w:r>
            <w:r>
              <w:rPr>
                <w:rFonts w:hint="eastAsia" w:ascii="仿宋" w:hAnsi="仿宋" w:eastAsia="仿宋" w:cs="仿宋"/>
                <w:sz w:val="32"/>
                <w:szCs w:val="32"/>
                <w:lang w:val="en-US" w:eastAsia="zh-CN"/>
              </w:rPr>
              <w:t>用于保障在职和离退休人员工资福利支出，</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val="en-US" w:eastAsia="zh-CN"/>
              </w:rPr>
              <w:t>机关事业单位基本养老保险缴费、职工基本医疗保险缴费、</w:t>
            </w:r>
            <w:r>
              <w:rPr>
                <w:rFonts w:hint="eastAsia" w:ascii="仿宋" w:hAnsi="仿宋" w:eastAsia="仿宋" w:cs="仿宋"/>
                <w:sz w:val="32"/>
                <w:szCs w:val="32"/>
              </w:rPr>
              <w:t>其他社会保障支出、</w:t>
            </w:r>
            <w:r>
              <w:rPr>
                <w:rFonts w:hint="eastAsia" w:ascii="仿宋" w:hAnsi="仿宋" w:eastAsia="仿宋" w:cs="仿宋"/>
                <w:sz w:val="32"/>
                <w:szCs w:val="32"/>
                <w:lang w:val="en-US" w:eastAsia="zh-CN"/>
              </w:rPr>
              <w:t>医疗费、</w:t>
            </w:r>
            <w:r>
              <w:rPr>
                <w:rFonts w:hint="eastAsia" w:ascii="仿宋" w:hAnsi="仿宋" w:eastAsia="仿宋" w:cs="仿宋"/>
                <w:sz w:val="32"/>
                <w:szCs w:val="32"/>
              </w:rPr>
              <w:t>其他工资福利支出、离休费、退休费、抚恤金、生活补助、奖励金、其他对个人和家庭的补助支出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公用经费86.53</w:t>
            </w:r>
            <w:r>
              <w:rPr>
                <w:rFonts w:hint="eastAsia" w:ascii="仿宋" w:hAnsi="仿宋" w:eastAsia="仿宋" w:cs="仿宋"/>
                <w:sz w:val="32"/>
                <w:szCs w:val="32"/>
              </w:rPr>
              <w:t>万元，用于保障机关正常运转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主要包括</w:t>
            </w:r>
            <w:r>
              <w:rPr>
                <w:rFonts w:hint="eastAsia" w:ascii="仿宋" w:hAnsi="仿宋" w:eastAsia="仿宋" w:cs="仿宋"/>
                <w:sz w:val="32"/>
                <w:szCs w:val="32"/>
              </w:rPr>
              <w:t>办公费、印刷费、</w:t>
            </w:r>
            <w:r>
              <w:rPr>
                <w:rFonts w:hint="eastAsia" w:ascii="仿宋" w:hAnsi="仿宋" w:eastAsia="仿宋" w:cs="仿宋"/>
                <w:sz w:val="32"/>
                <w:szCs w:val="32"/>
                <w:lang w:val="en-US" w:eastAsia="zh-CN"/>
              </w:rPr>
              <w:t>水费、电费、维修（护）费</w:t>
            </w:r>
            <w:r>
              <w:rPr>
                <w:rFonts w:hint="eastAsia" w:ascii="仿宋" w:hAnsi="仿宋" w:eastAsia="仿宋" w:cs="仿宋"/>
                <w:sz w:val="32"/>
                <w:szCs w:val="32"/>
              </w:rPr>
              <w:t>、</w:t>
            </w:r>
            <w:r>
              <w:rPr>
                <w:rFonts w:hint="eastAsia" w:ascii="仿宋" w:hAnsi="仿宋" w:eastAsia="仿宋" w:cs="仿宋"/>
                <w:sz w:val="32"/>
                <w:szCs w:val="32"/>
                <w:lang w:val="en-US" w:eastAsia="zh-CN"/>
              </w:rPr>
              <w:t>会议费、公务接待费、劳务费、工会经费、公务用车运行维护费、其他交通费用、税金及附加费用、其他商品和服务支出。</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2021年度</w:t>
            </w:r>
            <w:r>
              <w:rPr>
                <w:rFonts w:hint="eastAsia" w:ascii="仿宋" w:hAnsi="仿宋" w:eastAsia="仿宋" w:cs="仿宋"/>
                <w:sz w:val="32"/>
                <w:szCs w:val="32"/>
              </w:rPr>
              <w:t>基本支出中工资福利支出</w:t>
            </w:r>
            <w:r>
              <w:rPr>
                <w:rFonts w:hint="eastAsia" w:ascii="仿宋" w:hAnsi="仿宋" w:eastAsia="仿宋" w:cs="仿宋"/>
                <w:sz w:val="32"/>
                <w:szCs w:val="32"/>
                <w:lang w:val="en-US" w:eastAsia="zh-CN"/>
              </w:rPr>
              <w:t>384.83</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84.97</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167.85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资本性支出（用于购买办公设备）1.56万元。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5.29</w:t>
            </w:r>
            <w:r>
              <w:rPr>
                <w:rFonts w:hint="eastAsia" w:ascii="仿宋" w:hAnsi="仿宋" w:eastAsia="仿宋" w:cs="仿宋"/>
                <w:sz w:val="32"/>
                <w:szCs w:val="32"/>
              </w:rPr>
              <w:t>万元，财政下达控制数为</w:t>
            </w:r>
            <w:r>
              <w:rPr>
                <w:rFonts w:hint="eastAsia" w:ascii="仿宋" w:hAnsi="仿宋" w:eastAsia="仿宋" w:cs="仿宋"/>
                <w:color w:val="000000"/>
                <w:sz w:val="32"/>
                <w:szCs w:val="32"/>
              </w:rPr>
              <w:t>9万元，仅为控制数的</w:t>
            </w:r>
            <w:r>
              <w:rPr>
                <w:rFonts w:hint="eastAsia" w:ascii="仿宋" w:hAnsi="仿宋" w:eastAsia="仿宋" w:cs="仿宋"/>
                <w:color w:val="000000"/>
                <w:sz w:val="32"/>
                <w:szCs w:val="32"/>
                <w:lang w:val="en-US" w:eastAsia="zh-CN"/>
              </w:rPr>
              <w:t>58.78</w:t>
            </w:r>
            <w:r>
              <w:rPr>
                <w:rFonts w:hint="eastAsia" w:ascii="仿宋" w:hAnsi="仿宋" w:eastAsia="仿宋" w:cs="仿宋"/>
                <w:color w:val="000000"/>
                <w:sz w:val="32"/>
                <w:szCs w:val="32"/>
              </w:rPr>
              <w:t>%。其中公务用车购置及运行维护费</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使用当年财政预算财政拨款支出</w:t>
            </w:r>
            <w:r>
              <w:rPr>
                <w:rFonts w:hint="eastAsia" w:ascii="仿宋" w:hAnsi="仿宋" w:eastAsia="仿宋" w:cs="仿宋"/>
                <w:color w:val="000000"/>
                <w:sz w:val="32"/>
                <w:szCs w:val="32"/>
                <w:lang w:val="en-US" w:eastAsia="zh-CN"/>
              </w:rPr>
              <w:t>2.3万元</w:t>
            </w:r>
            <w:r>
              <w:rPr>
                <w:rFonts w:hint="eastAsia" w:ascii="仿宋" w:hAnsi="仿宋" w:eastAsia="仿宋" w:cs="仿宋"/>
                <w:color w:val="000000"/>
                <w:sz w:val="32"/>
                <w:szCs w:val="32"/>
              </w:rPr>
              <w:t>;公务接待费支出</w:t>
            </w:r>
            <w:r>
              <w:rPr>
                <w:rFonts w:hint="eastAsia" w:ascii="仿宋" w:hAnsi="仿宋" w:eastAsia="仿宋" w:cs="仿宋"/>
                <w:color w:val="000000"/>
                <w:sz w:val="32"/>
                <w:szCs w:val="32"/>
                <w:lang w:val="en-US" w:eastAsia="zh-CN"/>
              </w:rPr>
              <w:t>2.99</w:t>
            </w:r>
            <w:r>
              <w:rPr>
                <w:rFonts w:hint="eastAsia" w:ascii="仿宋" w:hAnsi="仿宋" w:eastAsia="仿宋" w:cs="仿宋"/>
                <w:color w:val="000000"/>
                <w:sz w:val="32"/>
                <w:szCs w:val="32"/>
              </w:rPr>
              <w:t>万元，使用当年财政预算财政拨款支出</w:t>
            </w:r>
            <w:r>
              <w:rPr>
                <w:rFonts w:hint="eastAsia" w:ascii="仿宋" w:hAnsi="仿宋" w:eastAsia="仿宋" w:cs="仿宋"/>
                <w:color w:val="000000"/>
                <w:sz w:val="32"/>
                <w:szCs w:val="32"/>
                <w:lang w:val="en-US" w:eastAsia="zh-CN"/>
              </w:rPr>
              <w:t>2.99</w:t>
            </w:r>
            <w:r>
              <w:rPr>
                <w:rFonts w:hint="eastAsia" w:ascii="仿宋" w:hAnsi="仿宋" w:eastAsia="仿宋" w:cs="仿宋"/>
                <w:color w:val="000000"/>
                <w:sz w:val="32"/>
                <w:szCs w:val="32"/>
              </w:rPr>
              <w:t>万元。</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color w:val="101010"/>
                <w:sz w:val="32"/>
                <w:szCs w:val="32"/>
              </w:rPr>
              <w:t>（二）整体支出使用情况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1、专项资金安排落实、总投入等情况分析</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2021年度机关项目支出145万元，主要为大化肥农资淡储项目支出，项目资金已按要求全部落实到位。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2、专项资金实际使用情况分析 </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严格按照财政资金相关管理要求，制定方案，进行项目的申报；对专项资金遵循专款专用、单独核算的管理原则，及时足额拨付，确保项目正常运行。</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3、专项资金管理情况分析</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部门对项目资金的管理严格按照财政局相关资金管理办法和机关财务管理制度的要求执行。事前按照市财政局项目绩效管理的相关要求进行绩效目标申报，在拨付审批上严格执行机关财务管理制度，确保附件齐全、签字手续完备。项目资金使用按照既定方案执行，按时间节点进行绩效监控，事后进行项目绩效自评。</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（一）专项组织情况分析</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岳阳市供销社</w:t>
            </w:r>
            <w:r>
              <w:rPr>
                <w:rFonts w:hint="eastAsia" w:ascii="仿宋" w:hAnsi="仿宋" w:eastAsia="仿宋" w:cs="仿宋"/>
                <w:sz w:val="32"/>
                <w:szCs w:val="32"/>
                <w:lang w:val="en-US" w:eastAsia="zh-CN"/>
              </w:rPr>
              <w:t>根据市财政局绩效管理工作文件要求，制定了岳阳市供销社绩效管理工作方案，</w:t>
            </w:r>
            <w:r>
              <w:rPr>
                <w:rFonts w:hint="eastAsia" w:ascii="仿宋" w:hAnsi="仿宋" w:eastAsia="仿宋" w:cs="仿宋"/>
                <w:sz w:val="32"/>
                <w:szCs w:val="32"/>
              </w:rPr>
              <w:t>成立了绩效评价工作领导小组，负责绩效评价工作的组织领导和具体实施。</w:t>
            </w:r>
            <w:r>
              <w:rPr>
                <w:rFonts w:hint="eastAsia" w:ascii="仿宋" w:hAnsi="仿宋" w:eastAsia="仿宋" w:cs="仿宋"/>
                <w:sz w:val="32"/>
                <w:szCs w:val="32"/>
                <w:lang w:val="en-US" w:eastAsia="zh-CN"/>
              </w:rPr>
              <w:t>工作方案对绩效管理的工作要求及责任分工以及完成时间节点进行了详细安排。绩效</w:t>
            </w:r>
            <w:r>
              <w:rPr>
                <w:rFonts w:hint="eastAsia" w:ascii="仿宋" w:hAnsi="仿宋" w:eastAsia="仿宋" w:cs="仿宋"/>
                <w:sz w:val="32"/>
                <w:szCs w:val="32"/>
              </w:rPr>
              <w:t>评价小组采取座谈等方式听取情况，</w:t>
            </w:r>
            <w:r>
              <w:rPr>
                <w:rFonts w:hint="eastAsia" w:ascii="仿宋" w:hAnsi="仿宋" w:eastAsia="仿宋" w:cs="仿宋"/>
                <w:sz w:val="32"/>
                <w:szCs w:val="32"/>
                <w:lang w:val="en-US" w:eastAsia="zh-CN"/>
              </w:rPr>
              <w:t>对照</w:t>
            </w:r>
            <w:r>
              <w:rPr>
                <w:rFonts w:hint="eastAsia" w:ascii="仿宋" w:hAnsi="仿宋" w:eastAsia="仿宋" w:cs="仿宋"/>
                <w:sz w:val="32"/>
                <w:szCs w:val="32"/>
              </w:rPr>
              <w:t>绩效评价评分</w:t>
            </w:r>
            <w:r>
              <w:rPr>
                <w:rFonts w:hint="eastAsia" w:ascii="仿宋" w:hAnsi="仿宋" w:eastAsia="仿宋" w:cs="仿宋"/>
                <w:sz w:val="32"/>
                <w:szCs w:val="32"/>
                <w:lang w:val="en-US" w:eastAsia="zh-CN"/>
              </w:rPr>
              <w:t>规则进行打分，</w:t>
            </w:r>
            <w:r>
              <w:rPr>
                <w:rFonts w:hint="eastAsia" w:ascii="仿宋" w:hAnsi="仿宋" w:eastAsia="仿宋" w:cs="仿宋"/>
                <w:sz w:val="32"/>
                <w:szCs w:val="32"/>
              </w:rPr>
              <w:t xml:space="preserve">收集整理支出相关资料，并根据各科室报送的绩效自评材料进行分析，形成评价结论。 </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（二）专项管理情况分析</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1．严格预算支出管理。</w:t>
            </w:r>
            <w:r>
              <w:rPr>
                <w:rFonts w:hint="eastAsia" w:ascii="仿宋" w:hAnsi="仿宋" w:eastAsia="仿宋" w:cs="仿宋"/>
                <w:sz w:val="32"/>
                <w:szCs w:val="32"/>
                <w:lang w:val="en-US" w:eastAsia="zh-CN"/>
              </w:rPr>
              <w:t>严格按照财政局预算编制要求，落实预算编制“二上”、“二下”，科学合理编制本部门预算。</w:t>
            </w:r>
            <w:r>
              <w:rPr>
                <w:rFonts w:hint="eastAsia" w:ascii="仿宋" w:hAnsi="仿宋" w:eastAsia="仿宋" w:cs="仿宋"/>
                <w:sz w:val="32"/>
                <w:szCs w:val="32"/>
              </w:rPr>
              <w:t>在支出预算编制上，人员经费按照配置定额，逐人核定编制，公用经费分类分档，按定额编制；根据“总量控制、计划管理”的要求从严控制行政经费，压缩公务费开支，严格控制“三公”经费，</w:t>
            </w:r>
            <w:r>
              <w:rPr>
                <w:rFonts w:hint="eastAsia" w:ascii="仿宋" w:hAnsi="仿宋" w:eastAsia="仿宋" w:cs="仿宋"/>
                <w:sz w:val="32"/>
                <w:szCs w:val="32"/>
                <w:lang w:val="en-US" w:eastAsia="zh-CN"/>
              </w:rPr>
              <w:t>非必要不支出。</w:t>
            </w:r>
            <w:r>
              <w:rPr>
                <w:rFonts w:hint="eastAsia" w:ascii="仿宋" w:hAnsi="仿宋" w:eastAsia="仿宋" w:cs="仿宋"/>
                <w:sz w:val="32"/>
                <w:szCs w:val="32"/>
              </w:rPr>
              <w:t>资产的配置</w:t>
            </w:r>
            <w:r>
              <w:rPr>
                <w:rFonts w:hint="eastAsia" w:ascii="仿宋" w:hAnsi="仿宋" w:eastAsia="仿宋" w:cs="仿宋"/>
                <w:sz w:val="32"/>
                <w:szCs w:val="32"/>
                <w:lang w:val="en-US" w:eastAsia="zh-CN"/>
              </w:rPr>
              <w:t>和使用</w:t>
            </w:r>
            <w:r>
              <w:rPr>
                <w:rFonts w:hint="eastAsia" w:ascii="仿宋" w:hAnsi="仿宋" w:eastAsia="仿宋" w:cs="仿宋"/>
                <w:sz w:val="32"/>
                <w:szCs w:val="32"/>
              </w:rPr>
              <w:t>严格</w:t>
            </w:r>
            <w:r>
              <w:rPr>
                <w:rFonts w:hint="eastAsia" w:ascii="仿宋" w:hAnsi="仿宋" w:eastAsia="仿宋" w:cs="仿宋"/>
                <w:sz w:val="32"/>
                <w:szCs w:val="32"/>
                <w:lang w:val="en-US" w:eastAsia="zh-CN"/>
              </w:rPr>
              <w:t>按照</w:t>
            </w:r>
            <w:r>
              <w:rPr>
                <w:rFonts w:hint="eastAsia" w:ascii="仿宋" w:hAnsi="仿宋" w:eastAsia="仿宋" w:cs="仿宋"/>
                <w:sz w:val="32"/>
                <w:szCs w:val="32"/>
              </w:rPr>
              <w:t>政府采购</w:t>
            </w:r>
            <w:r>
              <w:rPr>
                <w:rFonts w:hint="eastAsia" w:ascii="仿宋" w:hAnsi="仿宋" w:eastAsia="仿宋" w:cs="仿宋"/>
                <w:sz w:val="32"/>
                <w:szCs w:val="32"/>
                <w:lang w:val="en-US" w:eastAsia="zh-CN"/>
              </w:rPr>
              <w:t>文件要求</w:t>
            </w:r>
            <w:r>
              <w:rPr>
                <w:rFonts w:hint="eastAsia" w:ascii="仿宋" w:hAnsi="仿宋" w:eastAsia="仿宋" w:cs="仿宋"/>
                <w:sz w:val="32"/>
                <w:szCs w:val="32"/>
              </w:rPr>
              <w:t>，</w:t>
            </w:r>
            <w:r>
              <w:rPr>
                <w:rFonts w:hint="eastAsia" w:ascii="仿宋" w:hAnsi="仿宋" w:eastAsia="仿宋" w:cs="仿宋"/>
                <w:sz w:val="32"/>
                <w:szCs w:val="32"/>
                <w:lang w:val="en-US" w:eastAsia="zh-CN"/>
              </w:rPr>
              <w:t>严格落实“电子卖场”要求。</w:t>
            </w:r>
            <w:r>
              <w:rPr>
                <w:rFonts w:hint="eastAsia" w:ascii="仿宋" w:hAnsi="仿宋" w:eastAsia="仿宋" w:cs="仿宋"/>
                <w:sz w:val="32"/>
                <w:szCs w:val="32"/>
              </w:rPr>
              <w:t>按照预算科目和项目资金的规定使用财政资金，保障部门整体支出的规范化、制度化。</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b/>
                <w:sz w:val="32"/>
                <w:szCs w:val="32"/>
              </w:rPr>
              <w:t>2．财务管理按制度运行。</w:t>
            </w:r>
            <w:r>
              <w:rPr>
                <w:rFonts w:hint="eastAsia" w:ascii="仿宋" w:hAnsi="仿宋" w:eastAsia="仿宋" w:cs="仿宋"/>
                <w:sz w:val="32"/>
                <w:szCs w:val="32"/>
                <w:lang w:val="en-US" w:eastAsia="zh-CN"/>
              </w:rPr>
              <w:t>岳阳市供销社根据《会计法》、《预算法》、《行政单位财务规则》等法律法规和省财政厅及市财政局有关财务规章的规定，制订了《岳阳市供销社机关财务管理办法》，明确了经费审批权限及程序，经费预算管理、财务经费管理、资产购置与处置、财务监督等制度。岳阳市供销社还单独制订了《岳阳市供销社公务用车管理制度》、《岳阳市供销社公务接待管理制度》、《岳阳市供销社政府采购内部控制管理制度》等制度，明确了相应原则和要求、开支范围、程序、办法及标准、审批权限等。上述制度规定基本得到执行。严格执行公务接待、公务用车、公务出差、会议费等的事前审批制度，从严控制各项支出。严格落实政府采购相关管理制度，机关办公用品和办公设备购置以及相关服务类项目均在“电子卖场”进行交易，自觉接受监督管理。严格财务审批制度，严肃财经纪律，</w:t>
            </w:r>
            <w:r>
              <w:rPr>
                <w:rFonts w:hint="eastAsia" w:ascii="仿宋" w:hAnsi="仿宋" w:eastAsia="仿宋" w:cs="仿宋"/>
                <w:i w:val="0"/>
                <w:caps w:val="0"/>
                <w:color w:val="000000"/>
                <w:spacing w:val="0"/>
                <w:sz w:val="32"/>
                <w:szCs w:val="32"/>
                <w:shd w:val="clear" w:color="auto" w:fill="auto"/>
              </w:rPr>
              <w:t>在专项资金使用过程中，我</w:t>
            </w:r>
            <w:r>
              <w:rPr>
                <w:rFonts w:hint="eastAsia" w:ascii="仿宋" w:hAnsi="仿宋" w:eastAsia="仿宋" w:cs="仿宋"/>
                <w:i w:val="0"/>
                <w:caps w:val="0"/>
                <w:color w:val="000000"/>
                <w:spacing w:val="0"/>
                <w:sz w:val="32"/>
                <w:szCs w:val="32"/>
                <w:shd w:val="clear" w:color="auto" w:fill="auto"/>
                <w:lang w:val="en-US" w:eastAsia="zh-CN"/>
              </w:rPr>
              <w:t>社</w:t>
            </w:r>
            <w:r>
              <w:rPr>
                <w:rFonts w:hint="eastAsia" w:ascii="仿宋" w:hAnsi="仿宋" w:eastAsia="仿宋" w:cs="仿宋"/>
                <w:i w:val="0"/>
                <w:caps w:val="0"/>
                <w:color w:val="000000"/>
                <w:spacing w:val="0"/>
                <w:sz w:val="32"/>
                <w:szCs w:val="32"/>
                <w:shd w:val="clear" w:color="auto" w:fill="auto"/>
              </w:rPr>
              <w:t>为切实规范专项资金管理，保障资金安全，高效运行，制定了管理制度，并严格执行相关财务制度，资金拨付</w:t>
            </w:r>
            <w:r>
              <w:rPr>
                <w:rFonts w:hint="eastAsia" w:ascii="仿宋" w:hAnsi="仿宋" w:eastAsia="仿宋" w:cs="仿宋"/>
                <w:i w:val="0"/>
                <w:caps w:val="0"/>
                <w:color w:val="000000"/>
                <w:spacing w:val="0"/>
                <w:sz w:val="32"/>
                <w:szCs w:val="32"/>
                <w:shd w:val="clear" w:color="auto" w:fill="auto"/>
                <w:lang w:val="en-US" w:eastAsia="zh-CN"/>
              </w:rPr>
              <w:t>手续齐全。</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市供销社在市委市政府的坚强领导下，以习近平新时代中国特色社会主义思想为指导，深入贯彻党的十九大精神及十九届历次全会精神和习近平总书记对供销合作社工作的指示批示精神，抢抓乡村振兴发展机遇，紧紧围绕“三区一中心”战略，干字当头、实字托底、乘势而上，以党史学习教育活动凝聚起推进供销事业高质量发展的思想动能，各项工作稳中有进。</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通过加强制度建设，建立健全内部控制机制，优化绩效评价方案，部门整体支出绩效情况向好。2021年度部门整体支出绩效基本情况如下：</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（一）预算配置和执行情况</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Cs/>
                <w:color w:val="FF0000"/>
                <w:sz w:val="28"/>
                <w:szCs w:val="28"/>
                <w:lang w:val="en-US" w:eastAsia="zh-CN"/>
              </w:rPr>
            </w:pPr>
            <w:r>
              <w:rPr>
                <w:rFonts w:hint="eastAsia" w:ascii="仿宋" w:hAnsi="仿宋" w:eastAsia="仿宋" w:cs="仿宋"/>
                <w:kern w:val="2"/>
                <w:sz w:val="32"/>
                <w:szCs w:val="32"/>
                <w:lang w:val="en-US" w:eastAsia="zh-CN" w:bidi="ar-SA"/>
              </w:rPr>
              <w:t>本年度我部门科学合理编制预算，严格按照时间节点完成资金下达任务，年末无预算内资金结余。严格控制三公经费支出，与去年相比呈下降趋势。及时准确进行预决算信息的公开。</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（二）财务管理制度建设执行情况</w:t>
            </w:r>
          </w:p>
          <w:p>
            <w:pPr>
              <w:pStyle w:val="2"/>
              <w:ind w:firstLine="56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财务管理制度健全、会计核算制度等管理制度健全，资金拨付审批手续齐全，无截留、占用、挪用等情况。严格执行政府采购制度，建立健全资产管理制度，优化资产配置，保证资产安全。从严落实公务用车、公务出差、公务接待等制度，执行事前审批程序。            </w:t>
            </w:r>
          </w:p>
          <w:p>
            <w:pPr>
              <w:pStyle w:val="2"/>
              <w:ind w:firstLine="56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（三）履职情况及产生的效益</w:t>
            </w:r>
          </w:p>
          <w:p>
            <w:pPr>
              <w:pStyle w:val="2"/>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1.提升为农服务能力，指导推进县市区项目建设。</w:t>
            </w:r>
          </w:p>
          <w:p>
            <w:pPr>
              <w:pStyle w:val="2"/>
              <w:ind w:firstLine="56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2021年建设乡镇为农服务综合体10家，改造升级薄弱基层社11家，创建国家级农民专业合作社示范社12家，新建村</w:t>
            </w:r>
            <w:r>
              <w:rPr>
                <w:rFonts w:hint="eastAsia" w:ascii="仿宋" w:hAnsi="仿宋" w:eastAsia="仿宋" w:cs="仿宋"/>
                <w:sz w:val="32"/>
                <w:szCs w:val="32"/>
                <w:lang w:val="en-US" w:eastAsia="zh-CN"/>
              </w:rPr>
              <w:t>级供销社8家，培育了一批三星级、四星级村级综合服务社，领办创办专业合作社26家，为农服务的组织化程度及合作化程度显著提高，联结社员15.6万人。创新服务方式，大力开展全程农业社会化服务，全市系统2021年全程土地托管面积113万亩，农业社会化服务面积505万亩次。</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组织各县市区供销社申报商业流通发展专项资金项目，岳阳县供销社成功申报公田惠农服务有限公司37万元生猪屠宰及农产品预冷冷链建设项目，推荐岳阳市农产品电子商务网络服务体系建设项目、汨罗市白塘镇“两个到户”建设项目、平江县供销合作联社“两个到户”建设项目、华容县“联结到户、服务到户”供销综合为农服务项目等4个项目申报2022年度商业流通发展专项资金。</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lang w:val="en-US" w:eastAsia="zh-CN"/>
              </w:rPr>
            </w:pPr>
            <w:r>
              <w:rPr>
                <w:rFonts w:hint="eastAsia" w:ascii="仿宋" w:hAnsi="仿宋" w:eastAsia="仿宋" w:cs="仿宋"/>
                <w:sz w:val="32"/>
                <w:szCs w:val="32"/>
                <w:lang w:val="en-US" w:eastAsia="zh-CN"/>
              </w:rPr>
              <w:t>发挥系统稳岗就业作用，全市供销系统提供固定性就业岗位7600多个，季节性就业岗位3万多个。如平江县供销社承办来料加工企业，使3900多名年龄偏大、不能外出打工的农村劳动力实现了“在家门口就业”，人均月收入普遍在3000元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2.推动社有企业“三驾马车”发展壮大，生产、供销、信用“三位一体”体系逐步完善。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申报全省生产、供销、信用“三位一体”试点市，持续推动社有企业“三驾马车”发展壮大。岳阳市惠农供销农服公司稳步增强市场占有额，组织供销系统淡储化肥近3万吨，对市场价格起到了抑制缓冲作用；积极对接中华全国总社供销集团，与君山区签订土地购买协议，启动建设2万平方米的湖南岳阳现代农业服务中心，扩大行业影响力；推进绿色农资，推广以茶果蔬有机肥替代化肥3.1万吨，实施化肥农药用量“双减”，为守护“一江一湖”作贡献。积极推进智慧岳阳“岳阳市农村电商平台”项目以及大美湖区优质农产品展示交易中心建设，项目落成，将会更好发挥线上线下双轮驱动作用，为全市农产品上行建设两条快速通道。市供销电商公司“岳阳消费帮扶网”链接全市300多家帮扶企业1000多款帮扶产品，帮销产品1200多万元；派人赴保靖县实地走访12个乡镇对接30多家企业，精选帮扶产品40余种，帮销产品500余万元。促进供销信用体系建设，深化与省农信担保公司合作，推动社、担、银、企联手合作，在出新品、减流程、提效率上着力，解决农业发展“源头活水”的问题，全市系统推荐贷款金额累计已突破1.6亿元，现有在保余额6000万元，推荐贷款不良率为零，市供销系统信用合作得到了相关机构和农业新型经营主体的认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0"/>
              <w:rPr>
                <w:rFonts w:hint="default"/>
                <w:lang w:val="en-US" w:eastAsia="zh-CN"/>
              </w:rPr>
            </w:pPr>
            <w:r>
              <w:rPr>
                <w:rFonts w:hint="eastAsia" w:ascii="仿宋" w:hAnsi="仿宋" w:eastAsia="仿宋" w:cs="仿宋"/>
                <w:sz w:val="32"/>
                <w:szCs w:val="32"/>
                <w:lang w:val="en-US" w:eastAsia="zh-CN"/>
              </w:rPr>
              <w:t>根据部门整体支出绩效评价指标体系，我部门2021年度评价得分98分，社会公众满意度较好。</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1、预算不足，存在经费缺口。</w:t>
            </w:r>
          </w:p>
          <w:p>
            <w:pPr>
              <w:spacing w:line="560" w:lineRule="exact"/>
              <w:ind w:left="638" w:leftChars="304"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2、绩效管理工作的意识还不够强，方法还不够多，有待加强。</w:t>
            </w:r>
          </w:p>
          <w:p>
            <w:pPr>
              <w:spacing w:line="560" w:lineRule="exact"/>
              <w:ind w:left="638" w:leftChars="304" w:firstLine="0" w:firstLineChars="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改进措施：强化预算管理意识，科学合理编制预算；争资争项，争取政策支持，做大做强社有企业；进一步完善财务制度建设，</w:t>
            </w:r>
            <w:r>
              <w:rPr>
                <w:rFonts w:hint="eastAsia" w:ascii="仿宋" w:hAnsi="仿宋" w:eastAsia="仿宋" w:cs="仿宋"/>
                <w:color w:val="000000"/>
                <w:sz w:val="32"/>
                <w:szCs w:val="32"/>
              </w:rPr>
              <w:t>加强财务管理，严把支出审核关</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lang w:val="en-US" w:eastAsia="zh-CN"/>
              </w:rPr>
              <w:t>进一步优化绩效评价机制，更高质量开展绩效评价工作，提高资金使用效率；</w:t>
            </w:r>
            <w:r>
              <w:rPr>
                <w:rFonts w:hint="eastAsia" w:ascii="仿宋" w:hAnsi="仿宋" w:eastAsia="仿宋" w:cs="仿宋"/>
                <w:color w:val="000000"/>
                <w:sz w:val="32"/>
                <w:szCs w:val="32"/>
              </w:rPr>
              <w:t>严格执行财务管理制度，规范各项支出审核，促进财务管理的法制化、科学化、合理化运行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加强财务培训，建设一支财经纪律意识强、专业素养高的财务队伍。</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10101"/>
                <w:sz w:val="32"/>
                <w:szCs w:val="32"/>
                <w:lang w:val="en-US" w:eastAsia="zh-CN"/>
              </w:rPr>
            </w:pPr>
            <w:r>
              <w:rPr>
                <w:rFonts w:hint="eastAsia" w:ascii="仿宋" w:hAnsi="仿宋" w:eastAsia="仿宋" w:cs="仿宋"/>
                <w:color w:val="000000"/>
                <w:sz w:val="32"/>
                <w:szCs w:val="32"/>
                <w:lang w:val="en-US" w:eastAsia="zh-CN"/>
              </w:rPr>
              <w:t>有关建议：实地开展绩效评价先进典型案例分析学习，加强绩效管理意识，提高绩效评价水平。</w:t>
            </w:r>
            <w:r>
              <w:rPr>
                <w:rFonts w:hint="eastAsia" w:ascii="仿宋" w:hAnsi="仿宋" w:eastAsia="仿宋" w:cs="仿宋"/>
                <w:color w:val="010101"/>
                <w:sz w:val="32"/>
                <w:szCs w:val="32"/>
                <w:lang w:val="en-US" w:eastAsia="zh-CN"/>
              </w:rPr>
              <w:t xml:space="preserve">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80" w:firstLineChars="1400"/>
              <w:jc w:val="both"/>
              <w:textAlignment w:val="auto"/>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 xml:space="preserve">  </w:t>
            </w:r>
            <w:r>
              <w:rPr>
                <w:rFonts w:hint="eastAsia" w:ascii="仿宋" w:hAnsi="仿宋" w:eastAsia="仿宋" w:cs="仿宋"/>
                <w:color w:val="010101"/>
                <w:sz w:val="32"/>
                <w:szCs w:val="32"/>
              </w:rPr>
              <w:t>岳阳市供销合作联社</w:t>
            </w:r>
          </w:p>
          <w:p>
            <w:pPr>
              <w:pStyle w:val="2"/>
              <w:ind w:firstLine="5120" w:firstLineChars="1600"/>
              <w:rPr>
                <w:rFonts w:eastAsia="楷体_GB2312"/>
                <w:bCs/>
                <w:sz w:val="28"/>
                <w:szCs w:val="28"/>
              </w:rPr>
            </w:pPr>
            <w:r>
              <w:rPr>
                <w:rFonts w:hint="eastAsia" w:ascii="仿宋" w:hAnsi="仿宋" w:eastAsia="仿宋" w:cs="仿宋"/>
                <w:color w:val="010101"/>
                <w:sz w:val="32"/>
                <w:szCs w:val="32"/>
                <w:lang w:val="en-US" w:eastAsia="zh-CN"/>
              </w:rPr>
              <w:t>2021年6月14日</w:t>
            </w: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hint="eastAsia" w:ascii="宋体" w:hAnsi="宋体" w:eastAsia="宋体" w:cs="宋体"/>
          <w:sz w:val="44"/>
          <w:szCs w:val="44"/>
        </w:rPr>
      </w:pPr>
      <w:r>
        <w:rPr>
          <w:rFonts w:hint="eastAsia" w:ascii="宋体" w:hAnsi="宋体" w:eastAsia="宋体" w:cs="宋体"/>
          <w:sz w:val="44"/>
          <w:szCs w:val="44"/>
        </w:rPr>
        <w:t>部门整体支出绩效评价评分表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年终追加了预算</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相关管理制度还有待完善</w:t>
            </w: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市政府</w:t>
            </w:r>
            <w:r>
              <w:rPr>
                <w:rFonts w:hint="eastAsia" w:ascii="仿宋_GB2312" w:hAnsi="宋体" w:eastAsia="仿宋_GB2312" w:cs="宋体"/>
                <w:kern w:val="0"/>
                <w:sz w:val="18"/>
                <w:szCs w:val="18"/>
                <w:lang w:val="en-US" w:eastAsia="zh-CN"/>
              </w:rPr>
              <w:t>工作任务</w:t>
            </w:r>
            <w:r>
              <w:rPr>
                <w:rFonts w:hint="eastAsia" w:ascii="仿宋_GB2312" w:hAnsi="宋体" w:eastAsia="仿宋_GB2312" w:cs="宋体"/>
                <w:kern w:val="0"/>
                <w:sz w:val="18"/>
                <w:szCs w:val="18"/>
                <w:lang w:eastAsia="zh-CN"/>
              </w:rPr>
              <w:t>及</w:t>
            </w:r>
            <w:r>
              <w:rPr>
                <w:rFonts w:hint="eastAsia" w:ascii="仿宋_GB2312" w:hAnsi="宋体" w:eastAsia="仿宋_GB2312" w:cs="宋体"/>
                <w:kern w:val="0"/>
                <w:sz w:val="18"/>
                <w:szCs w:val="18"/>
                <w:lang w:val="en-US" w:eastAsia="zh-CN"/>
              </w:rPr>
              <w:t>本单位年度</w:t>
            </w:r>
            <w:r>
              <w:rPr>
                <w:rFonts w:hint="eastAsia" w:ascii="仿宋_GB2312" w:hAnsi="宋体" w:eastAsia="仿宋_GB2312" w:cs="宋体"/>
                <w:kern w:val="0"/>
                <w:sz w:val="18"/>
                <w:szCs w:val="18"/>
                <w:lang w:eastAsia="zh-CN"/>
              </w:rPr>
              <w:t>目标任务完成情况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初步建立健全农资供应和农化服务体系。</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bookmarkStart w:id="0" w:name="_GoBack"/>
            <w:bookmarkEnd w:id="0"/>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vMerge w:val="continue"/>
            <w:tcBorders>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专业合作社提供综合性的农业服务，降低农民种粮成本。</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积极承担农资淡季储备主体责任，确保全市系统农资供应质优、量足、价稳。</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9</w:t>
    </w:r>
    <w:r>
      <w:rPr>
        <w:sz w:val="24"/>
        <w:szCs w:val="24"/>
      </w:rPr>
      <w:fldChar w:fldCharType="end"/>
    </w:r>
    <w:r>
      <w:rPr>
        <w:rStyle w:val="12"/>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BF569"/>
    <w:multiLevelType w:val="singleLevel"/>
    <w:tmpl w:val="CDEBF569"/>
    <w:lvl w:ilvl="0" w:tentative="0">
      <w:start w:val="4"/>
      <w:numFmt w:val="decimal"/>
      <w:suff w:val="nothing"/>
      <w:lvlText w:val="%1、"/>
      <w:lvlJc w:val="left"/>
    </w:lvl>
  </w:abstractNum>
  <w:abstractNum w:abstractNumId="1">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2">
    <w:nsid w:val="15D81910"/>
    <w:multiLevelType w:val="singleLevel"/>
    <w:tmpl w:val="15D81910"/>
    <w:lvl w:ilvl="0" w:tentative="0">
      <w:start w:val="1"/>
      <w:numFmt w:val="chineseCounting"/>
      <w:suff w:val="nothing"/>
      <w:lvlText w:val="（%1）"/>
      <w:lvlJc w:val="left"/>
      <w:rPr>
        <w:rFonts w:hint="eastAsia"/>
      </w:rPr>
    </w:lvl>
  </w:abstractNum>
  <w:abstractNum w:abstractNumId="3">
    <w:nsid w:val="1ECB9F7F"/>
    <w:multiLevelType w:val="singleLevel"/>
    <w:tmpl w:val="1ECB9F7F"/>
    <w:lvl w:ilvl="0" w:tentative="0">
      <w:start w:val="1"/>
      <w:numFmt w:val="decimal"/>
      <w:suff w:val="nothing"/>
      <w:lvlText w:val="%1、"/>
      <w:lvlJc w:val="left"/>
    </w:lvl>
  </w:abstractNum>
  <w:abstractNum w:abstractNumId="4">
    <w:nsid w:val="4C7E1B61"/>
    <w:multiLevelType w:val="singleLevel"/>
    <w:tmpl w:val="4C7E1B61"/>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RhYWVhNjZiZjAwNjM0MWEyZDEwZWVkODYyYWQ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A029A1"/>
    <w:rsid w:val="04114E7A"/>
    <w:rsid w:val="069E05C5"/>
    <w:rsid w:val="08117FD8"/>
    <w:rsid w:val="085657D7"/>
    <w:rsid w:val="0EF15F19"/>
    <w:rsid w:val="189D716B"/>
    <w:rsid w:val="20CB4C06"/>
    <w:rsid w:val="23C8462C"/>
    <w:rsid w:val="26DF302F"/>
    <w:rsid w:val="2A175110"/>
    <w:rsid w:val="31C110E2"/>
    <w:rsid w:val="32DB176D"/>
    <w:rsid w:val="38DD0E96"/>
    <w:rsid w:val="3B1A7BD0"/>
    <w:rsid w:val="3B65349C"/>
    <w:rsid w:val="3ED72A13"/>
    <w:rsid w:val="42BC060E"/>
    <w:rsid w:val="43977941"/>
    <w:rsid w:val="47AB6022"/>
    <w:rsid w:val="51400B69"/>
    <w:rsid w:val="531D688E"/>
    <w:rsid w:val="55010D0D"/>
    <w:rsid w:val="55BA5062"/>
    <w:rsid w:val="57EB130F"/>
    <w:rsid w:val="594D65FA"/>
    <w:rsid w:val="5C54080D"/>
    <w:rsid w:val="5CCB49F8"/>
    <w:rsid w:val="5D59397F"/>
    <w:rsid w:val="5F0315F2"/>
    <w:rsid w:val="618C03AC"/>
    <w:rsid w:val="619863BE"/>
    <w:rsid w:val="63424247"/>
    <w:rsid w:val="646A4041"/>
    <w:rsid w:val="684E42E2"/>
    <w:rsid w:val="68EC14C9"/>
    <w:rsid w:val="696571D7"/>
    <w:rsid w:val="6DBA2EF1"/>
    <w:rsid w:val="6F5542DD"/>
    <w:rsid w:val="6FE36509"/>
    <w:rsid w:val="70027A9D"/>
    <w:rsid w:val="75AE2DA8"/>
    <w:rsid w:val="78311474"/>
    <w:rsid w:val="7834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cs="Courier New"/>
      <w:szCs w:val="21"/>
    </w:rPr>
  </w:style>
  <w:style w:type="paragraph" w:styleId="4">
    <w:name w:val="Normal Indent"/>
    <w:basedOn w:val="1"/>
    <w:unhideWhenUsed/>
    <w:qFormat/>
    <w:uiPriority w:val="99"/>
    <w:pPr>
      <w:ind w:firstLine="420" w:firstLineChars="200"/>
    </w:pPr>
  </w:style>
  <w:style w:type="paragraph" w:styleId="5">
    <w:name w:val="Body Text Indent 2"/>
    <w:basedOn w:val="1"/>
    <w:link w:val="17"/>
    <w:unhideWhenUsed/>
    <w:qFormat/>
    <w:uiPriority w:val="99"/>
    <w:pPr>
      <w:ind w:firstLine="588" w:firstLineChars="200"/>
    </w:pPr>
    <w:rPr>
      <w:rFonts w:ascii="仿宋_GB2312" w:hAnsi="Calibri" w:eastAsia="仿宋_GB2312"/>
      <w:sz w:val="32"/>
    </w:rPr>
  </w:style>
  <w:style w:type="paragraph" w:styleId="6">
    <w:name w:val="Balloon Text"/>
    <w:basedOn w:val="1"/>
    <w:link w:val="20"/>
    <w:semiHidden/>
    <w:qFormat/>
    <w:uiPriority w:val="0"/>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qFormat/>
    <w:uiPriority w:val="0"/>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Char"/>
    <w:basedOn w:val="11"/>
    <w:link w:val="5"/>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Char"/>
    <w:basedOn w:val="11"/>
    <w:link w:val="6"/>
    <w:semiHidden/>
    <w:qFormat/>
    <w:uiPriority w:val="0"/>
    <w:rPr>
      <w:rFonts w:ascii="Times New Roman" w:hAnsi="Times New Roman" w:eastAsia="宋体" w:cs="Times New Roman"/>
      <w:sz w:val="18"/>
      <w:szCs w:val="18"/>
    </w:rPr>
  </w:style>
  <w:style w:type="paragraph" w:customStyle="1" w:styleId="2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8400</Words>
  <Characters>8838</Characters>
  <Lines>78</Lines>
  <Paragraphs>21</Paragraphs>
  <TotalTime>7</TotalTime>
  <ScaleCrop>false</ScaleCrop>
  <LinksUpToDate>false</LinksUpToDate>
  <CharactersWithSpaces>9286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三叶草</cp:lastModifiedBy>
  <cp:lastPrinted>2022-06-14T06:54:00Z</cp:lastPrinted>
  <dcterms:modified xsi:type="dcterms:W3CDTF">2022-07-21T08:55:10Z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4F65966BC0864451B0F1F3C53A373C0F</vt:lpwstr>
  </property>
</Properties>
</file>